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4147d424b4.htm"/>
        <w:bookmarkStart w:id="1" w:name="ksd394147d424b4"/>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424(b)(4)</w:t>
        <w:br/>
        <w:t xml:space="preserve">Registration No.: 333-272256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951230" cy="2406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1230" cy="24066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3,500,000 Ordinary Shares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3,500,000 of our ordinary shares, CHF 0.01 nominal value. The public offering price is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Our ordinary shares are listed on the Nasdaq Global Market under the symbol OCS. The last reported sale price of our ordinary shares on the Nasdaq Global Market on May 31, 2023 was $11.50 per share. The final offering price per ordinary share was determined through negotiations between us and the representatives of the underwriters for the offering, and by reference to the prevailing market prices of our ordinary shares on the Nasdaq Global Market after taking into account market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We are a foreign private issuer under applicable Securities and Exchange Commission (the SEC) rules and an emerging growth company as that term is defined in the Jumpstart Our Business Startups Act of 2012 (the JOBS Act) and are eligible for reduced public company disclosure requirements.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ordinary shares involves risks that are described in the </w:t>
      </w:r>
      <w:hyperlink w:anchor="rom394147_3">
        <w:r>
          <w:rPr>
            <w:rStyle w:val="InternetLink"/>
            <w:rFonts w:ascii="Times New Roman" w:hAnsi="Times New Roman"/>
            <w:b/>
            <w:i/>
            <w:sz w:val="24"/>
          </w:rPr>
          <w:t>Risk Factors</w:t>
        </w:r>
      </w:hyperlink>
      <w:r>
        <w:rPr>
          <w:rFonts w:ascii="Times New Roman" w:hAnsi="Times New Roman"/>
          <w:b/>
          <w:sz w:val="24"/>
        </w:rPr>
        <w:t xml:space="preserve"> section beginning on page 14 of this 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9"/>
        <w:gridCol w:w="361"/>
        <w:gridCol w:w="140"/>
        <w:gridCol w:w="620"/>
        <w:gridCol w:w="60"/>
        <w:gridCol w:w="361"/>
        <w:gridCol w:w="140"/>
        <w:gridCol w:w="1229"/>
        <w:gridCol w:w="65"/>
      </w:tblGrid>
      <w:tr>
        <w:trPr/>
        <w:tc>
          <w:tcPr>
            <w:tcW w:w="4779"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79"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11.50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40,250,000</w:t>
            </w:r>
          </w:p>
        </w:tc>
        <w:tc>
          <w:tcPr>
            <w:tcW w:w="65" w:type="dxa"/>
            <w:tcBorders/>
            <w:shd w:fill="CCEEFF" w:val="clear"/>
            <w:vAlign w:val="bottom"/>
          </w:tcPr>
          <w:p>
            <w:pPr>
              <w:pStyle w:val="TableContents"/>
              <w:bidi w:val="0"/>
              <w:spacing w:before="0" w:after="283"/>
              <w:jc w:val="left"/>
              <w:rPr/>
            </w:pPr>
            <w:r>
              <w:rPr/>
              <w:t> </w:t>
            </w:r>
          </w:p>
        </w:tc>
      </w:tr>
      <w:tr>
        <w:trPr/>
        <w:tc>
          <w:tcPr>
            <w:tcW w:w="477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(1)</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0" w:type="dxa"/>
            <w:tcBorders/>
            <w:vAlign w:val="bottom"/>
          </w:tcPr>
          <w:p>
            <w:pPr>
              <w:pStyle w:val="TableContents"/>
              <w:bidi w:val="0"/>
              <w:spacing w:before="0" w:after="283"/>
              <w:jc w:val="right"/>
              <w:rPr/>
            </w:pPr>
            <w:r>
              <w:rPr/>
              <w:t>0.69</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2,415,000</w:t>
            </w:r>
          </w:p>
        </w:tc>
        <w:tc>
          <w:tcPr>
            <w:tcW w:w="65"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0" w:type="dxa"/>
            <w:tcBorders/>
            <w:shd w:fill="CCEEFF" w:val="clear"/>
            <w:vAlign w:val="bottom"/>
          </w:tcPr>
          <w:p>
            <w:pPr>
              <w:pStyle w:val="TableContents"/>
              <w:bidi w:val="0"/>
              <w:spacing w:before="0" w:after="283"/>
              <w:jc w:val="right"/>
              <w:rPr/>
            </w:pPr>
            <w:r>
              <w:rPr/>
              <w:t>10.81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37,835,000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section titled Underwriting for additional information regarding compensation payable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granted the underwriters an option to purchase up to an additional 525,000 ordinary shares from us at the public offering price, less the underwriting discounts and commissions.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expect to deliver the ordinary shares on or about June 5, 2023.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348"/>
        <w:gridCol w:w="101"/>
        <w:gridCol w:w="2551"/>
        <w:gridCol w:w="101"/>
        <w:gridCol w:w="2552"/>
        <w:gridCol w:w="101"/>
        <w:gridCol w:w="2451"/>
      </w:tblGrid>
      <w:tr>
        <w:trPr/>
        <w:tc>
          <w:tcPr>
            <w:tcW w:w="234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8" w:type="dxa"/>
            <w:tcBorders/>
            <w:vAlign w:val="center"/>
          </w:tcPr>
          <w:p>
            <w:pPr>
              <w:pStyle w:val="TableContents"/>
              <w:bidi w:val="0"/>
              <w:spacing w:before="0" w:after="283"/>
              <w:jc w:val="left"/>
              <w:rPr>
                <w:sz w:val="4"/>
                <w:szCs w:val="4"/>
              </w:rPr>
            </w:pPr>
            <w:r>
              <w:rPr>
                <w:sz w:val="4"/>
                <w:szCs w:val="4"/>
              </w:rPr>
            </w:r>
          </w:p>
        </w:tc>
        <w:tc>
          <w:tcPr>
            <w:tcW w:w="2652"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255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1" w:type="dxa"/>
            <w:tcBorders/>
          </w:tcPr>
          <w:p>
            <w:pPr>
              <w:pStyle w:val="TableContents"/>
              <w:bidi w:val="0"/>
              <w:spacing w:before="0" w:after="283"/>
              <w:jc w:val="right"/>
              <w:rPr>
                <w:b/>
              </w:rPr>
            </w:pPr>
            <w:r>
              <w:rPr>
                <w:b/>
              </w:rPr>
              <w:t>SVB Securities</w:t>
            </w:r>
          </w:p>
        </w:tc>
      </w:tr>
      <w:tr>
        <w:trPr>
          <w:trHeight w:val="120" w:hRule="atLeast"/>
        </w:trPr>
        <w:tc>
          <w:tcPr>
            <w:tcW w:w="2348" w:type="dxa"/>
            <w:tcBorders/>
            <w:vAlign w:val="center"/>
          </w:tcPr>
          <w:p>
            <w:pPr>
              <w:pStyle w:val="TableContents"/>
              <w:bidi w:val="0"/>
              <w:spacing w:before="0" w:after="283"/>
              <w:jc w:val="left"/>
              <w:rPr>
                <w:sz w:val="4"/>
                <w:szCs w:val="4"/>
              </w:rPr>
            </w:pPr>
            <w:r>
              <w:rPr>
                <w:sz w:val="4"/>
                <w:szCs w:val="4"/>
              </w:rPr>
            </w:r>
          </w:p>
        </w:tc>
        <w:tc>
          <w:tcPr>
            <w:tcW w:w="2652" w:type="dxa"/>
            <w:gridSpan w:val="2"/>
            <w:tcBorders/>
            <w:vAlign w:val="center"/>
          </w:tcPr>
          <w:p>
            <w:pPr>
              <w:pStyle w:val="TableContents"/>
              <w:bidi w:val="0"/>
              <w:spacing w:before="0" w:after="283"/>
              <w:jc w:val="left"/>
              <w:rPr>
                <w:sz w:val="4"/>
                <w:szCs w:val="4"/>
              </w:rPr>
            </w:pPr>
            <w:r>
              <w:rPr>
                <w:sz w:val="4"/>
                <w:szCs w:val="4"/>
              </w:rPr>
            </w:r>
          </w:p>
        </w:tc>
        <w:tc>
          <w:tcPr>
            <w:tcW w:w="2653" w:type="dxa"/>
            <w:gridSpan w:val="2"/>
            <w:tcBorders/>
            <w:vAlign w:val="center"/>
          </w:tcPr>
          <w:p>
            <w:pPr>
              <w:pStyle w:val="TableContents"/>
              <w:bidi w:val="0"/>
              <w:spacing w:before="0" w:after="283"/>
              <w:jc w:val="left"/>
              <w:rPr>
                <w:sz w:val="4"/>
                <w:szCs w:val="4"/>
              </w:rPr>
            </w:pPr>
            <w:r>
              <w:rPr>
                <w:sz w:val="4"/>
                <w:szCs w:val="4"/>
              </w:rPr>
            </w:r>
          </w:p>
        </w:tc>
        <w:tc>
          <w:tcPr>
            <w:tcW w:w="2552" w:type="dxa"/>
            <w:gridSpan w:val="2"/>
            <w:tcBorders/>
            <w:vAlign w:val="center"/>
          </w:tcPr>
          <w:p>
            <w:pPr>
              <w:pStyle w:val="TableContents"/>
              <w:bidi w:val="0"/>
              <w:spacing w:before="0" w:after="283"/>
              <w:jc w:val="left"/>
              <w:rPr>
                <w:sz w:val="4"/>
                <w:szCs w:val="4"/>
              </w:rPr>
            </w:pPr>
            <w:r>
              <w:rPr>
                <w:sz w:val="4"/>
                <w:szCs w:val="4"/>
              </w:rPr>
            </w:r>
          </w:p>
        </w:tc>
      </w:tr>
      <w:tr>
        <w:trPr/>
        <w:tc>
          <w:tcPr>
            <w:tcW w:w="2348" w:type="dxa"/>
            <w:tcBorders/>
          </w:tcPr>
          <w:p>
            <w:pPr>
              <w:pStyle w:val="TableContents"/>
              <w:bidi w:val="0"/>
              <w:spacing w:before="0" w:after="283"/>
              <w:jc w:val="left"/>
              <w:rPr>
                <w:b/>
                <w:sz w:val="20"/>
              </w:rPr>
            </w:pPr>
            <w:r>
              <w:rPr>
                <w:b/>
                <w:sz w:val="20"/>
              </w:rPr>
              <w:t>Wedbush PacGrow</w:t>
            </w:r>
          </w:p>
        </w:tc>
        <w:tc>
          <w:tcPr>
            <w:tcW w:w="101" w:type="dxa"/>
            <w:tcBorders/>
            <w:vAlign w:val="bottom"/>
          </w:tcPr>
          <w:p>
            <w:pPr>
              <w:pStyle w:val="TableContents"/>
              <w:bidi w:val="0"/>
              <w:spacing w:before="0" w:after="283"/>
              <w:jc w:val="left"/>
              <w:rPr/>
            </w:pPr>
            <w:r>
              <w:rPr/>
              <w:t> </w:t>
            </w:r>
          </w:p>
        </w:tc>
        <w:tc>
          <w:tcPr>
            <w:tcW w:w="2551" w:type="dxa"/>
            <w:tcBorders/>
          </w:tcPr>
          <w:p>
            <w:pPr>
              <w:pStyle w:val="TableContents"/>
              <w:bidi w:val="0"/>
              <w:spacing w:before="0" w:after="283"/>
              <w:jc w:val="center"/>
              <w:rPr>
                <w:b/>
                <w:sz w:val="20"/>
              </w:rPr>
            </w:pPr>
            <w:r>
              <w:rPr>
                <w:b/>
                <w:sz w:val="20"/>
              </w:rPr>
              <w:t>Baird</w:t>
            </w:r>
          </w:p>
        </w:tc>
        <w:tc>
          <w:tcPr>
            <w:tcW w:w="101" w:type="dxa"/>
            <w:tcBorders/>
            <w:vAlign w:val="bottom"/>
          </w:tcPr>
          <w:p>
            <w:pPr>
              <w:pStyle w:val="TableContents"/>
              <w:bidi w:val="0"/>
              <w:spacing w:before="0" w:after="283"/>
              <w:jc w:val="left"/>
              <w:rPr/>
            </w:pPr>
            <w:r>
              <w:rPr/>
              <w:t> </w:t>
            </w:r>
          </w:p>
        </w:tc>
        <w:tc>
          <w:tcPr>
            <w:tcW w:w="2552" w:type="dxa"/>
            <w:tcBorders/>
            <w:vAlign w:val="bottom"/>
          </w:tcPr>
          <w:p>
            <w:pPr>
              <w:pStyle w:val="TableContents"/>
              <w:bidi w:val="0"/>
              <w:spacing w:before="0" w:after="20"/>
              <w:jc w:val="right"/>
              <w:rPr>
                <w:rFonts w:ascii="Times New Roman" w:hAnsi="Times New Roman"/>
                <w:b/>
                <w:sz w:val="20"/>
              </w:rPr>
            </w:pPr>
            <w:r>
              <w:rPr>
                <w:rFonts w:ascii="Times New Roman" w:hAnsi="Times New Roman"/>
                <w:b/>
                <w:sz w:val="20"/>
              </w:rPr>
              <w:t xml:space="preserve">H.C. Wainwright &amp; Co. </w:t>
            </w:r>
          </w:p>
        </w:tc>
        <w:tc>
          <w:tcPr>
            <w:tcW w:w="101" w:type="dxa"/>
            <w:tcBorders/>
            <w:vAlign w:val="bottom"/>
          </w:tcPr>
          <w:p>
            <w:pPr>
              <w:pStyle w:val="TableContents"/>
              <w:bidi w:val="0"/>
              <w:spacing w:before="0" w:after="283"/>
              <w:jc w:val="left"/>
              <w:rPr/>
            </w:pPr>
            <w:r>
              <w:rPr/>
              <w:t> </w:t>
            </w:r>
          </w:p>
        </w:tc>
        <w:tc>
          <w:tcPr>
            <w:tcW w:w="2451" w:type="dxa"/>
            <w:tcBorders/>
            <w:vAlign w:val="bottom"/>
          </w:tcPr>
          <w:p>
            <w:pPr>
              <w:pStyle w:val="TableContents"/>
              <w:bidi w:val="0"/>
              <w:spacing w:before="0" w:after="283"/>
              <w:jc w:val="right"/>
              <w:rPr>
                <w:b/>
                <w:sz w:val="20"/>
              </w:rPr>
            </w:pPr>
            <w:r>
              <w:rPr>
                <w:b/>
                <w:sz w:val="20"/>
              </w:rPr>
              <w:t>Pareto Securities</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MAY 31,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
              <w:r>
                <w:rPr>
                  <w:rStyle w:val="InternetLink"/>
                  <w:rFonts w:ascii="Times New Roman" w:hAnsi="Times New Roman"/>
                  <w:sz w:val="20"/>
                </w:rPr>
                <w:t>FREQUENTLY USED TERMS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
              <w:r>
                <w:rPr>
                  <w:rStyle w:val="InternetLink"/>
                  <w:rFonts w:ascii="Times New Roman" w:hAnsi="Times New Roman"/>
                  <w:sz w:val="20"/>
                </w:rPr>
                <w:t>PROSPECTUS 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3">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4">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6">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7">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8">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9">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0">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1">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2">
              <w:r>
                <w:rPr>
                  <w:rStyle w:val="InternetLink"/>
                  <w:rFonts w:ascii="Times New Roman" w:hAnsi="Times New Roman"/>
                  <w:sz w:val="20"/>
                </w:rPr>
                <w:t>BOARD OF DIRECTORS AND EXECUTIVE 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3">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4">
              <w:r>
                <w:rPr>
                  <w:rStyle w:val="InternetLink"/>
                  <w:rFonts w:ascii="Times New Roman" w:hAnsi="Times New Roman"/>
                  <w:sz w:val="20"/>
                </w:rPr>
                <w:t>MAJOR SHAREHOLDERS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5">
              <w:r>
                <w:rPr>
                  <w:rStyle w:val="InternetLink"/>
                  <w:rFonts w:ascii="Times New Roman" w:hAnsi="Times New Roman"/>
                  <w:sz w:val="20"/>
                </w:rPr>
                <w:t>DESCRIPTION OF SECURITIES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6">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7">
              <w:r>
                <w:rPr>
                  <w:rStyle w:val="InternetLink"/>
                  <w:rFonts w:ascii="Times New Roman" w:hAnsi="Times New Roman"/>
                  <w:sz w:val="20"/>
                </w:rPr>
                <w:t>MATERIAL SWISS INCOME TAX CONSIDERATIONS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8">
              <w:r>
                <w:rPr>
                  <w:rStyle w:val="InternetLink"/>
                  <w:rFonts w:ascii="Times New Roman" w:hAnsi="Times New Roman"/>
                  <w:sz w:val="20"/>
                </w:rPr>
                <w:t>MATERIAL U.S. FEDERAL INCOME TAX CONSIDERATIONS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19">
              <w:r>
                <w:rPr>
                  <w:rStyle w:val="InternetLink"/>
                  <w:rFonts w:ascii="Times New Roman" w:hAnsi="Times New Roman"/>
                  <w:sz w:val="20"/>
                </w:rPr>
                <w:t>SERVICE OF PROCESS AND ENFORCEMENT OF CIVIL LIABILITIES UNDER U.S. SECURITIES LAWS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0">
              <w:r>
                <w:rPr>
                  <w:rStyle w:val="InternetLink"/>
                  <w:rFonts w:ascii="Times New Roman" w:hAnsi="Times New Roman"/>
                  <w:sz w:val="20"/>
                </w:rPr>
                <w:t>UNDERWRITING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1">
              <w:r>
                <w:rPr>
                  <w:rStyle w:val="InternetLink"/>
                  <w:rFonts w:ascii="Times New Roman" w:hAnsi="Times New Roman"/>
                  <w:sz w:val="20"/>
                </w:rPr>
                <w:t>EXPENSES RELATED TO THE OFFERING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2">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3">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4">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241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394147_25">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We are responsible for the information contained in this prospectus and any free-writing prospectus we prepare or authorize. We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securities and the distribution of this prospectus and any free writing prospectus outside the United States.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rom394147_1"/>
      <w:bookmarkEnd w:id="3"/>
      <w:r>
        <w:rPr>
          <w:rFonts w:ascii="Times New Roman" w:hAnsi="Times New Roman"/>
          <w:b/>
          <w:sz w:val="20"/>
        </w:rPr>
        <w:t xml:space="preserve">FREQUENTLY USED TERMS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2023 Plan means our Stock Option and Incentive Plan Regulation 2023. </w:t>
      </w:r>
    </w:p>
    <w:p>
      <w:pPr>
        <w:pStyle w:val="TextBody"/>
        <w:bidi w:val="0"/>
        <w:spacing w:before="240" w:after="0"/>
        <w:jc w:val="left"/>
        <w:rPr>
          <w:rFonts w:ascii="Times New Roman" w:hAnsi="Times New Roman"/>
          <w:sz w:val="20"/>
        </w:rPr>
      </w:pPr>
      <w:r>
        <w:rPr>
          <w:rFonts w:ascii="Times New Roman" w:hAnsi="Times New Roman"/>
          <w:sz w:val="20"/>
        </w:rPr>
        <w:t xml:space="preserve">Acquisition Closing means the closing of the First Merger, Second Merger and Oculis Share Contribution. </w:t>
      </w:r>
    </w:p>
    <w:p>
      <w:pPr>
        <w:pStyle w:val="TextBody"/>
        <w:bidi w:val="0"/>
        <w:spacing w:before="240" w:after="0"/>
        <w:jc w:val="left"/>
        <w:rPr>
          <w:rFonts w:ascii="Times New Roman" w:hAnsi="Times New Roman"/>
          <w:sz w:val="20"/>
        </w:rPr>
      </w:pPr>
      <w:r>
        <w:rPr>
          <w:rFonts w:ascii="Times New Roman" w:hAnsi="Times New Roman"/>
          <w:sz w:val="20"/>
        </w:rPr>
        <w:t xml:space="preserve">Acquisition Closing Date means the date upon which the Acquisition Closing occurred. </w:t>
      </w:r>
    </w:p>
    <w:p>
      <w:pPr>
        <w:pStyle w:val="TextBody"/>
        <w:bidi w:val="0"/>
        <w:spacing w:before="240" w:after="0"/>
        <w:jc w:val="left"/>
        <w:rPr>
          <w:rFonts w:ascii="Times New Roman" w:hAnsi="Times New Roman"/>
          <w:sz w:val="20"/>
        </w:rPr>
      </w:pPr>
      <w:r>
        <w:rPr>
          <w:rFonts w:ascii="Times New Roman" w:hAnsi="Times New Roman"/>
          <w:sz w:val="20"/>
        </w:rPr>
        <w:t xml:space="preserve">Articles of Association means our amended and restated articles of association filed as Exhibit 3.1 hereto. </w:t>
      </w:r>
    </w:p>
    <w:p>
      <w:pPr>
        <w:pStyle w:val="TextBody"/>
        <w:bidi w:val="0"/>
        <w:spacing w:before="240" w:after="0"/>
        <w:jc w:val="left"/>
        <w:rPr>
          <w:rFonts w:ascii="Times New Roman" w:hAnsi="Times New Roman"/>
          <w:sz w:val="20"/>
        </w:rPr>
      </w:pPr>
      <w:r>
        <w:rPr>
          <w:rFonts w:ascii="Times New Roman" w:hAnsi="Times New Roman"/>
          <w:sz w:val="20"/>
        </w:rPr>
        <w:t xml:space="preserve">Business Combination means the transactions contemplated by the Business Combination Agreement, including the Mergers (as defined below) and the Oculis Share Contribution. </w:t>
      </w:r>
    </w:p>
    <w:p>
      <w:pPr>
        <w:pStyle w:val="TextBody"/>
        <w:bidi w:val="0"/>
        <w:spacing w:before="240" w:after="0"/>
        <w:jc w:val="left"/>
        <w:rPr>
          <w:rFonts w:ascii="Times New Roman" w:hAnsi="Times New Roman"/>
          <w:sz w:val="20"/>
        </w:rPr>
      </w:pPr>
      <w:r>
        <w:rPr>
          <w:rFonts w:ascii="Times New Roman" w:hAnsi="Times New Roman"/>
          <w:sz w:val="20"/>
        </w:rPr>
        <w:t xml:space="preserve">Business Combination Agreement means the Business Combination Agreement, dated as of October 17, 2022, as may be amended from time to time, by and among EBAC and Legacy Oculis. </w:t>
      </w:r>
    </w:p>
    <w:p>
      <w:pPr>
        <w:pStyle w:val="TextBody"/>
        <w:bidi w:val="0"/>
        <w:spacing w:before="240" w:after="0"/>
        <w:jc w:val="left"/>
        <w:rPr>
          <w:rFonts w:ascii="Times New Roman" w:hAnsi="Times New Roman"/>
          <w:sz w:val="20"/>
        </w:rPr>
      </w:pPr>
      <w:r>
        <w:rPr>
          <w:rFonts w:ascii="Times New Roman" w:hAnsi="Times New Roman"/>
          <w:sz w:val="20"/>
        </w:rPr>
        <w:t xml:space="preserve">Code means the U.S.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Company Share Capital has the meaning ascribed to such term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Continental means Continental Stock Transfer &amp; Trust Company, our transfer agent and warrant agent. </w:t>
      </w:r>
    </w:p>
    <w:p>
      <w:pPr>
        <w:pStyle w:val="TextBody"/>
        <w:bidi w:val="0"/>
        <w:spacing w:before="240" w:after="0"/>
        <w:jc w:val="left"/>
        <w:rPr>
          <w:rFonts w:ascii="Times New Roman" w:hAnsi="Times New Roman"/>
          <w:sz w:val="20"/>
        </w:rPr>
      </w:pPr>
      <w:r>
        <w:rPr>
          <w:rFonts w:ascii="Times New Roman" w:hAnsi="Times New Roman"/>
          <w:sz w:val="20"/>
        </w:rPr>
        <w:t xml:space="preserve">Convertible Loan Agreements means the convertible loan agreements, dated as of October 17, 2022 and January 26, 2023, by and among Legacy Oculis and certain lenders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EBAC means European Biotech Acquisition Corp., a Cayman Islands exempted company. </w:t>
      </w:r>
    </w:p>
    <w:p>
      <w:pPr>
        <w:pStyle w:val="TextBody"/>
        <w:bidi w:val="0"/>
        <w:spacing w:before="240" w:after="0"/>
        <w:jc w:val="left"/>
        <w:rPr>
          <w:rFonts w:ascii="Times New Roman" w:hAnsi="Times New Roman"/>
          <w:sz w:val="20"/>
        </w:rPr>
      </w:pPr>
      <w:r>
        <w:rPr>
          <w:rFonts w:ascii="Times New Roman" w:hAnsi="Times New Roman"/>
          <w:sz w:val="20"/>
        </w:rPr>
        <w:t xml:space="preserve">EBAC Class A Common Stock means Class A ordinary shares, par value $0.0001 per share, of EBAC. </w:t>
      </w:r>
    </w:p>
    <w:p>
      <w:pPr>
        <w:pStyle w:val="TextBody"/>
        <w:bidi w:val="0"/>
        <w:spacing w:before="240" w:after="0"/>
        <w:jc w:val="left"/>
        <w:rPr>
          <w:rFonts w:ascii="Times New Roman" w:hAnsi="Times New Roman"/>
          <w:sz w:val="20"/>
        </w:rPr>
      </w:pPr>
      <w:r>
        <w:rPr>
          <w:rFonts w:ascii="Times New Roman" w:hAnsi="Times New Roman"/>
          <w:sz w:val="20"/>
        </w:rPr>
        <w:t xml:space="preserve">EBAC Class B Common Stock or Founder Shares means Class B ordinary shares, par value $0.0001 per </w:t>
      </w:r>
    </w:p>
    <w:p>
      <w:pPr>
        <w:pStyle w:val="TextBody"/>
        <w:bidi w:val="0"/>
        <w:spacing w:before="0" w:after="0"/>
        <w:jc w:val="left"/>
        <w:rPr>
          <w:rFonts w:ascii="Times New Roman" w:hAnsi="Times New Roman"/>
          <w:sz w:val="20"/>
        </w:rPr>
      </w:pPr>
      <w:r>
        <w:rPr>
          <w:rFonts w:ascii="Times New Roman" w:hAnsi="Times New Roman"/>
          <w:sz w:val="20"/>
        </w:rPr>
        <w:t xml:space="preserve">share, of EBAC. </w:t>
      </w:r>
    </w:p>
    <w:p>
      <w:pPr>
        <w:pStyle w:val="TextBody"/>
        <w:bidi w:val="0"/>
        <w:spacing w:before="240" w:after="0"/>
        <w:jc w:val="left"/>
        <w:rPr>
          <w:rFonts w:ascii="Times New Roman" w:hAnsi="Times New Roman"/>
          <w:sz w:val="20"/>
        </w:rPr>
      </w:pPr>
      <w:r>
        <w:rPr>
          <w:rFonts w:ascii="Times New Roman" w:hAnsi="Times New Roman"/>
          <w:sz w:val="20"/>
        </w:rPr>
        <w:t xml:space="preserve">EBAC Common Stock means EBAC Class A Common Stock and EBAC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EBAC Private Placement Warrants means a warrant to purchase one share of EBAC Class A Common Stock at an exercise price of $11.50 issued to the Sponsor. </w:t>
      </w:r>
    </w:p>
    <w:p>
      <w:pPr>
        <w:pStyle w:val="TextBody"/>
        <w:bidi w:val="0"/>
        <w:spacing w:before="240" w:after="0"/>
        <w:jc w:val="left"/>
        <w:rPr>
          <w:rFonts w:ascii="Times New Roman" w:hAnsi="Times New Roman"/>
          <w:sz w:val="20"/>
        </w:rPr>
      </w:pPr>
      <w:r>
        <w:rPr>
          <w:rFonts w:ascii="Times New Roman" w:hAnsi="Times New Roman"/>
          <w:sz w:val="20"/>
        </w:rPr>
        <w:t xml:space="preserve">EBAC Public Warrants means a warrant to purchase one share of EBAC Class A Common Stock at an exercise price of $11.50 that was included in the units sold as part of EBACs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EBAC Shareholders means the shareholders of EBAC as of any applicable determination time prior to the </w:t>
      </w:r>
    </w:p>
    <w:p>
      <w:pPr>
        <w:pStyle w:val="TextBody"/>
        <w:bidi w:val="0"/>
        <w:spacing w:before="0" w:after="0"/>
        <w:jc w:val="left"/>
        <w:rPr>
          <w:rFonts w:ascii="Times New Roman" w:hAnsi="Times New Roman"/>
          <w:sz w:val="20"/>
        </w:rPr>
      </w:pPr>
      <w:r>
        <w:rPr>
          <w:rFonts w:ascii="Times New Roman" w:hAnsi="Times New Roman"/>
          <w:sz w:val="20"/>
        </w:rPr>
        <w:t xml:space="preserve">Acquisition Closing. </w:t>
      </w:r>
    </w:p>
    <w:p>
      <w:pPr>
        <w:pStyle w:val="TextBody"/>
        <w:bidi w:val="0"/>
        <w:spacing w:before="240" w:after="0"/>
        <w:jc w:val="left"/>
        <w:rPr>
          <w:rFonts w:ascii="Times New Roman" w:hAnsi="Times New Roman"/>
          <w:sz w:val="20"/>
        </w:rPr>
      </w:pPr>
      <w:r>
        <w:rPr>
          <w:rFonts w:ascii="Times New Roman" w:hAnsi="Times New Roman"/>
          <w:sz w:val="20"/>
        </w:rPr>
        <w:t xml:space="preserve">EBAC Warrants means the EBAC Public Warrants and the EBAC Private Placement Warrants. </w:t>
      </w:r>
    </w:p>
    <w:p>
      <w:pPr>
        <w:pStyle w:val="TextBody"/>
        <w:bidi w:val="0"/>
        <w:spacing w:before="240" w:after="0"/>
        <w:jc w:val="left"/>
        <w:rPr>
          <w:rFonts w:ascii="Times New Roman" w:hAnsi="Times New Roman"/>
          <w:sz w:val="20"/>
        </w:rPr>
      </w:pPr>
      <w:r>
        <w:rPr>
          <w:rFonts w:ascii="Times New Roman" w:hAnsi="Times New Roman"/>
          <w:sz w:val="20"/>
        </w:rPr>
        <w:t xml:space="preserve">EMA means the European Medicines Agency. </w:t>
      </w:r>
    </w:p>
    <w:p>
      <w:pPr>
        <w:pStyle w:val="TextBody"/>
        <w:bidi w:val="0"/>
        <w:spacing w:before="240" w:after="0"/>
        <w:jc w:val="left"/>
        <w:rPr>
          <w:rFonts w:ascii="Times New Roman" w:hAnsi="Times New Roman"/>
          <w:sz w:val="20"/>
        </w:rPr>
      </w:pPr>
      <w:r>
        <w:rPr>
          <w:rFonts w:ascii="Times New Roman" w:hAnsi="Times New Roman"/>
          <w:sz w:val="20"/>
        </w:rPr>
        <w:t xml:space="preserve">Exchange Act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Exchange Agent means Continental, which was selected by Oculis, Legacy Oculis, and EBAC to act on behalf of EBAC, EBAC Shareholders, Legacy Oculis and Legacy Oculis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Contribution means the contribution by the Exchange Agent of Surviving EBAC Shares and Surviving EBAC Warrants to Oculis in exchange for Ordinary Shares and Warrants. </w:t>
      </w:r>
    </w:p>
    <w:p>
      <w:pPr>
        <w:pStyle w:val="TextBody"/>
        <w:bidi w:val="0"/>
        <w:spacing w:before="240" w:after="0"/>
        <w:jc w:val="left"/>
        <w:rPr>
          <w:rFonts w:ascii="Times New Roman" w:hAnsi="Times New Roman"/>
          <w:sz w:val="20"/>
        </w:rPr>
      </w:pPr>
      <w:r>
        <w:rPr>
          <w:rFonts w:ascii="Times New Roman" w:hAnsi="Times New Roman"/>
          <w:sz w:val="20"/>
        </w:rPr>
        <w:t xml:space="preserve">Exchange Agent Contribution Actions means the distribution by the Exchange Agent of Ordinary Shares and Warrants to the holders of Surviving EBAC Shares and Surviving EBAC Warrants,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FDA means the U.S. Food and Drug Administration. </w:t>
      </w:r>
    </w:p>
    <w:p>
      <w:pPr>
        <w:pStyle w:val="TextBody"/>
        <w:bidi w:val="0"/>
        <w:spacing w:before="240" w:after="0"/>
        <w:jc w:val="left"/>
        <w:rPr>
          <w:rFonts w:ascii="Times New Roman" w:hAnsi="Times New Roman"/>
          <w:sz w:val="20"/>
        </w:rPr>
      </w:pPr>
      <w:r>
        <w:rPr>
          <w:rFonts w:ascii="Times New Roman" w:hAnsi="Times New Roman"/>
          <w:sz w:val="20"/>
        </w:rPr>
        <w:t xml:space="preserve">First Merger means when Merger Sub 1 merged with and into EBAC, with EBAC as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First Merger Effective Time means the time at which the First Merger became effective pursuant to the filing and registration of the plan of merger with the Cayman Islands Registrar of Companies. </w:t>
      </w:r>
    </w:p>
    <w:p>
      <w:pPr>
        <w:pStyle w:val="TextBody"/>
        <w:bidi w:val="0"/>
        <w:spacing w:before="240" w:after="0"/>
        <w:jc w:val="left"/>
        <w:rPr>
          <w:rFonts w:ascii="Times New Roman" w:hAnsi="Times New Roman"/>
          <w:sz w:val="20"/>
        </w:rPr>
      </w:pPr>
      <w:r>
        <w:rPr>
          <w:rFonts w:ascii="Times New Roman" w:hAnsi="Times New Roman"/>
          <w:sz w:val="20"/>
        </w:rPr>
        <w:t xml:space="preserve">IFRS means the International Financial Reporting Standards as adopted by the International Accounting </w:t>
      </w:r>
    </w:p>
    <w:p>
      <w:pPr>
        <w:pStyle w:val="TextBody"/>
        <w:bidi w:val="0"/>
        <w:spacing w:before="0" w:after="0"/>
        <w:jc w:val="left"/>
        <w:rPr>
          <w:rFonts w:ascii="Times New Roman" w:hAnsi="Times New Roman"/>
          <w:sz w:val="20"/>
        </w:rPr>
      </w:pPr>
      <w:r>
        <w:rPr>
          <w:rFonts w:ascii="Times New Roman" w:hAnsi="Times New Roman"/>
          <w:sz w:val="20"/>
        </w:rPr>
        <w:t xml:space="preserve">Standards Board. </w:t>
      </w:r>
    </w:p>
    <w:p>
      <w:pPr>
        <w:pStyle w:val="TextBody"/>
        <w:bidi w:val="0"/>
        <w:spacing w:before="240" w:after="0"/>
        <w:jc w:val="left"/>
        <w:rPr>
          <w:rFonts w:ascii="Times New Roman" w:hAnsi="Times New Roman"/>
          <w:sz w:val="20"/>
        </w:rPr>
      </w:pPr>
      <w:r>
        <w:rPr>
          <w:rFonts w:ascii="Times New Roman" w:hAnsi="Times New Roman"/>
          <w:sz w:val="20"/>
        </w:rPr>
        <w:t xml:space="preserve">Initial PIPE Financing means the private placement pursuant to which the Initial PIPE Investors subscribed for EBAC Class A Common Stock, for a subscription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Initial PIPE Investors means the institutional investors that committed to subscribe for EBAC Class A Common Stock in the Initial PIPE Financing. </w:t>
      </w:r>
    </w:p>
    <w:p>
      <w:pPr>
        <w:pStyle w:val="TextBody"/>
        <w:bidi w:val="0"/>
        <w:spacing w:before="240" w:after="0"/>
        <w:jc w:val="left"/>
        <w:rPr>
          <w:rFonts w:ascii="Times New Roman" w:hAnsi="Times New Roman"/>
          <w:sz w:val="20"/>
        </w:rPr>
      </w:pPr>
      <w:r>
        <w:rPr>
          <w:rFonts w:ascii="Times New Roman" w:hAnsi="Times New Roman"/>
          <w:sz w:val="20"/>
        </w:rPr>
        <w:t xml:space="preserve">Initial Subscription Agreements means the subscription agreements, each dated as of October 17, 2022, by and among EBAC and the Initial PIPE Investors party thereto. </w:t>
      </w:r>
    </w:p>
    <w:p>
      <w:pPr>
        <w:pStyle w:val="TextBody"/>
        <w:bidi w:val="0"/>
        <w:spacing w:before="240" w:after="0"/>
        <w:jc w:val="left"/>
        <w:rPr>
          <w:rFonts w:ascii="Times New Roman" w:hAnsi="Times New Roman"/>
          <w:sz w:val="20"/>
        </w:rPr>
      </w:pPr>
      <w:r>
        <w:rPr>
          <w:rFonts w:ascii="Times New Roman" w:hAnsi="Times New Roman"/>
          <w:sz w:val="20"/>
        </w:rPr>
        <w:t>Legacy Oculis means Oculis SA, a stock corporation (</w:t>
      </w:r>
      <w:r>
        <w:rPr>
          <w:rFonts w:ascii="Times New Roman" w:hAnsi="Times New Roman"/>
          <w:i/>
          <w:sz w:val="20"/>
        </w:rPr>
        <w:t>Aktiengesellschaft</w:t>
      </w:r>
      <w:r>
        <w:rPr>
          <w:rFonts w:ascii="Times New Roman" w:hAnsi="Times New Roman"/>
          <w:sz w:val="20"/>
        </w:rPr>
        <w:t xml:space="preserve">) incorporated and existing under the laws of Switzerland having its registered office at EPFL Innovation Park, Bat D 3e Route J-D. Colladon, CH-1015 Lausanne, Switzerland, individually or together with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Legacy Oculis Ordinary Shares means the ordinary shares of Legacy Oculis prior to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Legacy Oculis Shareholders means, collectively, the holders of shares of Company Share Capital as of any applicable determination time prior to the Acquisition Closing. </w:t>
      </w:r>
    </w:p>
    <w:p>
      <w:pPr>
        <w:pStyle w:val="TextBody"/>
        <w:bidi w:val="0"/>
        <w:spacing w:before="240" w:after="0"/>
        <w:jc w:val="left"/>
        <w:rPr>
          <w:rFonts w:ascii="Times New Roman" w:hAnsi="Times New Roman"/>
          <w:sz w:val="20"/>
        </w:rPr>
      </w:pPr>
      <w:r>
        <w:rPr>
          <w:rFonts w:ascii="Times New Roman" w:hAnsi="Times New Roman"/>
          <w:sz w:val="20"/>
        </w:rPr>
        <w:t xml:space="preserve">Legacy Oculis Shareholders Support Agreement means that certain agreement entered into concurrently with the execution of the Business Combination Agreement, dated as of October 17, 2022, by and among Legacy Oculis, EBAC and the Legacy Oculis Shareholders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Lenders means those certain Legacy Oculis Shareholders party to the Convertible Loan Agreements pursuant to which, among other things, such Legacy Oculis Shareholders agreed to grant Legacy Oculis a right to receive a convertible loan with certain conversion rights in an aggregate amount of $19,670,000. </w:t>
      </w:r>
    </w:p>
    <w:p>
      <w:pPr>
        <w:pStyle w:val="TextBody"/>
        <w:bidi w:val="0"/>
        <w:spacing w:before="240" w:after="0"/>
        <w:jc w:val="left"/>
        <w:rPr>
          <w:rFonts w:ascii="Times New Roman" w:hAnsi="Times New Roman"/>
          <w:sz w:val="20"/>
        </w:rPr>
      </w:pPr>
      <w:r>
        <w:rPr>
          <w:rFonts w:ascii="Times New Roman" w:hAnsi="Times New Roman"/>
          <w:sz w:val="20"/>
        </w:rPr>
        <w:t xml:space="preserve">Merger Sub 1 means Oculis Merger Sub I Company, a Cayman Islands exempted company that is a direct wholly owned subsidiary of Oculis. </w:t>
      </w:r>
    </w:p>
    <w:p>
      <w:pPr>
        <w:pStyle w:val="TextBody"/>
        <w:bidi w:val="0"/>
        <w:spacing w:before="240" w:after="0"/>
        <w:jc w:val="left"/>
        <w:rPr>
          <w:rFonts w:ascii="Times New Roman" w:hAnsi="Times New Roman"/>
          <w:sz w:val="20"/>
        </w:rPr>
      </w:pPr>
      <w:r>
        <w:rPr>
          <w:rFonts w:ascii="Times New Roman" w:hAnsi="Times New Roman"/>
          <w:sz w:val="20"/>
        </w:rPr>
        <w:t xml:space="preserve">Merger Sub 2 means Oculis Merger Sub II Company, a Cayman Islands exempted company that is a direct wholly owned subsidiary of Oculis. </w:t>
      </w:r>
    </w:p>
    <w:p>
      <w:pPr>
        <w:pStyle w:val="TextBody"/>
        <w:bidi w:val="0"/>
        <w:spacing w:before="240" w:after="0"/>
        <w:jc w:val="left"/>
        <w:rPr>
          <w:rFonts w:ascii="Times New Roman" w:hAnsi="Times New Roman"/>
          <w:sz w:val="20"/>
        </w:rPr>
      </w:pPr>
      <w:r>
        <w:rPr>
          <w:rFonts w:ascii="Times New Roman" w:hAnsi="Times New Roman"/>
          <w:sz w:val="20"/>
        </w:rPr>
        <w:t xml:space="preserve">Oculis Operations GmbH means Oculis Operations GmbH, a limited liability company (Gesellschaft mit </w:t>
      </w:r>
      <w:r>
        <w:rPr>
          <w:rFonts w:ascii="Times New Roman" w:hAnsi="Times New Roman"/>
          <w:i/>
          <w:sz w:val="20"/>
        </w:rPr>
        <w:t>beschränkter Haftung</w:t>
      </w:r>
      <w:r>
        <w:rPr>
          <w:rFonts w:ascii="Times New Roman" w:hAnsi="Times New Roman"/>
          <w:sz w:val="20"/>
        </w:rPr>
        <w:t xml:space="preserve">) incorporated and existing under the laws of Switzerland that is a direct wholly owned subsidiary of Oculis. </w:t>
      </w:r>
    </w:p>
    <w:p>
      <w:pPr>
        <w:pStyle w:val="TextBody"/>
        <w:bidi w:val="0"/>
        <w:spacing w:before="240" w:after="0"/>
        <w:jc w:val="left"/>
        <w:rPr>
          <w:rFonts w:ascii="Times New Roman" w:hAnsi="Times New Roman"/>
          <w:sz w:val="20"/>
        </w:rPr>
      </w:pPr>
      <w:r>
        <w:rPr>
          <w:rFonts w:ascii="Times New Roman" w:hAnsi="Times New Roman"/>
          <w:sz w:val="20"/>
        </w:rPr>
        <w:t xml:space="preserve">Nasdaq means The Nasdaq Stock Market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Non-Redemption Agreements means the Shareholder Non-Redemption Agreements, dated as of October 17, 2022 and December 9, 2022, by and among EBAC and certain EBAC Shareholders party thereto. </w:t>
      </w:r>
    </w:p>
    <w:p>
      <w:pPr>
        <w:pStyle w:val="TextBody"/>
        <w:bidi w:val="0"/>
        <w:spacing w:before="240" w:after="0"/>
        <w:jc w:val="left"/>
        <w:rPr>
          <w:rFonts w:ascii="Times New Roman" w:hAnsi="Times New Roman"/>
          <w:sz w:val="20"/>
        </w:rPr>
      </w:pPr>
      <w:r>
        <w:rPr>
          <w:rFonts w:ascii="Times New Roman" w:hAnsi="Times New Roman"/>
          <w:sz w:val="20"/>
        </w:rPr>
        <w:t>Oculis means as the context requires (a) the registrant, Oculis Holding AG, a stock corporation (</w:t>
      </w:r>
      <w:r>
        <w:rPr>
          <w:rFonts w:ascii="Times New Roman" w:hAnsi="Times New Roman"/>
          <w:i/>
          <w:sz w:val="20"/>
        </w:rPr>
        <w:t>Aktiengesellschaft</w:t>
      </w:r>
      <w:r>
        <w:rPr>
          <w:rFonts w:ascii="Times New Roman" w:hAnsi="Times New Roman"/>
          <w:sz w:val="20"/>
        </w:rPr>
        <w:t xml:space="preserve">) incorporated and existing under the laws of Switzerland, individually or together with its consolidated subsidiaries; or (b) prior to the Business Combination, Legacy Oculis. </w:t>
      </w:r>
    </w:p>
    <w:p>
      <w:pPr>
        <w:pStyle w:val="TextBody"/>
        <w:bidi w:val="0"/>
        <w:spacing w:before="240" w:after="0"/>
        <w:jc w:val="left"/>
        <w:rPr>
          <w:rFonts w:ascii="Times New Roman" w:hAnsi="Times New Roman"/>
          <w:sz w:val="20"/>
        </w:rPr>
      </w:pPr>
      <w:r>
        <w:rPr>
          <w:rFonts w:ascii="Times New Roman" w:hAnsi="Times New Roman"/>
          <w:sz w:val="20"/>
        </w:rPr>
        <w:t xml:space="preserve">Oculis Share Contribution means the contribution by the Legacy Oculis Shareholders of the full legal and beneficial ownership of the applicable Company Share Capital to Oculis. </w:t>
      </w:r>
    </w:p>
    <w:p>
      <w:pPr>
        <w:pStyle w:val="TextBody"/>
        <w:bidi w:val="0"/>
        <w:spacing w:before="240" w:after="0"/>
        <w:jc w:val="left"/>
        <w:rPr>
          <w:rFonts w:ascii="Times New Roman" w:hAnsi="Times New Roman"/>
          <w:sz w:val="20"/>
        </w:rPr>
      </w:pPr>
      <w:r>
        <w:rPr>
          <w:rFonts w:ascii="Times New Roman" w:hAnsi="Times New Roman"/>
          <w:sz w:val="20"/>
        </w:rPr>
        <w:t xml:space="preserve">ordinary shares means ordinary shares, nominal value CHF 0.01 per share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PIPE Financing means the Initial PIPE Financing and the Subsequent PIPE Financing, pursuant to which the PIPE Investors subscribed for EBAC Class A Common Stock, for a subscription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PIPE Investors means the Initial PIPE Investors and the Subsequent PIPE Investors. </w:t>
      </w:r>
    </w:p>
    <w:p>
      <w:pPr>
        <w:pStyle w:val="TextBody"/>
        <w:bidi w:val="0"/>
        <w:spacing w:before="240" w:after="0"/>
        <w:jc w:val="left"/>
        <w:rPr>
          <w:rFonts w:ascii="Times New Roman" w:hAnsi="Times New Roman"/>
          <w:sz w:val="20"/>
        </w:rPr>
      </w:pPr>
      <w:r>
        <w:rPr>
          <w:rFonts w:ascii="Times New Roman" w:hAnsi="Times New Roman"/>
          <w:sz w:val="20"/>
        </w:rPr>
        <w:t xml:space="preserve">PIPE Shares means the shares of EBAC Class A Common Stock purchased by the PIPE Investors. </w:t>
      </w:r>
    </w:p>
    <w:p>
      <w:pPr>
        <w:pStyle w:val="TextBody"/>
        <w:bidi w:val="0"/>
        <w:spacing w:before="240" w:after="0"/>
        <w:jc w:val="left"/>
        <w:rPr>
          <w:rFonts w:ascii="Times New Roman" w:hAnsi="Times New Roman"/>
          <w:sz w:val="20"/>
        </w:rPr>
      </w:pPr>
      <w:r>
        <w:rPr>
          <w:rFonts w:ascii="Times New Roman" w:hAnsi="Times New Roman"/>
          <w:sz w:val="20"/>
        </w:rPr>
        <w:t xml:space="preserve">Registration Rights and Lock-Up Agreement means the Amended and Restated Registration Rights and Lock-Up Agreement, dated as of March 2, 2023, by and among us, Sponsor and certain Legacy Oculis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 means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Second Merger means when EBAC merged with and into Merger Sub 2, with Merger Sub 2 as the surviving company. </w:t>
      </w:r>
    </w:p>
    <w:p>
      <w:pPr>
        <w:pStyle w:val="TextBody"/>
        <w:bidi w:val="0"/>
        <w:spacing w:before="240" w:after="0"/>
        <w:jc w:val="left"/>
        <w:rPr>
          <w:rFonts w:ascii="Times New Roman" w:hAnsi="Times New Roman"/>
          <w:sz w:val="20"/>
        </w:rPr>
      </w:pPr>
      <w:r>
        <w:rPr>
          <w:rFonts w:ascii="Times New Roman" w:hAnsi="Times New Roman"/>
          <w:sz w:val="20"/>
        </w:rPr>
        <w:t xml:space="preserve">Second Merger Effective Time means the time at which the Second Merger became effective pursuant to the filing and registration of the plan of merger with the Cayman Islands Registrar of Companies. </w:t>
      </w:r>
    </w:p>
    <w:p>
      <w:pPr>
        <w:pStyle w:val="TextBody"/>
        <w:bidi w:val="0"/>
        <w:spacing w:before="240" w:after="0"/>
        <w:jc w:val="left"/>
        <w:rPr>
          <w:rFonts w:ascii="Times New Roman" w:hAnsi="Times New Roman"/>
          <w:sz w:val="20"/>
        </w:rPr>
      </w:pPr>
      <w:r>
        <w:rPr>
          <w:rFonts w:ascii="Times New Roman" w:hAnsi="Times New Roman"/>
          <w:sz w:val="20"/>
        </w:rPr>
        <w:t xml:space="preserve">Securities Act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Share Cancellation means the cancellation of the Ordinary Shares held by EBAC concurrently with the </w:t>
      </w:r>
    </w:p>
    <w:p>
      <w:pPr>
        <w:pStyle w:val="TextBody"/>
        <w:bidi w:val="0"/>
        <w:spacing w:before="0" w:after="0"/>
        <w:jc w:val="left"/>
        <w:rPr>
          <w:rFonts w:ascii="Times New Roman" w:hAnsi="Times New Roman"/>
          <w:sz w:val="20"/>
        </w:rPr>
      </w:pPr>
      <w:r>
        <w:rPr>
          <w:rFonts w:ascii="Times New Roman" w:hAnsi="Times New Roman"/>
          <w:sz w:val="20"/>
        </w:rPr>
        <w:t xml:space="preserve">Exchange Agent Contribution. </w:t>
      </w:r>
    </w:p>
    <w:p>
      <w:pPr>
        <w:pStyle w:val="TextBody"/>
        <w:bidi w:val="0"/>
        <w:spacing w:before="240" w:after="0"/>
        <w:jc w:val="left"/>
        <w:rPr>
          <w:rFonts w:ascii="Times New Roman" w:hAnsi="Times New Roman"/>
          <w:sz w:val="20"/>
        </w:rPr>
      </w:pPr>
      <w:r>
        <w:rPr>
          <w:rFonts w:ascii="Times New Roman" w:hAnsi="Times New Roman"/>
          <w:sz w:val="20"/>
        </w:rPr>
        <w:t xml:space="preserve">Sponsor means LSP Sponsor EBAC B.V. a Dutch limited liability company. </w:t>
      </w:r>
    </w:p>
    <w:p>
      <w:pPr>
        <w:pStyle w:val="TextBody"/>
        <w:bidi w:val="0"/>
        <w:spacing w:before="240" w:after="0"/>
        <w:jc w:val="left"/>
        <w:rPr>
          <w:rFonts w:ascii="Times New Roman" w:hAnsi="Times New Roman"/>
          <w:sz w:val="20"/>
        </w:rPr>
      </w:pPr>
      <w:r>
        <w:rPr>
          <w:rFonts w:ascii="Times New Roman" w:hAnsi="Times New Roman"/>
          <w:sz w:val="20"/>
        </w:rPr>
        <w:t xml:space="preserve">Sponsor Support Agreement means the Sponsor Support Agreement, dated October 17, 2022, by and among </w:t>
      </w:r>
    </w:p>
    <w:p>
      <w:pPr>
        <w:pStyle w:val="TextBody"/>
        <w:bidi w:val="0"/>
        <w:spacing w:before="0" w:after="0"/>
        <w:jc w:val="left"/>
        <w:rPr>
          <w:rFonts w:ascii="Times New Roman" w:hAnsi="Times New Roman"/>
          <w:sz w:val="20"/>
        </w:rPr>
      </w:pPr>
      <w:r>
        <w:rPr>
          <w:rFonts w:ascii="Times New Roman" w:hAnsi="Times New Roman"/>
          <w:sz w:val="20"/>
        </w:rPr>
        <w:t xml:space="preserve">EBAC, Legacy Oculis and Sponsor. </w:t>
      </w:r>
    </w:p>
    <w:p>
      <w:pPr>
        <w:pStyle w:val="TextBody"/>
        <w:bidi w:val="0"/>
        <w:spacing w:before="240" w:after="0"/>
        <w:jc w:val="left"/>
        <w:rPr>
          <w:rFonts w:ascii="Times New Roman" w:hAnsi="Times New Roman"/>
          <w:sz w:val="20"/>
        </w:rPr>
      </w:pPr>
      <w:r>
        <w:rPr>
          <w:rFonts w:ascii="Times New Roman" w:hAnsi="Times New Roman"/>
          <w:sz w:val="20"/>
        </w:rPr>
        <w:t xml:space="preserve">Subscription Agreements means the Initial Subscription Agreements and the Subsequent Subscription </w:t>
      </w:r>
    </w:p>
    <w:p>
      <w:pPr>
        <w:pStyle w:val="TextBody"/>
        <w:bidi w:val="0"/>
        <w:spacing w:before="0" w:after="0"/>
        <w:jc w:val="left"/>
        <w:rPr>
          <w:rFonts w:ascii="Times New Roman" w:hAnsi="Times New Roman"/>
          <w:sz w:val="20"/>
        </w:rPr>
      </w:pPr>
      <w:r>
        <w:rPr>
          <w:rFonts w:ascii="Times New Roman" w:hAnsi="Times New Roman"/>
          <w:sz w:val="20"/>
        </w:rPr>
        <w:t xml:space="preserve">Agreements. </w:t>
      </w:r>
    </w:p>
    <w:p>
      <w:pPr>
        <w:pStyle w:val="TextBody"/>
        <w:bidi w:val="0"/>
        <w:spacing w:before="240" w:after="0"/>
        <w:jc w:val="left"/>
        <w:rPr>
          <w:rFonts w:ascii="Times New Roman" w:hAnsi="Times New Roman"/>
          <w:sz w:val="20"/>
        </w:rPr>
      </w:pPr>
      <w:r>
        <w:rPr>
          <w:rFonts w:ascii="Times New Roman" w:hAnsi="Times New Roman"/>
          <w:sz w:val="20"/>
        </w:rPr>
        <w:t xml:space="preserve">Subsequent PIPE Financing means the private placement pursuant to which the Subsequent PIPE Investors subscribed for EBAC Class A Common Stock, for a subscription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Subsequent PIPE Investors means the institutional investors that committed to subscribe for EBAC Class A Common Stock in the Subsequent PIPE Financing. </w:t>
      </w:r>
    </w:p>
    <w:p>
      <w:pPr>
        <w:pStyle w:val="TextBody"/>
        <w:bidi w:val="0"/>
        <w:spacing w:before="240" w:after="0"/>
        <w:jc w:val="left"/>
        <w:rPr>
          <w:rFonts w:ascii="Times New Roman" w:hAnsi="Times New Roman"/>
          <w:sz w:val="20"/>
        </w:rPr>
      </w:pPr>
      <w:r>
        <w:rPr>
          <w:rFonts w:ascii="Times New Roman" w:hAnsi="Times New Roman"/>
          <w:sz w:val="20"/>
        </w:rPr>
        <w:t xml:space="preserve">Subsequent Subscription Agreements means the subscription agreements, entered into in January 2023, by and among EBAC and the Subsequent PIPE Investors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Surviving EBAC Shares means EBAC Common Stock, including those held by the PIPE Investors, automatically converted into one class of common stock of EBAC, as the surviving company of the First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Surviving EBAC Warrants means EBAC Warrants outstanding immediately prior to the First Merger Effective Time automatically converted into warrants of EBAC, as the surviving company of the First Merger. </w:t>
      </w:r>
    </w:p>
    <w:p>
      <w:pPr>
        <w:pStyle w:val="TextBody"/>
        <w:bidi w:val="0"/>
        <w:spacing w:before="240" w:after="0"/>
        <w:jc w:val="left"/>
        <w:rPr>
          <w:rFonts w:ascii="Times New Roman" w:hAnsi="Times New Roman"/>
          <w:sz w:val="20"/>
        </w:rPr>
      </w:pPr>
      <w:r>
        <w:rPr>
          <w:rFonts w:ascii="Times New Roman" w:hAnsi="Times New Roman"/>
          <w:sz w:val="20"/>
        </w:rPr>
        <w:t xml:space="preserve">Swiss Code of Obligations means the Swiss Federal Act on the Amendment of the Swiss Civil Code of </w:t>
      </w:r>
    </w:p>
    <w:p>
      <w:pPr>
        <w:pStyle w:val="TextBody"/>
        <w:bidi w:val="0"/>
        <w:spacing w:before="0" w:after="0"/>
        <w:jc w:val="left"/>
        <w:rPr>
          <w:rFonts w:ascii="Times New Roman" w:hAnsi="Times New Roman"/>
          <w:sz w:val="20"/>
        </w:rPr>
      </w:pPr>
      <w:r>
        <w:rPr>
          <w:rFonts w:ascii="Times New Roman" w:hAnsi="Times New Roman"/>
          <w:sz w:val="20"/>
        </w:rPr>
        <w:t xml:space="preserve">March 30, 1911. </w:t>
      </w:r>
    </w:p>
    <w:p>
      <w:pPr>
        <w:pStyle w:val="TextBody"/>
        <w:bidi w:val="0"/>
        <w:spacing w:before="240" w:after="0"/>
        <w:jc w:val="left"/>
        <w:rPr>
          <w:rFonts w:ascii="Times New Roman" w:hAnsi="Times New Roman"/>
          <w:sz w:val="20"/>
        </w:rPr>
      </w:pPr>
      <w:r>
        <w:rPr>
          <w:rFonts w:ascii="Times New Roman" w:hAnsi="Times New Roman"/>
          <w:sz w:val="20"/>
        </w:rPr>
        <w:t xml:space="preserve">Third Merger means when Legacy Oculis merges with and into Oculis Operations GmbH, with Oculis Operations GmbH as the currently planned surviving company and wholly owned subsidiary of Oculis. </w:t>
      </w:r>
    </w:p>
    <w:p>
      <w:pPr>
        <w:pStyle w:val="TextBody"/>
        <w:bidi w:val="0"/>
        <w:spacing w:before="240" w:after="0"/>
        <w:jc w:val="left"/>
        <w:rPr>
          <w:rFonts w:ascii="Times New Roman" w:hAnsi="Times New Roman"/>
          <w:sz w:val="20"/>
        </w:rPr>
      </w:pPr>
      <w:r>
        <w:rPr>
          <w:rFonts w:ascii="Times New Roman" w:hAnsi="Times New Roman"/>
          <w:sz w:val="20"/>
        </w:rPr>
        <w:t xml:space="preserve">Third Merger Effective Time means the time at which the Third Merger becomes effective pursuant to the filing and the registration of the plan of merger in accordance with the provisions of the Swiss Code of Obligations or at such later time as may be agreed by Oculis and Legacy Oculis in writing and specified in such plan of merger. </w:t>
      </w:r>
    </w:p>
    <w:p>
      <w:pPr>
        <w:pStyle w:val="TextBody"/>
        <w:bidi w:val="0"/>
        <w:spacing w:before="240" w:after="0"/>
        <w:jc w:val="left"/>
        <w:rPr>
          <w:rFonts w:ascii="Times New Roman" w:hAnsi="Times New Roman"/>
          <w:sz w:val="20"/>
        </w:rPr>
      </w:pPr>
      <w:r>
        <w:rPr>
          <w:rFonts w:ascii="Times New Roman" w:hAnsi="Times New Roman"/>
          <w:sz w:val="20"/>
        </w:rPr>
        <w:t xml:space="preserve">Transfer Agent means Continental. </w:t>
      </w:r>
    </w:p>
    <w:p>
      <w:pPr>
        <w:pStyle w:val="TextBody"/>
        <w:bidi w:val="0"/>
        <w:spacing w:before="240" w:after="0"/>
        <w:jc w:val="left"/>
        <w:rPr>
          <w:rFonts w:ascii="Times New Roman" w:hAnsi="Times New Roman"/>
          <w:sz w:val="20"/>
        </w:rPr>
      </w:pPr>
      <w:r>
        <w:rPr>
          <w:rFonts w:ascii="Times New Roman" w:hAnsi="Times New Roman"/>
          <w:sz w:val="20"/>
        </w:rPr>
        <w:t xml:space="preserve">Trust Account means that certain trust account with Continental, as trustee, containing the cash proceeds of EBAC from its initial public offering and private placement of securities (and all accrued interest earned thereon), deposited therein for the benefit of EBAC and EBACs public shareholders. </w:t>
      </w:r>
    </w:p>
    <w:p>
      <w:pPr>
        <w:pStyle w:val="TextBody"/>
        <w:bidi w:val="0"/>
        <w:spacing w:before="240" w:after="0"/>
        <w:jc w:val="left"/>
        <w:rPr>
          <w:rFonts w:ascii="Times New Roman" w:hAnsi="Times New Roman"/>
          <w:sz w:val="20"/>
        </w:rPr>
      </w:pPr>
      <w:r>
        <w:rPr>
          <w:rFonts w:ascii="Times New Roman" w:hAnsi="Times New Roman"/>
          <w:sz w:val="20"/>
        </w:rPr>
        <w:t xml:space="preserve">Warrants means a right to acquire Ordinary Shares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Warrant Assignment and Assumption Agreement means the Warrant Assignment and Assumption Agreement to be entered into among EBAC, Oculis and the Exchange Agent, which became effective immediately following the completion of the Exchange Agent Contribution and concurrent Share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394147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This summary does not contain all of the information you should consider before investing in our securities. Before making an investment decision, you should read this entire prospectus carefully, especially Risk Factors and the financial statements and related notes thereto, and the other documents to which this prospectus refers. Some of the statements in this prospectus constitute forward-looking statements that involve risks and uncertainties. See Cautionary Note Regarding Forward-Looking Statements for more information.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based in Switzerland, with substantial expertise in therapeutics used to treat ocular diseases, and engaged in the development of innovative drug candidates which have the potential to address many eye-related conditions. Our mission and vision is to improve the health and quality of life of patients around the world by developing medicines that save sight and improve eye care for patients. To realize this vision, we intend to become a global leader in ocular therapeutics.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focus is on advancing therapeutic candidates intended to treat significant ophthalmic diseases which result in vision loss, blindness or reduced quality of life, and for which prevalence is growing and there are currently inadequate, limited or no treatment options. Our clinical portfolio currently consists of three therapeutic candidates: OCS-01, OCS-02 and OCS-05. Our lead product candidate, OCS-01, is currently being evaluated in two ongoing Phase 3 clinical trials: for the treatment of diabetic macular edema (</w:t>
      </w:r>
      <w:r>
        <w:rPr>
          <w:rFonts w:ascii="Times New Roman" w:hAnsi="Times New Roman"/>
          <w:i/>
          <w:sz w:val="20"/>
          <w:bdr w:val="single" w:sz="8" w:space="1" w:color="000000"/>
        </w:rPr>
        <w:t>DME</w:t>
      </w:r>
      <w:r>
        <w:rPr>
          <w:rFonts w:ascii="Times New Roman" w:hAnsi="Times New Roman"/>
          <w:sz w:val="20"/>
          <w:bdr w:val="single" w:sz="8" w:space="1" w:color="000000"/>
        </w:rPr>
        <w:t xml:space="preserve">), and for the treatment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of inflammation and pain following ocular surgery. Our second product candidate is OCS-02, for which we anticipate entering into Phase 2b clinical stage in 2023, evaluating: its use as a potential treatment for keratoconjunctivitis sicca, or dry eye disease (</w:t>
      </w:r>
      <w:r>
        <w:rPr>
          <w:rFonts w:ascii="Times New Roman" w:hAnsi="Times New Roman"/>
          <w:i/>
          <w:sz w:val="20"/>
          <w:bdr w:val="single" w:sz="8" w:space="1" w:color="000000"/>
        </w:rPr>
        <w:t>DED</w:t>
      </w:r>
      <w:r>
        <w:rPr>
          <w:rFonts w:ascii="Times New Roman" w:hAnsi="Times New Roman"/>
          <w:sz w:val="20"/>
          <w:bdr w:val="single" w:sz="8" w:space="1" w:color="000000"/>
        </w:rPr>
        <w:t>), and its use as a potential treatment for non-infectious anterior uveitis. Our third product candidate is OCS-05, which is a novel neuroprotective agent with potential application in multiple indications, including glaucoma, geographic atrophy (</w:t>
      </w:r>
      <w:r>
        <w:rPr>
          <w:rFonts w:ascii="Times New Roman" w:hAnsi="Times New Roman"/>
          <w:i/>
          <w:sz w:val="20"/>
          <w:bdr w:val="single" w:sz="8" w:space="1" w:color="000000"/>
        </w:rPr>
        <w:t>GA</w:t>
      </w:r>
      <w:r>
        <w:rPr>
          <w:rFonts w:ascii="Times New Roman" w:hAnsi="Times New Roman"/>
          <w:sz w:val="20"/>
          <w:bdr w:val="single" w:sz="8" w:space="1" w:color="000000"/>
        </w:rPr>
        <w:t>) , diabetic retinopathy (</w:t>
      </w:r>
      <w:r>
        <w:rPr>
          <w:rFonts w:ascii="Times New Roman" w:hAnsi="Times New Roman"/>
          <w:i/>
          <w:sz w:val="20"/>
          <w:bdr w:val="single" w:sz="8" w:space="1" w:color="000000"/>
        </w:rPr>
        <w:t>DR</w:t>
      </w:r>
      <w:r>
        <w:rPr>
          <w:rFonts w:ascii="Times New Roman" w:hAnsi="Times New Roman"/>
          <w:sz w:val="20"/>
          <w:bdr w:val="single" w:sz="8" w:space="1" w:color="000000"/>
        </w:rPr>
        <w:t>), and neurotrophic keratitis. We are initially evaluating OCS-05 as a potential treatment for acute optic neuritis (</w:t>
      </w:r>
      <w:r>
        <w:rPr>
          <w:rFonts w:ascii="Times New Roman" w:hAnsi="Times New Roman"/>
          <w:i/>
          <w:sz w:val="20"/>
          <w:bdr w:val="single" w:sz="8" w:space="1" w:color="000000"/>
        </w:rPr>
        <w:t>AON</w:t>
      </w:r>
      <w:r>
        <w:rPr>
          <w:rFonts w:ascii="Times New Roman" w:hAnsi="Times New Roman"/>
          <w:sz w:val="20"/>
          <w:bdr w:val="single" w:sz="8" w:space="1" w:color="000000"/>
        </w:rPr>
        <w:t xml:space="preserve">) for which there are no currently approved therapeutic treatments.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more information about Oculis, see the sections entitled </w:t>
      </w:r>
      <w:r>
        <w:rPr>
          <w:rFonts w:ascii="Times New Roman" w:hAnsi="Times New Roman"/>
          <w:i/>
          <w:sz w:val="20"/>
          <w:bdr w:val="single" w:sz="8" w:space="1" w:color="000000"/>
        </w:rPr>
        <w:t>Business</w:t>
      </w:r>
      <w:r>
        <w:rPr>
          <w:rFonts w:ascii="Times New Roman" w:hAnsi="Times New Roman"/>
          <w:sz w:val="20"/>
          <w:bdr w:val="single" w:sz="8" w:space="1" w:color="000000"/>
        </w:rPr>
        <w:t> and </w:t>
      </w:r>
      <w:r>
        <w:rPr>
          <w:rFonts w:ascii="Times New Roman" w:hAnsi="Times New Roman"/>
          <w:i/>
          <w:sz w:val="20"/>
          <w:bdr w:val="single" w:sz="8" w:space="1" w:color="000000"/>
        </w:rPr>
        <w:t>Managements Discussion and</w:t>
      </w:r>
      <w:r>
        <w:rPr>
          <w:rFonts w:ascii="Times New Roman" w:hAnsi="Times New Roman"/>
          <w:sz w:val="20"/>
          <w:bdr w:val="single" w:sz="8" w:space="1" w:color="000000"/>
        </w:rPr>
        <w:t xml:space="preserve"> </w:t>
      </w:r>
      <w:r>
        <w:rPr>
          <w:rFonts w:ascii="Times New Roman" w:hAnsi="Times New Roman"/>
          <w:i/>
          <w:sz w:val="20"/>
          <w:bdr w:val="single" w:sz="8" w:space="1" w:color="000000"/>
        </w:rPr>
        <w:t>Analysis of Financial Condition and Results of Operation.</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2023, we announced topline data for Stage 1 of the DIAMOND Phase 3 clinical trial of OCS-01 in DME. Topical OCS-01 met the primary and secondary endpoints in Stage 1 with robust statistical significance. The primary endpoint was mean change in BCVA compared to baseline at Week 6. OCS-01 showed a statistically significant improvement in BCVA over baseline compared to vehicle (OCS-01: 7.2 letters vs vehicle: 3.1 letters, p=0.007). This effect was sustained to Week 12 with statistical significance (OCS-01: 7.6 letters vs vehicle: 3.7 letters, p=0.016). We also observed a higher percentage of patients in the OCS-01 group who achieved ≥15-letter improvement in BCVA from baseline vs vehicle at Week 6 (OCS-01: 25.3% vs vehicle: 9.8%, p=0.015), which was sustained to Week 12 (OCS-01: 27.4% vs vehicle 7.5%, p=0.009). The effect on retinal thickness was also observed with a statistically significant decrease in CST at Week 6 vs baseline in the OCS-01 treatment arm (OCS-01: -63.6 µm vs vehicle: +5.5 µm, p&lt;0.0001). The decrease in retinal thickness persisted to Week 12 (-61.6 µm vs -16.0 µm, p=0.004). OCS-01 was well tolerated, with no unexpected adverse events observed. The OCS-01 development program will continue as planned with Stage 2, the pivotal part, of the DIAMOND trial, which is being conducted in two global trials, each enrolling approximately 350-450 patients. We anticipate starting Stage 2 in the second half of 2023. See Business - OCS-01 - Phase 3 trial design for OCS-01.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JOBS Act. As an emerging growth company, we may take advantage of certain exemptions from specified disclosure and other requirements that are otherwise generally applicable to public companies. These exemptions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for the assessment of our internal control over financial reporting provided by Section 404 of the Sarbanes-Oxley Act of 2002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hold a nonbinding advisory vote on executive compensation or seek shareholder approval of any golden parachute payments not previously approved.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reporting exemptions until we are no longer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considered a foreign private issuer and will report under the Securities 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public companies,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requiring insiders to file public reports of their stock ownership and trading activities and liability for insiders who profit from trades made in a short period of time;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reporting exemptions until such time that we are no longer a foreign private issuer. We could lose our status as a foreign private issuer under current SEC rules and regulations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choose to take advantage of some but not all of these reduced burdens. We have taken advantage of reduced reporting requirements in this prospectus. Accordingly, the information contained in this prospectus may be different from the information you receive from our competitors that are public companies, or other public companies in which you have made an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foreign private issuer and in accordance with Nasdaq Listing Rule 5615(a)(3), we may choose to, and have chosen to, comply with home country (Switzerland) governance requirements and certain exemptions thereunder rather than complying with certain of the corporate governance requirements of the Nasdaq.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Swiss law does not require that a majority of our board of directors consist of independent directors and therefore may include fewer independent directors than would be required if we were subject to Nasdaq Listing Rule 5605(b)(1). We currently comply, and intend to comply, with Nasdaq Listing Rule 5605(b)(1). In addition, we are not subject to Nasdaq Listing Rule 5605(b)(2), which requires that independent directors regularly have scheduled meetings at which only independent directors are present.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Swiss law requires that we set up a remuneration committee, which we have done in accordance with that law. As we may follow home country requirements with respect to such committee, among other things, Swiss law does not require that all or a majority of the remuneration committee consist of independent directors.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also choose to take advantage of other exemptions including but not limited to the exemption from the requirement to obtain shareholder approval for certain issuances of securities, including shareholder approval of share option plans.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articles of association provide for an independent proxy elected by our shareholders, who may represent our shareholders of record at a general meeting of shareholders, and we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securities entails a high degree of risk as more fully described under Risk Factors. You should carefully consider such risks before deciding to invest in our securities. These risks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very limited operating history and no products approved for commercial sale, which may make it difficult to evaluate our current business and predict our future success and viability.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net losses in each period since our inception and anticipate that we will continue to incur significant and increasing net losses for the foreseeable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Drug development is a highly uncertain undertaking and involves a substantial degree of risk. We have never generated any revenue from product sales, and we may never generate revenue or be profitable.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obtain additional financing, we may be unable to complete the development and, if approved,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yet successfully completed any Phase 3 clinical trials, received any marketing approvals or commercialized any pharmaceutical products, which may make it difficult to evaluate our future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may cause undesirable side effects, such as an increase in intraocular pressure caused by OCS-01, or have other unexpected properties that could delay or prevent their regulatory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OCS-02, a biologic, is highly complex, costly and requires substantial lead time to produce.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a product candidate obtains regulatory approval, it may fail to achieve the broad degree of physician and patient adoption and use necessary for commercial success.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or more successfully than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legal entity named Oculis Holding AG was incorporated under the laws of Switzerland on October 31, 2022 as a stock corporation (</w:t>
      </w:r>
      <w:r>
        <w:rPr>
          <w:rFonts w:ascii="Times New Roman" w:hAnsi="Times New Roman"/>
          <w:i/>
          <w:sz w:val="20"/>
          <w:bdr w:val="single" w:sz="8" w:space="1" w:color="000000"/>
        </w:rPr>
        <w:t>Aktiengesellschaft</w:t>
      </w:r>
      <w:r>
        <w:rPr>
          <w:rFonts w:ascii="Times New Roman" w:hAnsi="Times New Roman"/>
          <w:sz w:val="20"/>
          <w:bdr w:val="single" w:sz="8" w:space="1" w:color="000000"/>
        </w:rPr>
        <w:t xml:space="preserve">) having its registered office at Bahnhofstrasse 7, CH-6300, Zug,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agent for service of process in the United States is Oculis US Inc. Our principal website address is </w:t>
      </w:r>
      <w:r>
        <w:rPr>
          <w:rFonts w:ascii="Times New Roman" w:hAnsi="Times New Roman"/>
          <w:i/>
          <w:sz w:val="20"/>
          <w:bdr w:val="single" w:sz="8" w:space="1" w:color="000000"/>
        </w:rPr>
        <w:t>www.oculis.com</w:t>
      </w:r>
      <w:r>
        <w:rPr>
          <w:rFonts w:ascii="Times New Roman" w:hAnsi="Times New Roman"/>
          <w:sz w:val="20"/>
          <w:bdr w:val="single" w:sz="8" w:space="1" w:color="000000"/>
        </w:rPr>
        <w:t xml:space="preserve">. We do not incorporate the information contained on, or accessible through, our website into this prospectus, and you should not consider it a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make our reports and other information filed with or furnished to the SEC pursuant to Section 13(a) or 15(d) of the Exchange Act available, free of charge, through our website, as soon as reasonably practicable after those reports and other information are electronically filed with or furnished to the SEC. The SEC maintains an internet site at http://www.sec.gov that contains reports and other information regarding issuers that file electronically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TERMS OF 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offered by us </w:t>
            </w:r>
          </w:p>
        </w:tc>
        <w:tc>
          <w:tcPr>
            <w:tcW w:w="6328" w:type="dxa"/>
            <w:tcBorders/>
          </w:tcPr>
          <w:p>
            <w:pPr>
              <w:pStyle w:val="TableContents"/>
              <w:bidi w:val="0"/>
              <w:spacing w:before="0" w:after="283"/>
              <w:jc w:val="left"/>
              <w:rPr/>
            </w:pPr>
            <w:r>
              <w:rPr/>
              <w:t xml:space="preserve">3,500,000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9" w:type="dxa"/>
            <w:tcBorders/>
          </w:tcPr>
          <w:p>
            <w:pPr>
              <w:pStyle w:val="TableContents"/>
              <w:bidi w:val="0"/>
              <w:spacing w:before="0" w:after="283"/>
              <w:jc w:val="left"/>
              <w:rPr/>
            </w:pPr>
            <w:r>
              <w:rPr/>
              <w:t xml:space="preserve">$11.50 per ordinary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ordinary shares </w:t>
            </w:r>
          </w:p>
        </w:tc>
        <w:tc>
          <w:tcPr>
            <w:tcW w:w="6327" w:type="dxa"/>
            <w:tcBorders/>
          </w:tcPr>
          <w:p>
            <w:pPr>
              <w:pStyle w:val="TableContents"/>
              <w:bidi w:val="0"/>
              <w:spacing w:before="0" w:after="283"/>
              <w:jc w:val="left"/>
              <w:rPr/>
            </w:pPr>
            <w:r>
              <w:rPr/>
              <w:t xml:space="preserve">We have granted the underwriters an option for a period of 30 days from the date of this prospectus to purchase up to an aggregate of 525,000 additional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to be outstanding after the offering </w:t>
            </w:r>
          </w:p>
        </w:tc>
        <w:tc>
          <w:tcPr>
            <w:tcW w:w="6327" w:type="dxa"/>
            <w:tcBorders/>
          </w:tcPr>
          <w:p>
            <w:pPr>
              <w:pStyle w:val="TableContents"/>
              <w:bidi w:val="0"/>
              <w:spacing w:before="0" w:after="283"/>
              <w:jc w:val="left"/>
              <w:rPr/>
            </w:pPr>
            <w:r>
              <w:rPr/>
              <w:t xml:space="preserve">36,233,373 ordinary shares (or 36,758,373 ordinary shares if the underwriters exercise their option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We estimate that we will receive net proceeds from the offering of approximately $36.6 million based on the offering price of $11.50 per ordinary share, after deducting underwriting commissions and estimated offering expenses payable by us. We intend to use the net proceeds from the offering, together with our existing resources, for OCS-01 NDA enabling activities, including its DME development candidate, and any remaining amounts to fund our other development programs and for working capital and general corporate purposes. See </w:t>
            </w:r>
            <w:r>
              <w:rPr>
                <w:i/>
              </w:rPr>
              <w:t>Use of Proceeds</w:t>
            </w:r>
            <w:r>
              <w:rPr/>
              <w:t xml:space="preserve"> for more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You should read the Risk Factors section of this prospectus for a discussion of factors to consider carefully before deciding to invest in the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Market symbol for our ordinary shares </w:t>
            </w:r>
          </w:p>
        </w:tc>
        <w:tc>
          <w:tcPr>
            <w:tcW w:w="6329" w:type="dxa"/>
            <w:tcBorders/>
          </w:tcPr>
          <w:p>
            <w:pPr>
              <w:pStyle w:val="TableContents"/>
              <w:bidi w:val="0"/>
              <w:spacing w:before="0" w:after="283"/>
              <w:jc w:val="left"/>
              <w:rPr/>
            </w:pPr>
            <w:r>
              <w:rPr/>
              <w:t xml:space="preserve">OCS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ordinary shares that will be outstanding after the offering is based on 32,733,373 ordinary shares outstanding as of March 31, 2023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3,347,214 ordinary shares issuable upon the exercise of options outstanding as of March 31, 2023 under the 2023 Plan at a weighted-average exercise price of $5.05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4,324,232 ordinary shares reserved for future issuance under the 2023 Plan, as well as any automatic increase in the number of ordinary shares reserved for future issuance thereunder, as of March 31,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369,737 earn-out options available for future issuance, subject to satisfaction of certain vesting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3,793,995 earn-out shares available for future issuance, subject to satisfaction of certain vesting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4,403,294 ordinary shares issuable upon exercise of Warrants outstanding as of March 31, 2023 at a weighted-average exercise price of $11.50 per share.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information in this prospectus assumes no exercise by the underwriters of their option to purchase additional shares and no exercise of warrants or other equity awards subsequent to March 31,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our summary historical financial information for the periods and as of the dates indicated. The summary historical financial information as of December 31, 2022 and 2021 and for the years ended December 31, 2022, 2021 and 2020 was derived from our historical audited consolidated financial statements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summary historical financial information should be read together with the consolidated financial statements and accompanying notes, </w:t>
      </w:r>
      <w:r>
        <w:rPr>
          <w:rFonts w:ascii="Times New Roman" w:hAnsi="Times New Roman"/>
          <w:i/>
          <w:sz w:val="20"/>
          <w:bdr w:val="single" w:sz="8" w:space="1" w:color="000000"/>
        </w:rPr>
        <w:t>Risk Factors</w:t>
      </w:r>
      <w:r>
        <w:rPr>
          <w:rFonts w:ascii="Times New Roman" w:hAnsi="Times New Roman"/>
          <w:sz w:val="20"/>
          <w:bdr w:val="single" w:sz="8" w:space="1" w:color="000000"/>
        </w:rPr>
        <w:t> and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appearing elsewhere in this prospectus. The summary historical financial information in this section is not intended to replace our historical consolidated financial statements and the related notes. Our historical results are not necessarily indicative of our future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As explained elsewhere in this prospectus, the financial information contained in this section relates to Legacy Oculis, prior to and without giving pro forma effect to the impact of the Business Combination and, as a result, the results reflected in this section may not be indicative of the results of the combined entity going forward. See the section entitled,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included elsewhere in this 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Summary Historical Financial Information: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4681"/>
        <w:gridCol w:w="251"/>
        <w:gridCol w:w="60"/>
        <w:gridCol w:w="828"/>
        <w:gridCol w:w="156"/>
        <w:gridCol w:w="251"/>
        <w:gridCol w:w="60"/>
        <w:gridCol w:w="828"/>
        <w:gridCol w:w="156"/>
        <w:gridCol w:w="251"/>
        <w:gridCol w:w="60"/>
        <w:gridCol w:w="828"/>
        <w:gridCol w:w="162"/>
      </w:tblGrid>
      <w:tr>
        <w:trPr/>
        <w:tc>
          <w:tcPr>
            <w:tcW w:w="4681"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34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i/>
              </w:rPr>
            </w:pPr>
            <w:r>
              <w:rPr>
                <w:i/>
              </w:rPr>
              <w:t>In CHF thousands</w:t>
            </w:r>
          </w:p>
        </w:tc>
        <w:tc>
          <w:tcPr>
            <w:tcW w:w="25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income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912</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960</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993</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912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960</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993</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(22,224</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(9,568</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(9,337</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(11,064</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(4,624</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(3,992</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(33,288</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(14,192</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(13,329</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(32,376</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(13,232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(12,336</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126</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21</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10</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(6,442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(5,120</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(2,628</w:t>
            </w:r>
          </w:p>
        </w:tc>
        <w:tc>
          <w:tcPr>
            <w:tcW w:w="162" w:type="dxa"/>
            <w:tcBorders/>
            <w:vAlign w:val="bottom"/>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49</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(193</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163</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Finance result, net</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(6,267</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(5,292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(2,455</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 for the period</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(38,643</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(18,524</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(14,790</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(55</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(27</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(83</w:t>
            </w:r>
          </w:p>
        </w:tc>
        <w:tc>
          <w:tcPr>
            <w:tcW w:w="162" w:type="dxa"/>
            <w:tcBorders/>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(38,698</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(18,552</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(14,873</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6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loss for the period attributable to equity holders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(12.94</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(6.68</w:t>
            </w:r>
          </w:p>
        </w:tc>
        <w:tc>
          <w:tcPr>
            <w:tcW w:w="156"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(5.77</w:t>
            </w:r>
          </w:p>
        </w:tc>
        <w:tc>
          <w:tcPr>
            <w:tcW w:w="162" w:type="dxa"/>
            <w:tcBorders/>
            <w:shd w:fill="CCEEFF" w:val="clear"/>
            <w:vAlign w:val="bottom"/>
          </w:tcPr>
          <w:p>
            <w:pPr>
              <w:pStyle w:val="TableContents"/>
              <w:bidi w:val="0"/>
              <w:spacing w:before="0" w:after="283"/>
              <w:jc w:val="left"/>
              <w:rPr/>
            </w:pPr>
            <w:r>
              <w:rPr/>
              <w:t>) </w:t>
            </w:r>
          </w:p>
        </w:tc>
      </w:tr>
      <w:tr>
        <w:trPr/>
        <w:tc>
          <w:tcPr>
            <w:tcW w:w="4681"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pro forma loss for the period attributable to equity holders (1)</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(11.32</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(5.84</w:t>
            </w:r>
          </w:p>
        </w:tc>
        <w:tc>
          <w:tcPr>
            <w:tcW w:w="15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(5.05</w:t>
            </w:r>
          </w:p>
        </w:tc>
        <w:tc>
          <w:tcPr>
            <w:tcW w:w="162"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Gives effect to the recapitalization of Oculis as a result of the exchange of common shares of Legacy Oculis for ordinary shares at the ratio of 1.1432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UNAUDITED PRO FORMA CONDENSED COMBINED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summary unaudited pro forma condensed combined financial information is provided to aid you in your analysis of the financial aspects of the transactions as further described in the section </w:t>
      </w:r>
      <w:r>
        <w:rPr>
          <w:rFonts w:ascii="Times New Roman" w:hAnsi="Times New Roman"/>
          <w:i/>
          <w:sz w:val="20"/>
          <w:bdr w:val="single" w:sz="8" w:space="1" w:color="000000"/>
        </w:rPr>
        <w:t>Unaudited Pro</w:t>
      </w:r>
      <w:r>
        <w:rPr>
          <w:rFonts w:ascii="Times New Roman" w:hAnsi="Times New Roman"/>
          <w:sz w:val="20"/>
          <w:bdr w:val="single" w:sz="8" w:space="1" w:color="000000"/>
        </w:rPr>
        <w:t xml:space="preserve"> </w:t>
      </w:r>
    </w:p>
    <w:p>
      <w:pPr>
        <w:pStyle w:val="TextBody"/>
        <w:bidi w:val="0"/>
        <w:spacing w:before="0" w:after="0"/>
        <w:jc w:val="left"/>
        <w:rPr>
          <w:rFonts w:ascii="Times New Roman" w:hAnsi="Times New Roman"/>
          <w:sz w:val="20"/>
          <w:bdr w:val="single" w:sz="8" w:space="1" w:color="000000"/>
        </w:rPr>
      </w:pPr>
      <w:r>
        <w:rPr>
          <w:rFonts w:ascii="Times New Roman" w:hAnsi="Times New Roman"/>
          <w:i/>
          <w:sz w:val="20"/>
          <w:bdr w:val="single" w:sz="8" w:space="1" w:color="000000"/>
        </w:rPr>
        <w:t>Forma Condensed Combined Financial Information</w:t>
      </w:r>
      <w:r>
        <w:rPr>
          <w:rFonts w:ascii="Times New Roman" w:hAnsi="Times New Roman"/>
          <w:sz w:val="20"/>
          <w:bdr w:val="single" w:sz="8" w:space="1" w:color="000000"/>
        </w:rPr>
        <w:t xml:space="preserve">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unaudited pro forma condensed combined statement of financial position as of December 31, 2022 gives pro forma effect to the Business Combination and related transactions as if the Business Combination had been consummated as of that date. The unaudited pro forma condensed combined statement of profit or loss for the year ended December 31, 2022 gives pro forma effect to the Business Combination and related transactions as if the Business Combination had been consummated on January 1, 2022.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combined financial information has been derived from, and should be read in conjunction with, the unaudited pro forma condensed combined financial information of the Combined Company, and the accompanying notes thereto, included elsewhere in this prospectus. The unaudited pro forma condensed combined financial information has been derived from, and should be read in conjunction with,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Oculis and EBACs audited financial statements and related notes, as applicable. The unaudited pro forma condensed combined financial information should also be read in conjunction with the section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and other financial information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combined financial information and the unaudited pro forma condensed combined financial information have been presented for illustrative purposes and are not necessarily indicative of what the Combined Companys financial position or results of operations would have been had the Business Combination and related transactions been consummated as of the dates indicated. In addition, the pro forma information does not purport to project the future financial position or operating results of the Combined Company. The actual financial position and results of operations may differ significantly from the pro forma amounts reflected herein due to a variety of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Acquisition Closing, 11,505,684 EBAC Class A Ordinary Shares were redeemed by the Public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Shareholders for an aggregate redemption payment of $117,486,683.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Refer to the section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for further information. </w:t>
      </w:r>
    </w:p>
    <w:p>
      <w:pPr>
        <w:pStyle w:val="TextBody"/>
        <w:bidi w:val="0"/>
        <w:spacing w:before="0" w:after="0"/>
        <w:jc w:val="left"/>
        <w:rPr>
          <w:bdr w:val="single" w:sz="8" w:space="1" w:color="000000"/>
        </w:rPr>
      </w:pPr>
      <w:r>
        <w:rPr>
          <w:bdr w:val="single" w:sz="8" w:space="1" w:color="000000"/>
        </w:rPr>
        <w:t> </w:t>
      </w:r>
    </w:p>
    <w:tbl>
      <w:tblPr>
        <w:tblW w:w="3800" w:type="pct"/>
        <w:jc w:val="center"/>
        <w:tblInd w:w="0" w:type="dxa"/>
        <w:tblLayout w:type="fixed"/>
        <w:tblCellMar>
          <w:top w:w="0" w:type="dxa"/>
          <w:left w:w="0" w:type="dxa"/>
          <w:bottom w:w="0" w:type="dxa"/>
          <w:right w:w="0" w:type="dxa"/>
        </w:tblCellMar>
      </w:tblPr>
      <w:tblGrid>
        <w:gridCol w:w="4943"/>
        <w:gridCol w:w="303"/>
        <w:gridCol w:w="60"/>
        <w:gridCol w:w="1178"/>
        <w:gridCol w:w="60"/>
        <w:gridCol w:w="303"/>
        <w:gridCol w:w="60"/>
        <w:gridCol w:w="566"/>
        <w:gridCol w:w="282"/>
      </w:tblGrid>
      <w:tr>
        <w:trPr/>
        <w:tc>
          <w:tcPr>
            <w:tcW w:w="494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94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238"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26" w:type="dxa"/>
            <w:gridSpan w:val="2"/>
            <w:tcBorders/>
            <w:vAlign w:val="bottom"/>
          </w:tcPr>
          <w:p>
            <w:pPr>
              <w:pStyle w:val="TableContents"/>
              <w:bidi w:val="0"/>
              <w:spacing w:before="0" w:after="283"/>
              <w:jc w:val="center"/>
              <w:rPr>
                <w:b/>
              </w:rPr>
            </w:pPr>
            <w:r>
              <w:rPr>
                <w:b/>
              </w:rPr>
              <w:t>%</w:t>
            </w:r>
          </w:p>
        </w:tc>
        <w:tc>
          <w:tcPr>
            <w:tcW w:w="282" w:type="dxa"/>
            <w:tcBorders/>
            <w:vAlign w:val="bottom"/>
          </w:tcPr>
          <w:p>
            <w:pPr>
              <w:pStyle w:val="TableContents"/>
              <w:bidi w:val="0"/>
              <w:spacing w:before="0" w:after="283"/>
              <w:jc w:val="left"/>
              <w:rPr/>
            </w:pPr>
            <w:r>
              <w:rPr/>
              <w:t> </w:t>
            </w:r>
          </w:p>
        </w:tc>
      </w:tr>
      <w:tr>
        <w:trPr/>
        <w:tc>
          <w:tcPr>
            <w:tcW w:w="4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owned by Sponsors (1)</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2,047,302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6.3</w:t>
            </w:r>
          </w:p>
        </w:tc>
        <w:tc>
          <w:tcPr>
            <w:tcW w:w="282" w:type="dxa"/>
            <w:tcBorders/>
            <w:shd w:fill="CCEEFF" w:val="clear"/>
            <w:vAlign w:val="bottom"/>
          </w:tcPr>
          <w:p>
            <w:pPr>
              <w:pStyle w:val="TableContents"/>
              <w:bidi w:val="0"/>
              <w:spacing w:before="0" w:after="283"/>
              <w:jc w:val="left"/>
              <w:rPr/>
            </w:pPr>
            <w:r>
              <w:rPr/>
              <w:t>% </w:t>
            </w:r>
          </w:p>
        </w:tc>
      </w:tr>
      <w:tr>
        <w:trPr/>
        <w:tc>
          <w:tcPr>
            <w:tcW w:w="4943"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owned by EBAC Public Shareholders</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1,323,178</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4.1</w:t>
            </w:r>
          </w:p>
        </w:tc>
        <w:tc>
          <w:tcPr>
            <w:tcW w:w="282" w:type="dxa"/>
            <w:tcBorders/>
            <w:vAlign w:val="bottom"/>
          </w:tcPr>
          <w:p>
            <w:pPr>
              <w:pStyle w:val="TableContents"/>
              <w:bidi w:val="0"/>
              <w:spacing w:before="0" w:after="283"/>
              <w:jc w:val="left"/>
              <w:rPr/>
            </w:pPr>
            <w:r>
              <w:rPr/>
              <w:t>% </w:t>
            </w:r>
          </w:p>
        </w:tc>
      </w:tr>
      <w:tr>
        <w:trPr/>
        <w:tc>
          <w:tcPr>
            <w:tcW w:w="4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PIPE Financing</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7,118,891</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21.7</w:t>
            </w:r>
          </w:p>
        </w:tc>
        <w:tc>
          <w:tcPr>
            <w:tcW w:w="282" w:type="dxa"/>
            <w:tcBorders/>
            <w:shd w:fill="CCEEFF" w:val="clear"/>
            <w:vAlign w:val="bottom"/>
          </w:tcPr>
          <w:p>
            <w:pPr>
              <w:pStyle w:val="TableContents"/>
              <w:bidi w:val="0"/>
              <w:spacing w:before="0" w:after="283"/>
              <w:jc w:val="left"/>
              <w:rPr/>
            </w:pPr>
            <w:r>
              <w:rPr/>
              <w:t>% </w:t>
            </w:r>
          </w:p>
        </w:tc>
      </w:tr>
      <w:tr>
        <w:trPr/>
        <w:tc>
          <w:tcPr>
            <w:tcW w:w="494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Convertible Loan Agreement</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1,967,000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6.0</w:t>
            </w:r>
          </w:p>
        </w:tc>
        <w:tc>
          <w:tcPr>
            <w:tcW w:w="282" w:type="dxa"/>
            <w:tcBorders/>
            <w:vAlign w:val="bottom"/>
          </w:tcPr>
          <w:p>
            <w:pPr>
              <w:pStyle w:val="TableContents"/>
              <w:bidi w:val="0"/>
              <w:spacing w:before="0" w:after="283"/>
              <w:jc w:val="left"/>
              <w:rPr/>
            </w:pPr>
            <w:r>
              <w:rPr/>
              <w:t>% </w:t>
            </w:r>
          </w:p>
        </w:tc>
      </w:tr>
      <w:tr>
        <w:trPr/>
        <w:tc>
          <w:tcPr>
            <w:tcW w:w="4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to Legacy Oculis stockholders in connection with Business Combination</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20,277,002</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61.9</w:t>
            </w:r>
          </w:p>
        </w:tc>
        <w:tc>
          <w:tcPr>
            <w:tcW w:w="282" w:type="dxa"/>
            <w:tcBorders/>
            <w:shd w:fill="CCEEFF" w:val="clear"/>
            <w:vAlign w:val="bottom"/>
          </w:tcPr>
          <w:p>
            <w:pPr>
              <w:pStyle w:val="TableContents"/>
              <w:bidi w:val="0"/>
              <w:spacing w:before="0" w:after="283"/>
              <w:jc w:val="left"/>
              <w:rPr/>
            </w:pPr>
            <w:r>
              <w:rPr/>
              <w:t>% </w:t>
            </w:r>
          </w:p>
        </w:tc>
      </w:tr>
      <w:tr>
        <w:trPr/>
        <w:tc>
          <w:tcPr>
            <w:tcW w:w="494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(2)</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32,733,373</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100.0</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1,522,412 Sponsor Shares were forfeited and 74,078 Sponsors shares were transferred to certain EBAC Public Shareholders in connection with executing Non-Redemption Agreements at the time of closing of the Business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3,793,995 Earnout Shares, 370,103 Earnout Options, 982,004 shares of vested Conversion Options, 782,681 shares of unvested Conversion Options, 4,251,595 EBAC Public Warrants and 151,699 EBAC Private Warrants were excluded from the table above. The Earnout Shares are contingently forfeitable if the price targets are not achieved during the Earnout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rom394147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securities carries a significant degree of risk. In addition to the other information contained in this prospectus, including the matters addressed under the heading Cautionary Note Regarding Forward-Looking Statements, you should carefully consider the following risk factors in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financial condition, capital requirements, or financial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very limited operating history and no products approved for commercial sale, which may make it difficult to evaluate our current business and predict our future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 stage biopharmaceutical company specializing in novel therapeutics to treat ophthalmic diseases. We commenced operations in December 2017, have no products approved for commercial sale and have not generated any revenue from product sales. Drug development is a highly uncertain undertaking and involves a substantial degree of risk. To date, we have not completed a pivotal clinical trial, obtained marketing approval for any product candidates, manufactured a commercial scale product, or conducted sales and marketing activities necessary for successful product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Our limited operating history as a company and early stage of drug development make any assessment of our future success and viability subject to significant uncertainty.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financial condition, results of operations and growth prospects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net losses in each reporting period since our inception, including net losses of CHF 38.7 million and CHF 18.6 million for the fiscal years ended December 31, 2022 and 2021, respectively. As of December 31, 2022, we had an accumulated deficit of CHF 111.0 million.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significant financial resources in research and development activities, including for our product candidates. We do not expect to generate revenue from product sales in the foreseeable future,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 quarter to quarter or year to year due to factors including the timing of clinical trials, any litigation that we may file or that may be filed against us, the execution of collaboration, licensing or other agreements and the timing of any payments we make or receive thereunder.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progress our current and any future product candidates through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 with our contract manufacturers to scale up the manufacturing processes for our product candidates, if approved, or, in the future, establish and operate a manufacturing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our research and discovery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initiate and conduct additional preclinical, clinical or other studies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add contract manufacturers or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and marketing authorizations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and distribution infrastructure to commercialize any products for which we obtain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or in-license product candidates, intellectual property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any current or future collaboration or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maintain, expand, protect and enforce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hire and retain qualified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other issues related to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costs associated with becoming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 the requirements and demands of being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 against any product liability claims or other lawsuits related to our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prior losses and expected future losses have had and will continue to have an adverse effect on our shareholders deficit and working capital. In any particular quarter or quarters, our operating results could be below the expectations of securities analysts or investors, which could cause the share price of ordinary shares to decline.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March 31, 2023, we had cash and cash equivalents of CHF 19.8 million and CHF 96.5 million, respectively. We believe that these cash and cash equivalents, together with the proceeds from this offering, will be sufficient to enable us to fund our current operations for at least the next twelve months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alone or with strategic collaboration, and achieve profitability depends significantly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completing research, preclinical and clinical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regulatory approvals and marketing authorizations for product candidates for which we successfully complete clinical development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assessing, acquiring and/or developing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into which we may enter;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an adequate price for our product candidates, both in the United States and in other countries where our products are commercialized;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adequate reimbursement for our product candidates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 acceptance of our product candidates as viable treatment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protecting, expanding and enforcing our portfolio of intellectual property rights, including patents,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non-U.S.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ordinary shares, all or any of which may adversely affect our viability.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operating and financial results are subject to 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Our operational and financial results are subject to concentration risk. Our success will depend significantly on the development of OCS-01, OCS-02 and OCS-05, their regulatory approval in a limited number of jurisdictions and their commercialization by a limited number of commercial partners. Even if we are successful in developing and commercializing all of these products, our revenue will be dependent on a limited number of products that would account for a significant majority of our revenues. This concentration risk would increase to the extent we are successful in developing and commercializing fewer products as we would be dependent on a lower number of products for the significant majority of our revenues. Unfavorable changes or the non-occurrence of certain anticipated events with respect to any of these limited number of products, jurisdictions or commercial partners may disproportionally affect our global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obtain additional financing, we may be unable to complete the development and, if approved, commercialization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have required substantial amounts of cash since inception. To date, we have financed our operations primarily through the sale of equity securities. Developing our product candidates is expensive, and we expect to substantially increase our spending as we advance our product candidates in clinical trials. Even if we are successful in developing our product candidates, obtaining regulatory approvals and launching and commercializing any product candidate will require substantial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March 31, 2023, we had CHF 19.8 million and CHF 96.5 million in cash and cash equivalents, respectively. Although we believe that our existing cash and cash equivalents, together with the proceeds from this offering, will be sufficient to fund our projected operations for at least the next twelve months period, our estimate as to how long we expect our existing cash and cash equivalents to be available to fund our operations is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 </w:t>
      </w:r>
    </w:p>
    <w:p>
      <w:pPr>
        <w:pStyle w:val="TextBody"/>
        <w:bidi w:val="0"/>
        <w:spacing w:before="240" w:after="0"/>
        <w:jc w:val="left"/>
        <w:rPr>
          <w:rFonts w:ascii="Times New Roman" w:hAnsi="Times New Roman"/>
          <w:sz w:val="20"/>
        </w:rPr>
      </w:pPr>
      <w:r>
        <w:rPr>
          <w:rFonts w:ascii="Times New Roman" w:hAnsi="Times New Roman"/>
          <w:sz w:val="20"/>
        </w:rPr>
        <w:t xml:space="preserve">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ordinary shares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the research and development, clinical and business development expertise of our chief executive officer as well as other principal members of our management, scientific and clinical team. Although we have entered into employment agreements with our executive officers, each of them may terminate their employment with us at any time. </w:t>
      </w:r>
    </w:p>
    <w:p>
      <w:pPr>
        <w:pStyle w:val="TextBody"/>
        <w:bidi w:val="0"/>
        <w:spacing w:before="240" w:after="0"/>
        <w:jc w:val="left"/>
        <w:rPr>
          <w:rFonts w:ascii="Times New Roman" w:hAnsi="Times New Roman"/>
          <w:sz w:val="20"/>
        </w:rPr>
      </w:pPr>
      <w:r>
        <w:rPr>
          <w:rFonts w:ascii="Times New Roman" w:hAnsi="Times New Roman"/>
          <w:sz w:val="20"/>
        </w:rPr>
        <w:t xml:space="preserve">Laws and regulations on executive compensation, including legislation in our home country, Switzerland, may restrict our ability to attract, motivate and retain the required level of qualified personnel. In Switzerland, legislation affecting public companies is in force that, among other things, (i) imposes an annual binding shareholders say on pay vote with respect to the compensation of our executive committee and board of directors, (ii) generally prohibits severance, advances, transaction premiums and similar payments to members of our executive committee and board of directors, and (iii) requires companies to specify certain compensation- related matters in their articles of association, thus requiring them to be approved by a shareholders vote. </w:t>
      </w:r>
    </w:p>
    <w:p>
      <w:pPr>
        <w:pStyle w:val="TextBody"/>
        <w:bidi w:val="0"/>
        <w:spacing w:before="240" w:after="0"/>
        <w:jc w:val="left"/>
        <w:rPr>
          <w:rFonts w:ascii="Times New Roman" w:hAnsi="Times New Roman"/>
          <w:sz w:val="20"/>
        </w:rPr>
      </w:pPr>
      <w:r>
        <w:rPr>
          <w:rFonts w:ascii="Times New Roman" w:hAnsi="Times New Roman"/>
          <w:sz w:val="20"/>
        </w:rPr>
        <w:t xml:space="preserve">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significant expenses and devote other significant resources and management time as a result of being a public company, which may negatively impact our financial performance and could cause our results of operations and financial condition to suffer. </w:t>
      </w:r>
    </w:p>
    <w:p>
      <w:pPr>
        <w:pStyle w:val="TextBody"/>
        <w:bidi w:val="0"/>
        <w:spacing w:before="120" w:after="0"/>
        <w:jc w:val="left"/>
        <w:rPr>
          <w:rFonts w:ascii="Times New Roman" w:hAnsi="Times New Roman"/>
          <w:sz w:val="20"/>
        </w:rPr>
      </w:pPr>
      <w:r>
        <w:rPr>
          <w:rFonts w:ascii="Times New Roman" w:hAnsi="Times New Roman"/>
          <w:sz w:val="20"/>
        </w:rPr>
        <w:t xml:space="preserve">We will incur significant legal, accounting, insurance and other expenses as a result of being a public company. The rules implemented by the SEC, and by the Nasdaq and Swiss corporate law require changes in corporate governance practices of public companies. We expect that compliance with these laws, rules and regulations and the move from a private to a public company will substantially increase our expenses, including our legal, accounting and information technology costs and expenses, and make some activities more time consuming and costly, and these new obligations will require attention from our executive officers and senior management and could divert their attention away from the day-to-day management of our business. We also expect these laws, rules and regulations and the move from a private to a public company to make it more expensive for us to obtain director and officer liability insurance, and we may be required to accept reduced policy limits and coverage or incur substantially higher costs to obtain the same or similar coverage. Due to increased risks and exposure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ordinary shares, fines, sanctions and other regulatory action and potentially civil litigation, which could adversely impact our business, results of operation, financial condition and the price of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been and will need to continue to expand our organization and we may experience difficulties in managing this growth, which could disrupt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had 28 employees. Additionally, we may rely on a number of temporary workers and contractors from time-to-time as needed. As our development and commercialization plans and strategies develop, we expect to need additional managerial, operational, sales, marketing, financial, legal and other resources. Our management may need to divert a disproportionate amount of our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In addition, our success depends on our ability to attract and retain a talented workforce with a specialized set of skills. Our expected growth could also require significant capital expenditures and may divert financial resources from other projects, such as the development of our current and potential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and we may identify additional material weaknesses in the future or fail to maintain effective internal control over financial reporting. If we are unable to maintain an effective system of internal controls in the future, our ability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accurately or timely report our financial condition or results of operations may be adversely affected, which could hurt our business, lessen investor confidence and depress the market price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preparation of our consolidated financial statements for the years ended December 31, 2021 and 2020, we identified material weaknesses in our internal control over financial reporting. One material weakness identified was related to a lack of sufficient internal accounting personnel to support an efficient and structured financial statement close process and allow for the appropriate monitoring of financial reporting matters. During the preparation of our consolidated financial statements for the year ended December 31, 2022, we continued to identify control deficiencies in the process. While none of the identified control deficiencies resulted in a material misstatement to the Companys financial statements, as each of these control deficiencies could potentially result in a misstatement of our accounts or disclosures that might result in a material misstatement of our annual or interim financial statements that would not be prevented or detected, and accordingly, we determined that these control deficiencies constitute a material weakness. </w:t>
      </w:r>
    </w:p>
    <w:p>
      <w:pPr>
        <w:pStyle w:val="TextBody"/>
        <w:bidi w:val="0"/>
        <w:spacing w:before="360" w:after="0"/>
        <w:jc w:val="left"/>
        <w:rPr>
          <w:rFonts w:ascii="Times New Roman" w:hAnsi="Times New Roman"/>
          <w:i/>
          <w:sz w:val="20"/>
        </w:rPr>
      </w:pPr>
      <w:r>
        <w:rPr>
          <w:rFonts w:ascii="Times New Roman" w:hAnsi="Times New Roman"/>
          <w:i/>
          <w:sz w:val="20"/>
        </w:rPr>
        <w:t xml:space="preserve">Status of Remediation Efforts for the Un-remediated Material Weakness </w:t>
      </w:r>
    </w:p>
    <w:p>
      <w:pPr>
        <w:pStyle w:val="TextBody"/>
        <w:bidi w:val="0"/>
        <w:spacing w:before="120" w:after="0"/>
        <w:jc w:val="left"/>
        <w:rPr>
          <w:rFonts w:ascii="Times New Roman" w:hAnsi="Times New Roman"/>
          <w:sz w:val="20"/>
        </w:rPr>
      </w:pPr>
      <w:r>
        <w:rPr>
          <w:rFonts w:ascii="Times New Roman" w:hAnsi="Times New Roman"/>
          <w:sz w:val="20"/>
        </w:rPr>
        <w:t xml:space="preserve">Until recently, we were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 Section 404 of the Sarbanes-Oxley Act. We intend and have taken steps to remediate the material weakness described above through hiring additional qualified accounting and financial reporting personnel, and further enhance our accounting policies, procedures, and controls. In particular, in 2022, the Company has undertaken considerable efforts to strengthen the organization, systems and processes of our accounting and finance department, including additions of internal accounting personnel and strengthening of external resources to support the Companys financial statement preparation reporting and reporting processes. Furthermore, the company continues to implement remediation actions to address the material weakness in 2023. These steps include addition of accounting personnel to support an efficient and structured financial statement close process and allow for the appropriate monitoring of financial reporting matters, enhancement of financial statements review procedures, and utilization of ERP system controls where applicable. </w:t>
      </w:r>
    </w:p>
    <w:p>
      <w:pPr>
        <w:pStyle w:val="TextBody"/>
        <w:bidi w:val="0"/>
        <w:spacing w:before="360" w:after="0"/>
        <w:jc w:val="left"/>
        <w:rPr>
          <w:rFonts w:ascii="Times New Roman" w:hAnsi="Times New Roman"/>
          <w:i/>
          <w:sz w:val="20"/>
        </w:rPr>
      </w:pPr>
      <w:r>
        <w:rPr>
          <w:rFonts w:ascii="Times New Roman" w:hAnsi="Times New Roman"/>
          <w:i/>
          <w:sz w:val="20"/>
        </w:rPr>
        <w:t xml:space="preserve">Remediation of Previously-Identified Material Weakness </w:t>
      </w:r>
    </w:p>
    <w:p>
      <w:pPr>
        <w:pStyle w:val="TextBody"/>
        <w:bidi w:val="0"/>
        <w:spacing w:before="120" w:after="0"/>
        <w:jc w:val="left"/>
        <w:rPr>
          <w:rFonts w:ascii="Times New Roman" w:hAnsi="Times New Roman"/>
          <w:sz w:val="20"/>
        </w:rPr>
      </w:pPr>
      <w:r>
        <w:rPr>
          <w:rFonts w:ascii="Times New Roman" w:hAnsi="Times New Roman"/>
          <w:sz w:val="20"/>
        </w:rPr>
        <w:t xml:space="preserve">The second material weakness identified in connection with the preparation of our consolidated financial statements for the years ended December 31, 2021 and 2020 was related to the maintenance of effective controls over information technology general controls for IT accounting and financial reporting systems. Specifically, IT systems and related operations are outsourced to third parties and therefore, we were not in a position to maintain user access controls, program change management controls, and testing and approval controls. As of December 31, 2022, we believe that we have remediated the material weakness through the implementation and controls testing of a new ERP system, as well as implementation of ERP system controls and manual controls. We have concluded that the material weakness has been remediated since each component for which management had identified a material weakness has been operating effectively during sufficient period of time as confirmed by the tests of operational effectiveness performed. However, there can be no assurance that we will not identify additional material weaknesses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neither our management nor an independent registered public accounting firm has performed an evaluation of our internal control over financial reporting in accordance with the provisions of the Sarbanes- Oxley Act. Had we or our independent registered public accounting firm performed an evaluation of our internal control over financial reporting in accordance with the provisions of the Sarbanes-Oxley Act, additional material weaknesses may have been identified. </w:t>
      </w:r>
    </w:p>
    <w:p>
      <w:pPr>
        <w:pStyle w:val="TextBody"/>
        <w:bidi w:val="0"/>
        <w:spacing w:before="240" w:after="0"/>
        <w:jc w:val="left"/>
        <w:rPr>
          <w:rFonts w:ascii="Times New Roman" w:hAnsi="Times New Roman"/>
          <w:sz w:val="20"/>
        </w:rPr>
      </w:pPr>
      <w:r>
        <w:rPr>
          <w:rFonts w:ascii="Times New Roman" w:hAnsi="Times New Roman"/>
          <w:sz w:val="20"/>
        </w:rPr>
        <w:t xml:space="preserve">We cannot provide assurance that the measures we have taken to date, and actions we may take in the future, will be sufficient to remediate the control deficiencies that led to the material weakness in our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nor that they will prevent or avoid potential future material weaknesses. If we are unable to maintain an effective system of internal controls in the future, our ability to accurately or timely report our financial condition or results of operations may be adversely affected, which could hurt our business, lessen investor confidence and depress the market price of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Economic, financial, geopolitical, epidemiological, or other conditions could result in business disruptions which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Concerns over inflation, geopolitical issues, the U.S. financial markets, foreign exchange rates, capital and exchange controls, unstable global credit markets and financial conditions, COVID-19 pandemic,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before="240" w:after="0"/>
        <w:jc w:val="left"/>
        <w:rPr>
          <w:rFonts w:ascii="Times New Roman" w:hAnsi="Times New Roman"/>
          <w:sz w:val="20"/>
        </w:rPr>
      </w:pPr>
      <w:r>
        <w:rPr>
          <w:rFonts w:ascii="Times New Roman" w:hAnsi="Times New Roman"/>
          <w:sz w:val="20"/>
        </w:rPr>
        <w:t>Our operations, and those of our contract research organizations (</w:t>
      </w:r>
      <w:r>
        <w:rPr>
          <w:rFonts w:ascii="Times New Roman" w:hAnsi="Times New Roman"/>
          <w:i/>
          <w:sz w:val="20"/>
        </w:rPr>
        <w:t>CROs</w:t>
      </w:r>
      <w:r>
        <w:rPr>
          <w:rFonts w:ascii="Times New Roman" w:hAnsi="Times New Roman"/>
          <w:sz w:val="20"/>
        </w:rPr>
        <w:t>), contract manufacturing organizations (</w:t>
      </w:r>
      <w:r>
        <w:rPr>
          <w:rFonts w:ascii="Times New Roman" w:hAnsi="Times New Roman"/>
          <w:i/>
          <w:sz w:val="20"/>
        </w:rPr>
        <w:t>CMOs</w:t>
      </w:r>
      <w:r>
        <w:rPr>
          <w:rFonts w:ascii="Times New Roman" w:hAnsi="Times New Roman"/>
          <w:sz w:val="20"/>
        </w:rPr>
        <w:t xml:space="preserve">), suppliers, and other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In February 2022, armed conflict escalated between Russia and Ukraine. The sanctions announced by the United States and other countries, following Russias invasion of Ukraine, against Russia to date include restrictions on selling or importing goods, services or technology in or from affected regions and travel bans and asset freezes impacting connected individuals and political, military, business and financial organizations in Russia. The United States and other countries could impose wider sanctions and take other actions should the conflict further escalate. It is not possible to predict the broader consequences of this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available cash and cash equivalents are held in accounts managed by third party financial institutions and consist of cash in our operating accounts and cash invested in money market funds. At any point in time, the funds in our U.S. operating accounts may exceed the Federal Deposit Insurance Corporation insurance limits. While we monitor the cash balances in our operating accounts and adjust the cash balances as appropriate, these cash balances could be impacted if the underlying financial institutions fail. Our active treasury strategy is to minimize risk through natural hedging of currencies, bank diversification and cash preservation. To date, we have experienced no loss or lack of access to cash in our operating accounts or our invested cash or cash equivalents; however, we can provide no assurances that access to our operating cash or invested cash and cash equivalents will not be impacted by adverse conditions in the financial markets. </w:t>
      </w:r>
    </w:p>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these business disruptions could seriously harm our operations and financial condition and increase our costs and expenses. For example, we rely on third-party manufacturers to produce our product candidates. Our ability to obtain supplies of our product candidates, or other necessary supplies,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cease or delay the marketing or development of some or all of our product candidates.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financial condition and results of operations would suffer in the event of computer system failures, security breaches or other disruptions to our information technology systems. </w:t>
      </w:r>
    </w:p>
    <w:p>
      <w:pPr>
        <w:pStyle w:val="TextBody"/>
        <w:bidi w:val="0"/>
        <w:spacing w:before="120" w:after="0"/>
        <w:jc w:val="left"/>
        <w:rPr>
          <w:rFonts w:ascii="Times New Roman" w:hAnsi="Times New Roman"/>
          <w:sz w:val="20"/>
        </w:rPr>
      </w:pPr>
      <w:r>
        <w:rPr>
          <w:rFonts w:ascii="Times New Roman" w:hAnsi="Times New Roman"/>
          <w:sz w:val="20"/>
        </w:rPr>
        <w:t>In the ordinary course of our business, we collect, store and transmit sensitive data, including protected health information (</w:t>
      </w:r>
      <w:r>
        <w:rPr>
          <w:rFonts w:ascii="Times New Roman" w:hAnsi="Times New Roman"/>
          <w:i/>
          <w:sz w:val="20"/>
        </w:rPr>
        <w:t>PHI</w:t>
      </w:r>
      <w:r>
        <w:rPr>
          <w:rFonts w:ascii="Times New Roman" w:hAnsi="Times New Roman"/>
          <w:sz w:val="20"/>
        </w:rPr>
        <w:t xml:space="preserve">), intellectual property, proprietary business information and other personal information. We rely on information technology systems, networks and services, some of which are managed, hosted or provided by third parties, to assist in conducting our business. While we have not previously experienced a security breach or computer failure resulting in destruction, theft, or other loss of this information, and we and our service providers have implemented a number of security measures designed to protect against security breaches, these measures could fail or may be insufficient, resulting in the unauthorized disclosure, modification, misuse, unavailability, destruction, or loss of confidential information or personal information we collect, store and transmit. Despite the implementation of security measures, our internal computer systems, and those of our contract research organizations, or CROs, and other third parties on which we rely, are vulnerable to attack, damage or interruption from computer viruses, unauthorized access, cyberattacks, employee theft or misuse, human error, hacking, fraud, natural disasters, fire, terrorism, war and telecommunication and electrical failures. </w:t>
      </w:r>
    </w:p>
    <w:p>
      <w:pPr>
        <w:pStyle w:val="TextBody"/>
        <w:bidi w:val="0"/>
        <w:spacing w:before="240" w:after="0"/>
        <w:jc w:val="left"/>
        <w:rPr>
          <w:rFonts w:ascii="Times New Roman" w:hAnsi="Times New Roman"/>
          <w:sz w:val="20"/>
        </w:rPr>
      </w:pPr>
      <w:r>
        <w:rPr>
          <w:rFonts w:ascii="Times New Roman" w:hAnsi="Times New Roman"/>
          <w:sz w:val="20"/>
        </w:rPr>
        <w:t xml:space="preserve">Cyberattacks are increasing in their frequency, sophistication and intensity. Cyberattacks could include the deployment of harmful malware, phishing attacks, denial-of-service attacks, social engineering and other means to affect service reliability and threaten the confidentiality, integrity and availability of information. The use of cloud-based computing also creates opportunities for the unintentional dissemination or intentional destruction of confidential information stored in our or our third-party providers systems, portable media or storage devices. Furthermore, as a result of the COVID-19 pandemic, we may also face increased cybersecurity risks due to our reliance on internet technology and the number of our employees who are working remotely, which may create additional opportunities for cybercriminals to exploit vulnerabilities. </w:t>
      </w:r>
    </w:p>
    <w:p>
      <w:pPr>
        <w:pStyle w:val="TextBody"/>
        <w:bidi w:val="0"/>
        <w:spacing w:before="240" w:after="0"/>
        <w:jc w:val="left"/>
        <w:rPr>
          <w:rFonts w:ascii="Times New Roman" w:hAnsi="Times New Roman"/>
          <w:sz w:val="20"/>
        </w:rPr>
      </w:pPr>
      <w:r>
        <w:rPr>
          <w:rFonts w:ascii="Times New Roman" w:hAnsi="Times New Roman"/>
          <w:sz w:val="20"/>
        </w:rPr>
        <w:t xml:space="preserve">Significant disruptions of our information technology systems or security breaches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Despite our efforts to ensure the security, privacy, integrity, confidentiality, availability, and authenticity of our information technology networks and systems, processing and information, we may not be able to anticipate or to implement effective preventive and remedial measures against all data security and privacy threats. We cannot guarantee that the recovery systems, security protocols, network protection mechanisms and other security measures that we or our third-party providers have integrated into our or their systems, networks and physical facilities, which are designed to protect against, detect and minimize security breaches will be adequate to prevent or detect service interruption, system failures, data loss or theft, or other material adverse consequences. No security solution, strategy, or measures can address all possible security threats or block all methods of penetrating a network or otherwise perpetrating a security incident. The risk of unauthorized circumvention of our security measures has been heightened by advances in computer and software capabilities and the increasing sophistication of hackers who employ complex techniques, including without limitation, the theft or misuse of personal and financial information, counterfeiting, phishing or social engineering, ransomware, extortion, publicly announcing security breaches, account takeover attacks, denial or degradation of service attacks, malware, fraudulent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and identity theft. Furthermore, because the techniques used to sabotage, disrupt or to obtain unauthorized access to our systems, networks, or physical facilities in which data is stored or through which data is transmitted change frequently and often are not recognized until launched against a target, we or our third-party providers may be unable to implement adequate preventative measures or stop security breaches while they are occurring. We or our third-party providers may also experience security breaches that may remain undetected for an extended period. Even if identified, we or our third-party providers may be unable to adequately investigate or remediate incidents or breaches due to attackers increasingly using tools and techniques that are designed to circumvent controls, to avoid detection, and to remove or obfuscate forensic evidence, or we or our third-party providers may be unable to repair our or their systems in an efficient and timely manner. In addition, laws, regulations, government guidance, and industry standards and practices are rapidly evolving to combat these threats. We may face increased compliance burdens regarding such requirements from regulators and incur additional costs for oversight and monitoring of security risks relating to our own supply chain. </w:t>
      </w:r>
    </w:p>
    <w:p>
      <w:pPr>
        <w:pStyle w:val="TextBody"/>
        <w:bidi w:val="0"/>
        <w:spacing w:before="240" w:after="0"/>
        <w:jc w:val="left"/>
        <w:rPr>
          <w:rFonts w:ascii="Times New Roman" w:hAnsi="Times New Roman"/>
          <w:sz w:val="20"/>
        </w:rPr>
      </w:pPr>
      <w:r>
        <w:rPr>
          <w:rFonts w:ascii="Times New Roman" w:hAnsi="Times New Roman"/>
          <w:sz w:val="20"/>
        </w:rPr>
        <w:t xml:space="preserve">If we or our third-party providers were to experience a significant cybersecurity breach of our or their information systems or data, the costs associated with the investigation, remediation and potential notification of the breach to counterparties and data subjects could be material. Unauthorized access to our systems, networks, or physical facilities could result in litigation with our customers or other relevant stakeholders, which may adversely affect our business. These proceedings could force us to spend money in defense or settlement, divert managements time and attention, increase our costs of doing business, or adversely affect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at all, or that our insurers will not deny coverage as to all or part of any future claim or loss. </w:t>
      </w:r>
    </w:p>
    <w:p>
      <w:pPr>
        <w:pStyle w:val="TextBody"/>
        <w:bidi w:val="0"/>
        <w:spacing w:before="240" w:after="0"/>
        <w:jc w:val="left"/>
        <w:rPr>
          <w:rFonts w:ascii="Times New Roman" w:hAnsi="Times New Roman"/>
          <w:sz w:val="20"/>
        </w:rPr>
      </w:pPr>
      <w:r>
        <w:rPr>
          <w:rFonts w:ascii="Times New Roman" w:hAnsi="Times New Roman"/>
          <w:sz w:val="20"/>
        </w:rPr>
        <w:t xml:space="preserve">Further, the COVID-19 pandemic has resulted in a significant number of our employees and partners working remotely, which increases the risk of a data breach or issues with data and cybersecurity. To the extent that any disruption or security breach results in a loss of, or damage to, our data or applications, or inappropriate disclosure of confidential or proprietary information, we could incur liability and the further development of our future product candidates could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numerous laws, regulations, standards and other requirements related to personal information, privacy and data protection. Our actual or perceived failure to comply with such laws, regulations, standards and other requirements could negatively affect our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global data protection landscape is rapidly evolving, and we are subject to numerous federal, state and foreign laws, regulations, standards and other requirements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Any failure or perceived failure by us to comply with federal, state or foreign laws or regulations, our internal or external policies and procedures or our contracts governing our processing of personal information could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negative publicity, government investigations, enforcement actions, claims by third parties or damage to our reputation, any of which could have a material adverse effect on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in the United States, the Health Insurance Portability and Accountability Act of 1996 (</w:t>
      </w:r>
      <w:r>
        <w:rPr>
          <w:rFonts w:ascii="Times New Roman" w:hAnsi="Times New Roman"/>
          <w:i/>
          <w:sz w:val="20"/>
        </w:rPr>
        <w:t>HIPAA</w:t>
      </w:r>
      <w:r>
        <w:rPr>
          <w:rFonts w:ascii="Times New Roman" w:hAnsi="Times New Roman"/>
          <w:sz w:val="20"/>
        </w:rPr>
        <w:t xml:space="preserve">) imposes among other things, certain standards relating to the privacy, security, transmission and breach reporting of individually identifiable health information. Entities that are found to be in violation of HIPAA, whether as the result of a breach of unsecured PHI, a complaint about privacy practices, or an audit by the U.S.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does not apply, according to the Federal Trade Commission (the </w:t>
      </w:r>
      <w:r>
        <w:rPr>
          <w:rFonts w:ascii="Times New Roman" w:hAnsi="Times New Roman"/>
          <w:i/>
          <w:sz w:val="20"/>
        </w:rPr>
        <w:t>FTC</w:t>
      </w:r>
      <w:r>
        <w:rPr>
          <w:rFonts w:ascii="Times New Roman" w:hAnsi="Times New Roman"/>
          <w:sz w:val="20"/>
        </w:rPr>
        <w:t xml:space="preserve">)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t>
      </w:r>
    </w:p>
    <w:p>
      <w:pPr>
        <w:pStyle w:val="TextBody"/>
        <w:bidi w:val="0"/>
        <w:spacing w:before="240" w:after="0"/>
        <w:jc w:val="left"/>
        <w:rPr>
          <w:rFonts w:ascii="Times New Roman" w:hAnsi="Times New Roman"/>
          <w:sz w:val="20"/>
        </w:rPr>
      </w:pPr>
      <w:r>
        <w:rPr>
          <w:rFonts w:ascii="Times New Roman" w:hAnsi="Times New Roman"/>
          <w:sz w:val="20"/>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 For example, California enacted the California Consumer Privacy Act, (</w:t>
      </w:r>
      <w:r>
        <w:rPr>
          <w:rFonts w:ascii="Times New Roman" w:hAnsi="Times New Roman"/>
          <w:i/>
          <w:sz w:val="20"/>
        </w:rPr>
        <w:t>CCPA</w:t>
      </w:r>
      <w:r>
        <w:rPr>
          <w:rFonts w:ascii="Times New Roman" w:hAnsi="Times New Roman"/>
          <w:sz w:val="20"/>
        </w:rPr>
        <w:t xml:space="preserve">), which creates individual privacy rights for California consumers, including the right to opt out of certain disclosures of their information, and places increased privacy and security obligations on entities handling certain personal data of consumers or households and may apply to us in the future. The CCPA provides for civil penalties for violations and also creates a private right of action with statutory damages for certain data breaches, thereby potentially increasing risks associated with a data breach. Further, the majority of the provisions of the California Privacy Rights Act, or CPRA, went into effect on January 1, 2023 and additional compliance investment and potential business process changes may be required.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The CCPA and CPRA could mark the beginning of a trend toward more stringent privacy legislation in the U.S., as other states or the federal government may follow Californias lead and increase protections for U.S. residents, which creates the potential for a patchwork of overlapping but different state laws and could increase our potential liability and adversely affect our business, financial condition and results of operations. For example, the Virginia Consumer Data Protection Act, a comprehensive privacy statute that shares similarities with the CCPA, CPRA and legislation proposed in other states, took effect on January 1, 2023. Colorado enacted a similar law, the Colorado Privacy Act, which becomes effective on July 1, 2023. Similar laws have been passed and proposed in other states and at the federal level, reflecting a trend toward more stringent privacy legislation in the United States. The enactment of such laws could add layers of complexity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in the U.S. market, increase our compliance costs and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Further, we are subject to international data protection laws and regulations, including the European Union General Data Protection Regulation and applicable national supplementing laws, or GDPR, which may apply to health-related and other personal information obtained outside of the United States. The GDPR imposes strict requirements for collection, control, sharing, disclosure, transfer, use and other processing of the personal data of individuals located in the European Economic Area (the </w:t>
      </w:r>
      <w:r>
        <w:rPr>
          <w:rFonts w:ascii="Times New Roman" w:hAnsi="Times New Roman"/>
          <w:i/>
          <w:sz w:val="20"/>
        </w:rPr>
        <w:t>EEA</w:t>
      </w:r>
      <w:r>
        <w:rPr>
          <w:rFonts w:ascii="Times New Roman" w:hAnsi="Times New Roman"/>
          <w:sz w:val="20"/>
        </w:rPr>
        <w:t xml:space="preserve">), including clinical trial data, as well as potential fines for noncompliant companies. The GDPR also imposes strict requirements relating to obtaining consent, providing information to individuals regarding data processing activities, implementing safeguards to protect the security and confidentiality of personal data, providing notification of data breaches, taking certain measures when engaging third-party processors. Compliance with the GDPR may increase our cost of doing business or require us to change our business practices, and despite those efforts, there is a risk that we may be subject to fines and penalties, litigation, and reputational harm in connection with our activities carried out in the context of our EEA operations. </w:t>
      </w:r>
    </w:p>
    <w:p>
      <w:pPr>
        <w:pStyle w:val="TextBody"/>
        <w:bidi w:val="0"/>
        <w:spacing w:before="240" w:after="0"/>
        <w:jc w:val="left"/>
        <w:rPr>
          <w:rFonts w:ascii="Times New Roman" w:hAnsi="Times New Roman"/>
          <w:sz w:val="20"/>
        </w:rPr>
      </w:pPr>
      <w:r>
        <w:rPr>
          <w:rFonts w:ascii="Times New Roman" w:hAnsi="Times New Roman"/>
          <w:sz w:val="20"/>
        </w:rPr>
        <w:t xml:space="preserve">Recent legal developments in Europe have created complexity and uncertainty regarding transfers of personal data from the European Economic Area, or EEA, to the United States. On July 16, 2020, in a case known as Schrems II, the Court of Justice of the European Union, or CJEU,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been adopted by the European Commission. As supervisory authorities issue further guidance on personal data export mechanisms, including on the new Standard Contractual Clauses, 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 U.S. President Joseph Biden and the President of the European Commission announced on March 25, 2022 that they had reached an agreement in principle for a Trans-Atlantic Data Privacy Framework, which would allow personal data to flow freely and safely between the EU and participating U.S. companies. To that end, U.S. President Joseph Biden signed the Executive Order on Enhancing Safeguard for United States Signals Intelligence Activities, or EO, on October 7, 2022. The EO answers to certain shortcomings identified by the EU but it does not yet allow for the free transfers of personal data to the United States. Organizations must continue to implement a valid compliance mechanism for cross-border data transfers, such as the Standard Contractual Clauses, and conduct an assessment of the U.S. laws prior to transferring personal data to the United States. As the EO introduces safeguards for U.S. intelligence services access to European personal information, certain supplementary measures that have been implemented and are linked to these practices could be softened and the overall risk associated to the data transfer could be lowered. A new EU-US data transfer framework is not available as of Spring 2023. </w:t>
      </w:r>
    </w:p>
    <w:p>
      <w:pPr>
        <w:pStyle w:val="TextBody"/>
        <w:bidi w:val="0"/>
        <w:spacing w:before="240" w:after="0"/>
        <w:jc w:val="left"/>
        <w:rPr>
          <w:rFonts w:ascii="Times New Roman" w:hAnsi="Times New Roman"/>
          <w:sz w:val="20"/>
        </w:rPr>
      </w:pPr>
      <w:r>
        <w:rPr>
          <w:rFonts w:ascii="Times New Roman" w:hAnsi="Times New Roman"/>
          <w:sz w:val="20"/>
        </w:rPr>
        <w:t xml:space="preserve">Relatedly, following the United Kingdoms withdrawal from the EEA and the EU, we are required to comply with both the GDPR and, separately, the UK GDPR, which, together with the amended UK Data Protection Act 2018, retains the GDPR in UK national law. The UK GDPR sets out the UK-specific requirements related to data protection, including with respect to transfer of personal data outside of the UK, which increases our regulatory compliance burden. Further, in July 2022, the UK government published a Data Reform Bill that will amend the UK GPDR. This creates uncertainty with regard to the data protection regulatory regime in the United Kingdom and could result in the introduction of data privacy laws that materially deviate from the EU GDPR. This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expose us to two parallel regimes. Further, the entry into force of the US-UK Data Access Agreement on 3 October 2022 may put at risk the European Commissions adequacy decision granted to the UK. If such adequacy decision were to be withdrawn, personal data would not flow freely between the UK and the EU and additional safeguards would need to be adopted, which could result in additional costs for us. </w:t>
      </w:r>
    </w:p>
    <w:p>
      <w:pPr>
        <w:pStyle w:val="TextBody"/>
        <w:bidi w:val="0"/>
        <w:spacing w:before="240" w:after="0"/>
        <w:jc w:val="left"/>
        <w:rPr>
          <w:rFonts w:ascii="Times New Roman" w:hAnsi="Times New Roman"/>
          <w:sz w:val="20"/>
        </w:rPr>
      </w:pPr>
      <w:r>
        <w:rPr>
          <w:rFonts w:ascii="Times New Roman" w:hAnsi="Times New Roman"/>
          <w:sz w:val="20"/>
        </w:rPr>
        <w:t xml:space="preserve">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GDPR face increased compliance obligations and risk, including more robust regulatory enforcement of data protection requirements and potential fines for noncompliance of up to 20 million or 4% of the annual global revenues of the noncompliant company, whichever is greater, litigation (including private litigation related to processing of personal data brought by classes of data subjects or consumer protection organizations authorized at law to represent their interests),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 </w:t>
      </w:r>
    </w:p>
    <w:p>
      <w:pPr>
        <w:pStyle w:val="TextBody"/>
        <w:bidi w:val="0"/>
        <w:spacing w:before="240" w:after="0"/>
        <w:jc w:val="left"/>
        <w:rPr>
          <w:rFonts w:ascii="Times New Roman" w:hAnsi="Times New Roman"/>
          <w:sz w:val="20"/>
        </w:rPr>
      </w:pPr>
      <w:r>
        <w:rPr>
          <w:rFonts w:ascii="Times New Roman" w:hAnsi="Times New Roman"/>
          <w:sz w:val="20"/>
        </w:rPr>
        <w:t xml:space="preserve">EU data protection laws also require opt-in consent to send marketing emails or use cookies and similar technologies for advertising, analytics and other purposes  activities on which our marketing strategies may rely. Enforcement of these requirements has increased and a new regulation that has been proposed in the EU, known as the Privacy Regulation, may make these requirements more stringent and increase the penalties for violating them. Such restrictions could increase our exposure to regulatory enforcement action, increase our compliance costs, and adversely affect our business.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or extends that decision and remains under review by the European Commission during this period.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contract with, and are accountable for, third-party service providers we engage to process personal data on our behalf, including our CROs. We cannot assure you that our service providers with access to our or our customers, suppliers, trial patients and employees personal information, including health data and other sensitive or confidential information, will not breach contractual obligations imposed by us, or that they will not experience data security breaches or attempts thereof. If they were to breach their contractual obligations or experience a security incident, such event could have an adverse effect on our business, including putting us in breach of our obligations under privacy laws and regulations, which could in turn adversely affect our business, financial conditions and results of operations. We cannot assure you that our contractual measures and our own privacy and security-related safeguards will protect us from the risks associated with the third-party processing, storage and transmission of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Swiss Federal Act on Data Protection, or DPA, also applies to the collection and processing of personal data by companies located in Switzerland, or in certain circumstances, by companies located outside of Switzerland. The DPA has been revised and adopted by the Swiss Parliament, and the revised version and its revised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ordinances will enter into force on September 1, 2023. This revised law may lead to an increase in our costs of compliance, risk of noncompliance and penalties for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United States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ability, or our that of our partners or suppliers,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realize the benefits of acquired assets or other strategic transactions. </w:t>
      </w:r>
    </w:p>
    <w:p>
      <w:pPr>
        <w:pStyle w:val="TextBody"/>
        <w:bidi w:val="0"/>
        <w:spacing w:before="120" w:after="0"/>
        <w:jc w:val="left"/>
        <w:rPr>
          <w:rFonts w:ascii="Times New Roman" w:hAnsi="Times New Roman"/>
          <w:sz w:val="20"/>
        </w:rPr>
      </w:pPr>
      <w:r>
        <w:rPr>
          <w:rFonts w:ascii="Times New Roman" w:hAnsi="Times New Roman"/>
          <w:sz w:val="20"/>
        </w:rPr>
        <w:t xml:space="preserve">We evaluate various strategic transactions on an ongoing basis. We may acquire other businesses, products or product candidates, intellectual property, or technologies as well as pursue joint ventures or investments in complementary businesses. The success of any future strategic transaction depends on various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liabilities related to investee companies or joint ventures;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conflicts in economic or business interests with our joint ventures or investee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integrating acquired personnel, technologies, and operations into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retention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time and focus from operating our business to management of strategic alliances or joint ventures or acquisition integration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our expenses and reductions in our cash available for operations and other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 in or termination of our relationships with collaborators or suppliers as a result of such a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possible write-offs or impairment charges relating to investee companies or joint ventures.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acquisitions and joint ventures are subject to additional risks, including those related to regulatory or compliance issues, integration of operations across different cultures and languages, currency risks, potentially adverse tax consequences of overseas operations, and the particular economic, political, and regulatory risks associated with specific countries. </w:t>
      </w:r>
    </w:p>
    <w:p>
      <w:pPr>
        <w:pStyle w:val="TextBody"/>
        <w:bidi w:val="0"/>
        <w:spacing w:before="240" w:after="0"/>
        <w:jc w:val="left"/>
        <w:rPr>
          <w:rFonts w:ascii="Times New Roman" w:hAnsi="Times New Roman"/>
          <w:sz w:val="20"/>
        </w:rPr>
      </w:pPr>
      <w:r>
        <w:rPr>
          <w:rFonts w:ascii="Times New Roman" w:hAnsi="Times New Roman"/>
          <w:sz w:val="20"/>
        </w:rPr>
        <w:t xml:space="preserve">Future acquisitions or dispositions could result in potentially dilutive issuances of our equity securities, the incurrence of debt, contingent liabilities, or amortization expenses or write-offs of goodwill, any of which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harm our financial condition. We could also incur losses resulting from undiscovered liabilities that are not covered by the indemnification we may obtain from the seller. </w:t>
      </w:r>
    </w:p>
    <w:p>
      <w:pPr>
        <w:pStyle w:val="TextBody"/>
        <w:bidi w:val="0"/>
        <w:spacing w:before="240" w:after="0"/>
        <w:jc w:val="left"/>
        <w:rPr>
          <w:rFonts w:ascii="Times New Roman" w:hAnsi="Times New Roman"/>
          <w:sz w:val="20"/>
        </w:rPr>
      </w:pPr>
      <w:r>
        <w:rPr>
          <w:rFonts w:ascii="Times New Roman" w:hAnsi="Times New Roman"/>
          <w:sz w:val="20"/>
        </w:rPr>
        <w:t xml:space="preserve">If we in-license product candidates or products or acquire businesses, we may not be able to realize the benefit of those transactions if we are unable to successfully integrate them with our existing operations and company culture. We cannot be certain that, following a strategic transaction or license, we will achieve the results, revenue, or specific net income that justifies the transaction. Future acquisitions or dispositions could result in potentially dilutive issuances of our equity securities, the incurrence of debt, contingent liabilities, or amortization expenses or write-offs of goodwill, any of which could harm our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COVID-19 pandemic, which began in late 2019,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COVID-19 pandemic, which began in December 2019,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 </w:t>
      </w:r>
    </w:p>
    <w:p>
      <w:pPr>
        <w:pStyle w:val="TextBody"/>
        <w:bidi w:val="0"/>
        <w:spacing w:before="240" w:after="0"/>
        <w:jc w:val="left"/>
        <w:rPr>
          <w:rFonts w:ascii="Times New Roman" w:hAnsi="Times New Roman"/>
          <w:sz w:val="20"/>
        </w:rPr>
      </w:pPr>
      <w:r>
        <w:rPr>
          <w:rFonts w:ascii="Times New Roman" w:hAnsi="Times New Roman"/>
          <w:sz w:val="20"/>
        </w:rPr>
        <w:t xml:space="preserve">Our business, operations and clinical development timelines and plans had been and could in the future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particularly with the emergence of new variant strains of the COVID-19 virus. We may take further actions that alter our operations as may be required by federal, state or local authorities, or which we determine are in the best interests of our employees. </w:t>
      </w:r>
    </w:p>
    <w:p>
      <w:pPr>
        <w:pStyle w:val="TextBody"/>
        <w:bidi w:val="0"/>
        <w:spacing w:before="240" w:after="0"/>
        <w:jc w:val="left"/>
        <w:rPr>
          <w:rFonts w:ascii="Times New Roman" w:hAnsi="Times New Roman"/>
          <w:sz w:val="20"/>
        </w:rPr>
      </w:pPr>
      <w:r>
        <w:rPr>
          <w:rFonts w:ascii="Times New Roman" w:hAnsi="Times New Roman"/>
          <w:sz w:val="20"/>
        </w:rPr>
        <w:t xml:space="preserve">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We may experience disruptions that could severely impact our business, preclinical studies, and clinical trials,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receiving approval from local regulatory authorities to initiate our planned clinical trials, including receiving any required IND or similar approval to initiate clinical trials from regulatory bodies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enrolling and retaining patients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difficulties in clinical site initiation, including difficulties in recruiting clinical site investigators and clinical site staff;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clinical sites receiving the supplies and materials needed to conduct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transport of clinical trial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regulations as part of a response to the COVID-19 pandemic which may require us to change the ways in which our clinical trials are conducted, which may result in unexpected costs, or to discontinue the clinical trials altogether;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healthcare resources away from the conduct of clinical trials, including the diversion of hospitals serving as our clinical trial sites and hospital staff supporting the conduct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recruiting or retaining patients for our planned clinical trials if patients are affected by the virus or are fearful of visiting or traveling to clinical trial sites because of the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that participants enrolled in our clinical trials will acquire COVID-19 while the clinical trial is ongoing, which could impact the results of the clinical trial, including by increasing the number of observed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necessary interactions with local regulators, ethics committees and other important agencies and contractors due to limitations in employee resources or forced furlough of government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in employee resources that would otherwise be focused on the conduct of our clinical trials, including because of sickness of employees or their families or the desire of employees to avoid contact with large groups of people;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or delays in the operations of the FDA or non-U.S. regulators which may impact review and approval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regulatory approvals for our product candidates due to the FDA or non-U.S. regulators focusing on clinical trials related to therapies and vaccines targeting COVID-19;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or non-U.S. regulators to accept data, including from clinical trials in affected geographies or failure to comply with updated guidance and expectations of the FDA or non-U.S. regulators related to the conduct of clinical trials during the COVID-19 pandemic;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 or delays to our sourced discovery and clinical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ultimate impact of the COVID-19 pandemic or a similar health epidemic is highly uncertain and subject to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subject to securities class action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development and regulatory approval of our investigational therapies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success of our product candidates, and our ability to generate revenue in the future, will depend upon a number of factors, many of which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including our ability to finance and generate revenue in the future, primarily depends on the successful development, regulatory approval and commercialization of OCS-01, OCS-02, and OCS-05. The clinical and commercial success of our product candidates depend on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a clinical-stage biopharmaceutical company with no approved products. We have not yet successfully completed any Phase 3 clinical trials nor commercialized any pharmaceutical products, which may make it difficult to evaluate our future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innovations to the treatments of retinal diseases, dry eye and glaucoma are unproven, and we do not know whether we will be able to successfully develop these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Drug development is a lengthy, highly uncertain undertaking and involves a substantial degree of risk. The outcome of preclinical testing and earlier clinical trials may not be predictive of the success of later clinical trials. In addition, the regulatory approval processes of the Food and Drug Administration (</w:t>
            </w:r>
            <w:r>
              <w:rPr>
                <w:rFonts w:ascii="Times New Roman" w:hAnsi="Times New Roman"/>
                <w:i/>
                <w:sz w:val="20"/>
              </w:rPr>
              <w:t>FDA</w:t>
            </w:r>
            <w:r>
              <w:rPr>
                <w:rFonts w:ascii="Times New Roman" w:hAnsi="Times New Roman"/>
                <w:sz w:val="20"/>
              </w:rPr>
              <w:t xml:space="preserve">), and non-U.S. regulatory authorities are highly complex, lengthy, and inherently unpredictable, and the results of our clinical trials may not satisfy the requirements of the FDA or other regulatory authorities.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depends on the successful development and commercialization of OCS-01, OCS-02, OCS-05 and our other product candidates. To the extent the pipeline products are not commercially successful, our business, financial condition, and results of operations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products may fail to achieve the degree of market acceptance by physicians, patients, third-party payors and others in the medical community necessary for commercial success, and the market opportunity for these products may be smaller than we estimated.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experience manufacturing any of our product candidates at a commercial scale. We, or our CMOs, may be unable to successfully scale up manufacturing of our product candidates in sufficient quality and quantity, which would delay or prevent us from developing our product candidates and commercializing approved products,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manufacturing of OCS-02, a biologic, and certain of our other product candidates are complex and highly regulated, and there are particular risks associated with manufacturing the products to commercial scale, including our reliance on third parties and the risk that we will not have sufficient quantities of our products or product candidates or such quantities at an acceptable cost, which could delay, prevent or impair the commercialization or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patent position does not adequately protect our product candidates, others could compete against us more directly, which would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If we fail to comply with our obligations under any license, collaboration or other agreements, including our license agreements with Novartis Technology LLC (</w:t>
            </w:r>
            <w:r>
              <w:rPr>
                <w:rFonts w:ascii="Times New Roman" w:hAnsi="Times New Roman"/>
                <w:i/>
                <w:sz w:val="20"/>
              </w:rPr>
              <w:t>Novartis</w:t>
            </w:r>
            <w:r>
              <w:rPr>
                <w:rFonts w:ascii="Times New Roman" w:hAnsi="Times New Roman"/>
                <w:sz w:val="20"/>
              </w:rPr>
              <w:t>) and Accure Therapeutics SL (</w:t>
            </w:r>
            <w:r>
              <w:rPr>
                <w:rFonts w:ascii="Times New Roman" w:hAnsi="Times New Roman"/>
                <w:i/>
                <w:sz w:val="20"/>
              </w:rPr>
              <w:t>Accure</w:t>
            </w:r>
            <w:r>
              <w:rPr>
                <w:rFonts w:ascii="Times New Roman" w:hAnsi="Times New Roman"/>
                <w:sz w:val="20"/>
              </w:rPr>
              <w:t xml:space="preserve">), such agreements may be terminated, we may be required to pay damages and we could lose intellectual property rights that are necessary for the development and protection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to support our operations and pursue our growth strategy. If we are unable to raise capital when needed, or on acceptable terms, we may be forced to delay, reduce or eliminate future commercialization efforts or one or more of our research and development programs. In addition, raising additional capital may cause dilution to our shareholders or restrict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incurred significant losses and negative cash flows from operations since our formation, and we anticipate that we will continue to incur losses for the foreseeable future, which may make it difficult for investors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qualify as an emerging growth company and we cannot be certain if the reduced reporting requirements applicable to emerging growth companies will make ordinary shares less attractive to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from time to time report the results of clinical trials and some of those results may not meet our or market expectations. For instance, we reported the topline results from the Stage 1 portion of our Phase 3 DME clinical trial in May 2023, and we expect the Phase 3 clinical trial for the treatment of inflammation and pain related to ocular surgery to be available in the third quarter of 2023. Any results that we report that do not meet our or market expectations may negatively affect the trading price of ordinary shares.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sizes of the market opportunities for our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 </w:t>
      </w:r>
    </w:p>
    <w:p>
      <w:pPr>
        <w:pStyle w:val="TextBody"/>
        <w:bidi w:val="0"/>
        <w:spacing w:before="120" w:after="0"/>
        <w:jc w:val="left"/>
        <w:rPr>
          <w:rFonts w:ascii="Times New Roman" w:hAnsi="Times New Roman"/>
          <w:sz w:val="20"/>
        </w:rPr>
      </w:pPr>
      <w:r>
        <w:rPr>
          <w:rFonts w:ascii="Times New Roman" w:hAnsi="Times New Roman"/>
          <w:sz w:val="20"/>
        </w:rPr>
        <w:t xml:space="preserve">Our assessment of the potential market opportunity the product candidates that we develop is based on industry and market data that we obtained from industry publications and research, surveys and studies conducted by third parties and our own internal epidemiology and market research studies. Industry publications and third-party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of our product candidates are difficult to precisely estimate.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our product candidates may be smaller than we expect, and as a result our product revenue may be limited and it may be more difficult for us to achieve or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growth may depend, in part, on our ability to penetrate foreign markets, where we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future profitability may depend, in part, on our ability to commercialize our product candidates in foreign markets where we lack familiarity with local regulations, environment and procedures and for which we may rely on collaboration with third parties.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customers ability to obtain reimbursement for our product candidates in foreign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directly control commercial activities if we are relying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burden of complying with complex and changing foreign regulatory, tax, accounting and legal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medical practices and customs in foreign countries affecting acceptance in the marketplace;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 or export licensing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accounts receivable collection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longer lead times for shipping;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language barriers for technical training and the need for language translations;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protection of intellectual property rights in some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additional potentially relevant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rate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interpretation of contractual provisions governed by foreign laws in the event of a contract dispute;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restrictions on currency conversion or the transfer of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anti-competitive policies or anti-competitive practices which are condoned and the imposition of restrictions on investments and other measures that may be taken to protect the local industry in these foreign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non-U.S. regulators, governments, companies, or other entities which prevent us from entering into or benefiting from licensing agreements or other collaborations with non-U.S. companies, universities, research institutes, or other entities.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approach to the treatment of retinal disease with OCS-01 is unproven, and we do not know whether we will be able to successfully develop OCS-01. </w:t>
      </w:r>
    </w:p>
    <w:p>
      <w:pPr>
        <w:pStyle w:val="TextBody"/>
        <w:bidi w:val="0"/>
        <w:spacing w:before="120" w:after="0"/>
        <w:jc w:val="left"/>
        <w:rPr>
          <w:rFonts w:ascii="Times New Roman" w:hAnsi="Times New Roman"/>
          <w:sz w:val="20"/>
        </w:rPr>
      </w:pPr>
      <w:r>
        <w:rPr>
          <w:rFonts w:ascii="Times New Roman" w:hAnsi="Times New Roman"/>
          <w:sz w:val="20"/>
        </w:rPr>
        <w:t xml:space="preserve">OCS-01 is designed to deliver therapeutic drug levels to the retinal tissue by a topical route of administration as an eye drop formulation. There are currently no FDA-approved therapies that treat retinal diseases by a topical route of administration. Our future success partially depends on the successful development of OCS-01 which is based on this novel therapeutic approach. We have not yet demonstrated efficacy and safety for OCS-01 or any other product candidates in a pivotal trial or obtained marketing approval of any product candidate. OCS-01 may not demonstrate in patients any or all of the pharmacological benefits we believe it may possess. If we are unsuccessful in our development efforts, we may not be able to advance the development and commercialization of OCS-01.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potential approach to use OCS-02 for the treatment of dry eye disease in patients identified with a biomarker is unproven, and we do not know whether we will be able to successfully confirm the role of the biomarker and successfully develop OCS-02. </w:t>
      </w:r>
    </w:p>
    <w:p>
      <w:pPr>
        <w:pStyle w:val="TextBody"/>
        <w:bidi w:val="0"/>
        <w:spacing w:before="120" w:after="0"/>
        <w:jc w:val="left"/>
        <w:rPr>
          <w:rFonts w:ascii="Times New Roman" w:hAnsi="Times New Roman"/>
          <w:sz w:val="20"/>
        </w:rPr>
      </w:pPr>
      <w:r>
        <w:rPr>
          <w:rFonts w:ascii="Times New Roman" w:hAnsi="Times New Roman"/>
          <w:sz w:val="20"/>
        </w:rPr>
        <w:t xml:space="preserve">OCS-02 is in development for treating ophthalmic diseases including dry eye disease. One of our potential strategies for OCS-02 is also to develop it for patients identified with a biomarker to predict patients that may respond well to OCS-02 treatment. There are currently no FDA-approved therapies that treat dry eye disease in this precision medicine way. If we choose to utilize this biomarker strategy, then our future success partially depends on the successful development of both OCS-02 and a companion diagnostic for the biomarker and our ability to demonstrate that patients with that biomarker are likely to respond well to OCS-02 treatment. We have not yet demonstrated efficacy and safety for OCS-02 or any other product candidates in patients with or without a biomarker in a pivotal trial or obtained marketing approval of any of our product candidates. OCS-02 may not demonstrate in patients with or without the biomarker any or all of the pharmacological benefits we believe it may possess. If we are unsuccessful in our development efforts, we may not be able to advance the development and commercialization of OCS-02.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approach to the treatment of ophthalmic disease with OCS-05 is unproven, and we do not know whether we will be able to successfully develop OCS-05. </w:t>
      </w:r>
    </w:p>
    <w:p>
      <w:pPr>
        <w:pStyle w:val="TextBody"/>
        <w:bidi w:val="0"/>
        <w:spacing w:before="120" w:after="0"/>
        <w:jc w:val="left"/>
        <w:rPr>
          <w:rFonts w:ascii="Times New Roman" w:hAnsi="Times New Roman"/>
          <w:sz w:val="20"/>
        </w:rPr>
      </w:pPr>
      <w:r>
        <w:rPr>
          <w:rFonts w:ascii="Times New Roman" w:hAnsi="Times New Roman"/>
          <w:sz w:val="20"/>
        </w:rPr>
        <w:t>OCS-05 is intended to prevent or reverse nerve damage (</w:t>
      </w:r>
      <w:r>
        <w:rPr>
          <w:rFonts w:ascii="Times New Roman" w:hAnsi="Times New Roman"/>
          <w:i/>
          <w:sz w:val="20"/>
        </w:rPr>
        <w:t>neuroprotection</w:t>
      </w:r>
      <w:r>
        <w:rPr>
          <w:rFonts w:ascii="Times New Roman" w:hAnsi="Times New Roman"/>
          <w:sz w:val="20"/>
        </w:rPr>
        <w:t xml:space="preserve">) in ophthalmic diseases in which patients lose vision due to nerve damage. There are currently no FDA-approved therapies that treat ophthalmic diseases in this neuroprotective way. Our future success partially depends on the successful development of OCS-05 which is based on this novel therapeutic approach. We have not yet demonstrated efficacy and safety for OCS-05 or any other product candidates in a pivotal trial or obtained marketing approval of any product candidate. OCS-05 may not demonstrate in patients any or all of the pharmacological benefits we believe it may possess. If we are unsuccessful in our development efforts, we may not be able to advance the development and commercialization of OCS-05. </w:t>
      </w:r>
    </w:p>
    <w:p>
      <w:pPr>
        <w:pStyle w:val="TextBody"/>
        <w:bidi w:val="0"/>
        <w:spacing w:before="240" w:after="0"/>
        <w:jc w:val="left"/>
        <w:rPr>
          <w:rFonts w:ascii="Times New Roman" w:hAnsi="Times New Roman"/>
          <w:sz w:val="20"/>
        </w:rPr>
      </w:pPr>
      <w:r>
        <w:rPr>
          <w:rFonts w:ascii="Times New Roman" w:hAnsi="Times New Roman"/>
          <w:sz w:val="20"/>
        </w:rPr>
        <w:t>We in-licensed OCS-05 from Accure in 2022. Accure was previously unable to establish a no-observed-adverse- effect-level (</w:t>
      </w:r>
      <w:r>
        <w:rPr>
          <w:rFonts w:ascii="Times New Roman" w:hAnsi="Times New Roman"/>
          <w:i/>
          <w:sz w:val="20"/>
        </w:rPr>
        <w:t>NOAEL</w:t>
      </w:r>
      <w:r>
        <w:rPr>
          <w:rFonts w:ascii="Times New Roman" w:hAnsi="Times New Roman"/>
          <w:sz w:val="20"/>
        </w:rPr>
        <w:t xml:space="preserve">) for the product candidate. We have engaged Toxicodynamix International LLC to manage toxicology studies relating to OCS-05. If our studies do not satisfy the FDAs requirements, OCS-05 may not receive clearance from the FDA to proceed with human clinical trials, may never receive clearance from the FDA to proceed with human clinical trials and may never receive regulatory approval from the FDA, and we may be unable to market and commercialize OCS-05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not yet successfully completed any Phase 3 clinical trials, received any marketing approvals or commercialized any pharmaceutical products, which may make it difficult to evaluate our future prospects.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to date have been limited to financing and staffing our company, developing our technology and conducting preclinical research as well as Phase 1 and Phase 2 clinical trials for our product candidates. We have not yet demonstrated an ability to successfully complete Phase 3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significantly on our product candidates, OCS-01, OCS-02, and OCS-05, which we are developing for treatment of multiple diseases. If we are unable to complete the clinical development of any of these product candidates, if we are unable to obtain marketing approvals for any of these product candidates, or if any of these product candidates are approved and we fail to successfully commercialize the product candidate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depend significantly on the success of our lead product candidate, OCS-01, which we are developing for the treatment of patients with diabetic macular edema, and also for the treatment of patients with pain or inflammation following ocular surgery. In addition, we also depend on the success of OCS-02, which we are developing for the treatment of dry eye disease and non-infectious anterior uveitis and on the success of OCS-05, which we are initially developing for the treatment of Acute Optic Neuropathy. </w:t>
      </w:r>
    </w:p>
    <w:p>
      <w:pPr>
        <w:pStyle w:val="TextBody"/>
        <w:bidi w:val="0"/>
        <w:spacing w:before="240" w:after="0"/>
        <w:jc w:val="left"/>
        <w:rPr>
          <w:rFonts w:ascii="Times New Roman" w:hAnsi="Times New Roman"/>
          <w:sz w:val="20"/>
        </w:rPr>
      </w:pPr>
      <w:r>
        <w:rPr>
          <w:rFonts w:ascii="Times New Roman" w:hAnsi="Times New Roman"/>
          <w:sz w:val="20"/>
        </w:rPr>
        <w:t xml:space="preserve">We have invested a significant portion of our efforts and financial resources in the development of OCS-01 for the treatment of patients with diabetic macular edema as well as for the treatment of patients with pain or inflammation following ocular surgery. There remains a significant risk that we will fail to successfully develop OCS-01 in one or both of these indications. The results of our Phase 2 clinical trials in each indication may not be predictive of the results of our Phase 3 clinical programs due, in part, to the fact that (i) we have no clinical data on OCS-01 therapy in diabetic macular edema in any clinical trial with treatment longer than 12 weeks, (ii) we have modified the methodology used to determine a patients eligibility under certain of the inclusion and exclusion criteria for our Phase 3 clinical trial as compared to our Phase 2 clinical trial, (iii) we have no clinical data from a trial of similar size to that anticipated for our Phase 3 clinical trial, and (iv) we plan to conduct our Phase 3 clinical trials at many clinical centers that were not included in our Phase 2 clinical trial. The results of our Phase 2 clinical trials for inflammation and pain following ocular surgery may not be predictive of the results of the planned Phase 3 clinical study, due, in part, to the fact that we plan to conduct our Phase 3 clinical trial at clinical centers that were not included in our Phase 2 clinical trial. Furthermore, despite consultation with regulatory authorities, no assurance can be provided that the FDA or non-U.S. regulatory authorities would consider the planned Phase 3 clinical trials to be sufficient to serve as the basis for approval in either indication, or that the Phase 2 study for inflammation and pain following ocular surgery may be considered as one of the two required adequate and well-controlled trials to support a New Drug Application (NDA) submission, with such a final determination only made by the FDA or non-U.S. regulatory authorities following review of the NDA. In addition, in May 2023, we announced topline data for Stage 1 of the DIAMOND Phase 3 clinical trial of OCS-01 in DME. Although OCS-01 met the primary and secondary endpoints in Stage 1 with robust statistical significance, there is no guarantee that these results will be replicated in Stage 2, which is the pivotal part of the trial. The Stage 1 topline data is preliminary and subject to change, as analysis is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accurately predict when or if any of our product candidates will prove effective or safe in humans or whether these product candidates will receive marketing approval. Our ability to generate product revenues sufficient to achieve profitability will depend heavily on our obtaining marketing approval for and commercializing OCS-01, OCS-02, or OCS-05.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OCS-01, OCS-02, OCS-05 and other product candidates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and timely completing preclinical studies and clinical trials that demonstrate to the satisfaction of the FDA, the European Medicines Agency, or EMA, or comparable non-U.S. regulatory authorities that our product candidates are safe and effective for any of their proposed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the label that may be approved by applicable regulatory authorities, including the specific indication for which the product may be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required by the FDA or similar non-U.S. regulatory agency to conduct additional studies beyond those planned to support the approval and commercialization of OCS-01, OCS-02 and OCS-05;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products, if and when approved, by patients, the medical community and third-party payors, including relative to alternative and competing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our products both prior to and following any marketing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demonstrating consistent therapeutic efficacy of our products following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coverage and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applying for and receiving marketing approvals from applicable regulatory authorities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and maintaining, and, where applicable, ensuring that our third-party contractors achieve and maintain compliance with their contractual obligations and with all regulatory requirements applicable to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up our manufacturing processes and capabilities to support additional or larger clinical trials of our product candidates and commercialization of any of our product candidates for which we obtain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validating and maintaining a commercially viable manufacturing process that is compliant with current good manufacturing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expanding our sales, marketing and distribution capabilities and launching commercial sales of our product candidates,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minimizing and managing any delay or disruption to our ongoing or planned clinical trials, and any adverse impacts to the U.S. and global market for pharmaceutical products, as a result of the ongoing COVID-19 pandemic;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trade secret and other intellectual property protection and regulatory exclusivity;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protecting and enforcing our rights in our intellectual property portfolio.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do not achieve one or more of these factors in a timely manner or at all, we could experience significant delays or an inability to successfully commercialize our product candidates, which would materially harm our business, financial condition, results of operations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results of previous clinical trials may not be predictive of future results, and the results of our current and planned clinical trials may not satisfy the requirements of the FDA or non-U.S.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The results from the prior preclinical studies and clinical trials for OCS-01, OCS-02 and OCS-05 may not necessarily be predictive of the results of future preclinical studies or clinical trials. Even if we are able to complete our planned clinical trials of our product candidates according to our current development timelines, the results from our prior clinical trials of our product candidates may not be replicated in these future trials. Many companies in the pharmaceutical and biotechnology industries (including those with greater resources and experience than us)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have failed to obtain FDA or non-U.S.-regulatory authority approval. If we fail to produce positive results in our clinical trials of any of our product candidates, the development timelines, regulatory approvals and commercialization prospects for our product candidates, as well as our business and financial prospects, would be adversely affected. Further, our product candidates may not be approved even if they achieve their respective primary endpoints in Phase 3 registration trials. The FDA or non-U.S. regulatory authorities may disagree with our trial designs or our interpretation of data from preclinical studies and clinical trials. In addition, any of these regulatory authorities may change requirements for the approval of a product candidate even after reviewing and providing comments or advice on a protocol for a pivotal clinical trial that has the potential to result in approval by the FDA or another regulatory authority. Furthermore, any of these regulatory authorities may also approve our product candidates for fewer or more limited indications than it requests or may grant approval contingent on the performance of costly post-marketing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Some of our clinical data results come from previous trials of less than 100 patients each, including a Phase 2a clinical trial of OCS-02 for the treatment of dry eye disease, a Phase 2a clinical trial of OCS-02 for the treatment of non-infectious anterior uveitis, and a Phase 1 dose-ranging study of OCS-05 in healthy volunteers, making it difficult to predict whether the favorable results from such trials will be repeatable in larger, more advanced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FDA or non-U.S. regulatory authorities would consider our completed and planned clinical trials used for an NDA submission to be sufficient to serve as the basis for approval of our product candidates for any indication. Even if the results of future Phase 3 clinical trials are positive, the FDA and non-U.S. regulatory authorities retain broad discretion in evaluating the results of our clinical trials and in determining whether the results demonstrate that our product candidates are safe and effective. If we are required to conduct clinical trials of our product candidates in addition to those we have planned prior to approval, we will need substantial additional funds, and cannot assure you that the results of any such outcomes trial or other clinical trials will be sufficient for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any of a number of possible unforeseen events in connection with our clinical trials, potential marketing approval or commercialization of our product candidates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We may experience numerous unforeseen events during, or as a result of, clinical trials that could delay or prevent our ability to receive marketing approval or commercialize any product candidate that we may develop,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our product candidates may not produce statistically significant, conclusive, or anticipated results, and we may decide, or regulators may require us, to conduct additional clinical trials or amend product development programs, or abandon product development programs entirely;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required for clinical trials of our product candidates may be larger than we anticipate, enrollment in these clinical trials may be slower than we anticipate or participants may drop out of these clinical trials at a higher rate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contractors may fail to comply with regulatory requirements or meet their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institutional review boards, or IRBs, or ethics committees may not authorize us or our investigators to commence a clinical trial or conduct a clinical trial at a prospective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experience delays in reaching, or fail to reach, agreement on acceptable clinical trial contracts or clinical trial protocols with prospective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decide, or regulators, IRBs, or ethics committees may require us, to suspend or terminate clinical research for various reasons, including noncompliance with regulatory requirements or a finding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our product candidates may be greater than we anticipate;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supply or quality of our clinical trial material or other materials necessary to conduct clinical trials of our product candidates may be insufficient or inadequate.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required to conduct additional clinical trials or other testing of our product candidates beyond those that we currently contemplate, if we are unable to successfully complete clinical trials or other testing of our product candidates, if the results of these trials or other tests are not favorable or are only modestly favorable or if there are safety concerns,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delayed in obtaining or unable to obtain marketing approval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for indications or patient populations that are not as broad as intended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approval with labeling that includes significant use or distribution restrictions or safety warnings;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subject to additional post-marketing testing requirements;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the product removed from the market after obtaining marketing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product development costs will also increase if we experience delays in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required, or choose, to suspend, repeat or terminate our clinical trials if they are not conducted in accordance with regulatory requirements, the results are negative or inconclusive, the trials are not well- designed, or research participants experience adverse safety outcomes. </w:t>
      </w:r>
    </w:p>
    <w:p>
      <w:pPr>
        <w:pStyle w:val="TextBody"/>
        <w:bidi w:val="0"/>
        <w:spacing w:before="120" w:after="0"/>
        <w:jc w:val="left"/>
        <w:rPr>
          <w:rFonts w:ascii="Times New Roman" w:hAnsi="Times New Roman"/>
          <w:sz w:val="20"/>
        </w:rPr>
      </w:pPr>
      <w:r>
        <w:rPr>
          <w:rFonts w:ascii="Times New Roman" w:hAnsi="Times New Roman"/>
          <w:sz w:val="20"/>
        </w:rPr>
        <w:t xml:space="preserve">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Clinical trials must be conducted in accordance with GCPs and other applicable non-U.S. regulatory authority guidelines. Clinical trials are subject to oversight by the FDA, non-U.S. regulatory authorities and IRBs at the study sites where the clinical trials are conducted. In addition, clinical trials must be conducted with product candidates produced in accordance with applicable current good manufacturing practices. Clinical trials may be placed on a full or partial clinical hold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non-U.S. regulatory authorities,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or the quality or stability of the product candidates may fall below acceptable standards. </w:t>
      </w:r>
    </w:p>
    <w:p>
      <w:pPr>
        <w:pStyle w:val="TextBody"/>
        <w:bidi w:val="0"/>
        <w:spacing w:before="240" w:after="0"/>
        <w:jc w:val="left"/>
        <w:rPr>
          <w:rFonts w:ascii="Times New Roman" w:hAnsi="Times New Roman"/>
          <w:sz w:val="20"/>
        </w:rPr>
      </w:pPr>
      <w:r>
        <w:rPr>
          <w:rFonts w:ascii="Times New Roman" w:hAnsi="Times New Roman"/>
          <w:sz w:val="20"/>
        </w:rPr>
        <w:t xml:space="preserve">If we elect or are forced to suspend or terminate a clinical trial of any of our current or future product candidates, the commercial prospects for that product may be harmed and our ability to generate product revenue from that product may be delayed or eliminated. Furthermore, any of these events could prevent us or our partners from achieving or maintaining market acceptance of the affected product and could substantially increase the costs of commercializing our product candidates and impair our ability to generate revenue from the commercialization of these products either by us or by our collaboration partners. </w:t>
      </w:r>
    </w:p>
    <w:p>
      <w:pPr>
        <w:pStyle w:val="TextBody"/>
        <w:bidi w:val="0"/>
        <w:spacing w:before="240" w:after="0"/>
        <w:jc w:val="left"/>
        <w:rPr>
          <w:rFonts w:ascii="Times New Roman" w:hAnsi="Times New Roman"/>
          <w:sz w:val="20"/>
        </w:rPr>
      </w:pPr>
      <w:r>
        <w:rPr>
          <w:rFonts w:ascii="Times New Roman" w:hAnsi="Times New Roman"/>
          <w:sz w:val="20"/>
        </w:rPr>
        <w:t xml:space="preserve">Any additional SAEs could result in the FDA delaying our clinical trials or denying or delaying clearance or approval of a product. Even though an adverse effect may not be the result of the failure of our drug candidate, the FDA or an IRB could delay or halt a clinical trial for an indefinite period of time while an adverse effect is reviewed, and likely would do so in the event of multiple such events. 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effects during the trials, may cause an increase in costs and delays in the submission of any New Drug Applications, or NDAs, to the FDA, delay the approval and commercialization of our products or result in the failure of the clinical trial, which could adversely affect our business, financial condition, results of operations and growth prospects. Lengthy delays in the completion of clinical trials of our products would adversely affect our business and prospects and could cause us to cease operations. </w:t>
      </w:r>
    </w:p>
    <w:p>
      <w:pPr>
        <w:pStyle w:val="TextBody"/>
        <w:bidi w:val="0"/>
        <w:spacing w:before="240" w:after="0"/>
        <w:jc w:val="left"/>
        <w:rPr>
          <w:rFonts w:ascii="Times New Roman" w:hAnsi="Times New Roman"/>
          <w:sz w:val="20"/>
        </w:rPr>
      </w:pPr>
      <w:r>
        <w:rPr>
          <w:rFonts w:ascii="Times New Roman" w:hAnsi="Times New Roman"/>
          <w:sz w:val="20"/>
        </w:rPr>
        <w:t xml:space="preserve">If preliminary data demonstrate that any of our product candidates has an unfavorable safety profile and is unlikely to receive regulatory approval or be successfully commercialized, we may voluntarily suspend or terminate future development of such product candidate. Any one or a combination of these events could prevent us from obtaining approval and achieving or maintaining market acceptance of the affected product or could substantially increase the costs and expenses of commercializing the product candidate, which in turn could delay or prevent us from generating significant revenues from the sale of the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candidates may cause undesirable side effects, such as an increase in intraocular pressure caused by OCS-01, or have other unexpected properties that could delay or prevent their regulatory approval, limit the commercial profile of an approved label, or result in post-approval regulatory action. OCS-05 was placed on a clinical hold with the FDA in 2016. If we are unable to establish a NOAEL, or if our studies otherwise do not satisfy the FDAs requirements, OCS-05 may not receive clearance from the FDA to proceed with human clinical trials, may never receive regulatory approval from the FDA, and we may not be able to market and commercialize OCS-05 in the United States, which could materially adversely affect our business, financial condition, results of operations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Unforeseen side effects varying in severity (from minor reactions to death) and frequency (infrequent or prevalent) from OCS-01, OCS-02 or OCS-05 could arise either during clinical development or, if approved, after marketing. Undesirable side effects could cause us, any partners with which we may collaborate, or regulatory authorities to interrupt, extend, modify, delay or halt clinical trials and could result in a more restrictive or narrower label or the delay or denial of regulatory approval by the FDA or comparable foreign authorities.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conduct of clinical trials, subjects report changes in their health, including illnesses, injuries, and discomforts, to their study doctor. Often, it is not possible to determine whether or not the product candidate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 </w:t>
      </w:r>
    </w:p>
    <w:p>
      <w:pPr>
        <w:pStyle w:val="TextBody"/>
        <w:bidi w:val="0"/>
        <w:spacing w:before="240" w:after="0"/>
        <w:jc w:val="left"/>
        <w:rPr>
          <w:rFonts w:ascii="Times New Roman" w:hAnsi="Times New Roman"/>
          <w:sz w:val="20"/>
        </w:rPr>
      </w:pPr>
      <w:r>
        <w:rPr>
          <w:rFonts w:ascii="Times New Roman" w:hAnsi="Times New Roman"/>
          <w:sz w:val="20"/>
        </w:rPr>
        <w:t xml:space="preserve">If OCS-01, OCS-02 or OCS-05 or any of our other product candidates are associated with serious adverse events, or SAEs, or other undesirable side effects in clinical trials or have characteristics that are unexpected, we may need to abandon their development or limit development to more narrow uses or subpopulations in which the SAEs, undesirable side effects or other characteristics are less prevalent, less severe or more acceptable from a risk-benefit perspective. </w:t>
      </w:r>
    </w:p>
    <w:p>
      <w:pPr>
        <w:pStyle w:val="TextBody"/>
        <w:bidi w:val="0"/>
        <w:spacing w:before="240" w:after="0"/>
        <w:jc w:val="left"/>
        <w:rPr>
          <w:rFonts w:ascii="Times New Roman" w:hAnsi="Times New Roman"/>
          <w:sz w:val="20"/>
        </w:rPr>
      </w:pPr>
      <w:r>
        <w:rPr>
          <w:rFonts w:ascii="Times New Roman" w:hAnsi="Times New Roman"/>
          <w:sz w:val="20"/>
        </w:rPr>
        <w:t>In addition, OCS-05 was placed on a clinical hold by the FDA in 2016. We licensed OCS-05 from Accure in 2022. 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Acute Optic Neuritis (</w:t>
      </w:r>
      <w:r>
        <w:rPr>
          <w:rFonts w:ascii="Times New Roman" w:hAnsi="Times New Roman"/>
          <w:i/>
          <w:sz w:val="20"/>
        </w:rPr>
        <w:t>AON</w:t>
      </w:r>
      <w:r>
        <w:rPr>
          <w:rFonts w:ascii="Times New Roman" w:hAnsi="Times New Roman"/>
          <w:sz w:val="20"/>
        </w:rPr>
        <w:t xml:space="preserve">). We have engaged Toxicodynamix International LLC to manage toxicology studies relating to OCS-05. If our studies do not satisfy the FDAs requirements, OCS-05 may not receive clearance from the FDA to proceed with human clinical trials, may never receive regulatory approval from the FDA, and we may be unable to market and commercialize OCS-05 in the United States, and our business, financial condition, results of operations and growth prospects could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Results of clinical trials could reveal a high and unacceptable severity and prevalence of side effects. In such an event, trials could be suspended or terminated, and the FDA or comparable non-U.S. regulatory authorities could order us to cease further development of or deny approval of a product candidate for any or all targeted indications. Such adverse event findings also could require us or our collaboration partners to perform additional studies or halt development or sale of these product candidates or expose us to product liability lawsuits which would harm our business, financial condition, results of operations and growth prospects. In such an event, we could be required by the FDA or other comparable regulatory authorities to conduct additional animal or human studies regarding the safety and efficacy of our product candidates which we have not planned or anticipated or our studies could be suspended or terminated, and the FDA or comparable regulatory authorities could order us to cease further development of or deny, vary, or withdraw approval of our product candidates for any and all intended indications. The drug-related side effects could also affect patient recruitment or the ability of enrolled patients to complete the trial. There can be no assurance that we will resolve any issues related to any product-related adverse events to the satisfaction of the FDA or any comparable regulatory agency in a timely manner, if ever, and any of these occurrences may harm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or others identify undesirable side effects, or other previously unknown problems, caused by a product after obtaining U.S. or non-U.S. regulatory approval, a number of potentially negative consequences could result, including but not limited to, regulatory authorities suspending, withdrawing or varying approvals of such product, regulatory authorities requiring additional warnings on the label or otherwise requiring labeling to be updated or narrowed, us becoming liable for harm caused to patients and the diminution of our reputation, which could prevent us or our potential partners from achieving or maintaining market acceptance of the product candidate, if approved, and could substantially increase the costs of commercializing such product, which would have a material adverse effect on our business, results of operation,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any of our product candidates receives approval, regulatory agencies including the FDA and other non-U.S. regulatory agencies will require that we regularly report certain information, including information about adverse events that may have caused or contributed by those products. The timing of adverse event reporting obligations would be triggered by the date we become aware of the adverse event as well as the nature of the event. We may fail to report adverse events we become aware of within the prescribed timeframe especially if it is not reported to us as an adverse event or if it is an adverse event that is unexpected or removed in time from the use of our products. If we fail to comply with our reporting obligations, the FDA or other regulatory agencies could take action that may include criminal prosecution, the imposition of civil monetary penalties, seizure of our products, or suspension of market approval, and delay in approval or clearance of future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topline and preliminary data from our clinical trials may change as more patient data becomes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publicly disclose preliminary, interim or topline data from our clinical trials. These interim updates are based on a preliminary analysis of then-available data, and the results and related findings and conclusions may be subject to change following a more comprehensive review of the data. We also may use assumptions and estimates as part of our preliminary analyses of the data, and we may not have received or had the opportunity to fully and carefully evaluate all data. Topline data also remain subject to audit and verification procedures before they can be finalized. In addition, the information we choose to publicly disclose regarding a particular study or clinical trial is typically selected from a more extensive amount of available information. For example, we may report interim analyses of only certain of the endpoints of the clinical trial, rather than all of the endpoints. Additional disclosure of interim data by us or by our competitors in the future could result in volatility in the price of our ordinary shares. Further, investors may not agree with what we determine is the material or otherwise appropriate information to include in our public disclosures, and any information we determine not to disclose may ultimately be deemed significant by us or, if subsequently disclosed, by investors, with respect to future decisions, conclusions, views, activities or otherwise regarding a particular product candidate or our business. Further, others, including regulatory agencies and investors may not accept our conclusions regarding such preliminary or interim analyses, which could impact the value of a particular program or the approvability or commercialization of the particular product candidate, or result in volatility in the price of our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topline results that we report may differ significantly from the final results of the same studies, or different conclusions or considerations may qualify such results, once additional data have been received and fully evaluated. For example, in May 2023, we announced topline data for Stage 1 of the DIAMOND Phase 3 clinical trial of OCS-01 in DME. Although OCS-01 met the primary and secondary endpoints in Stage 1 with robust statistical significance, there is no guarantee that these results will be replicated in Stage 2, which is the pivotal part of the trial. The Stage 1 topline data is preliminary and subject to change, as analysis is ongoing. As a result, topline and interim data from clinical trials are subject to the risk that one or more of the reported clinical outcomes may materially change, and should be viewed with caution until the final data are available. If the preliminary or topline data that we report differ from the final results, or if others, including regulatory authorities, disagree with our conclusions, then our ability to obtain approval for, and to successfully commercialize our product candidates may be harmed, which could materially affect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encounter substantial delays in our clinical trials, or may not be able to conduct or complete our clinical trials on the timelines we expect, if at all.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time consuming, and subject to uncertainty. We cannot guarantee that any clinical trials will be conducted as planned or completed on schedule, if at all. We cannot be sure that submission of an investigational new drug application, or IND, or a clinical trial application, or CTA, will result in the FDA or comparable non-U.S. regulatory authorities, or any other regulatory authority as applicable, allowing clinical trials to begin in a timely manner, if at all. Moreover, even if these trials begin, issues may arise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suspend or terminate such clinical trials. A failure of one or more clinical trials can occur at any stage of testing, and our future clinical trials may not be successful. </w:t>
      </w:r>
    </w:p>
    <w:p>
      <w:pPr>
        <w:pStyle w:val="TextBody"/>
        <w:bidi w:val="0"/>
        <w:spacing w:before="240" w:after="0"/>
        <w:jc w:val="left"/>
        <w:rPr>
          <w:rFonts w:ascii="Times New Roman" w:hAnsi="Times New Roman"/>
          <w:sz w:val="20"/>
        </w:rPr>
      </w:pPr>
      <w:r>
        <w:rPr>
          <w:rFonts w:ascii="Times New Roman" w:hAnsi="Times New Roman"/>
          <w:sz w:val="20"/>
        </w:rPr>
        <w:t xml:space="preserve">Any difficulties we experience relating to the initiation or completion of patient visits in clinical trials, including as a result of the SARS-CoV-2 virus, could delay regulatory approval for our product candidates. Identifying and qualifying subjects to participate in clinical trials of our product candidates is critical to our success. The timing of clinical trials depends on our ability to recruit subjects to participate, as well as the completion of required follow-up periods. Patients may be unwilling to participate in clinical trials because of negative publicity from adverse events related to the biotechnology or pharmaceutical fields, competitive clinical trials for similar patient populations, the existence of current treatments or for other reasons.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 Patient enrollment for any of our future clinical trials may be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generate sufficient preclinical, toxicology, or other </w:t>
            </w:r>
            <w:r>
              <w:rPr>
                <w:rFonts w:ascii="Times New Roman" w:hAnsi="Times New Roman"/>
                <w:i/>
                <w:sz w:val="20"/>
              </w:rPr>
              <w:t>in vivo</w:t>
            </w:r>
            <w:r>
              <w:rPr>
                <w:rFonts w:ascii="Times New Roman" w:hAnsi="Times New Roman"/>
                <w:sz w:val="20"/>
              </w:rPr>
              <w:t xml:space="preserve"> or </w:t>
            </w:r>
            <w:r>
              <w:rPr>
                <w:rFonts w:ascii="Times New Roman" w:hAnsi="Times New Roman"/>
                <w:i/>
                <w:sz w:val="20"/>
              </w:rPr>
              <w:t>in vitro</w:t>
            </w:r>
            <w:r>
              <w:rPr>
                <w:rFonts w:ascii="Times New Roman" w:hAnsi="Times New Roman"/>
                <w:sz w:val="20"/>
              </w:rPr>
              <w:t xml:space="preserve">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on study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by the reviewing regulatory authority to require more costly or lengthy clinical trials than we currently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prospective contract research organizations and clinical trial sites, the terms of which can be subject to extensive negotiation and may vary significantly among different CROs and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required IRB, or ethics committee approval at each clinical trial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or comparable non-U.S. regulatory authorities, or any other regulatory authority concerns about risk to patients of the technology broadly; or if the FDA, EMA, National Medical Products Administration, or NMPA, or any other regulatory authority finds that the investigational protocol or plan is clearly deficient to meet its stated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identifying, recruiting and enrolling suitable patients to participate in our clinical trials, and delays caused by patients withdrawing from clinical trials or failing to return for post- 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difficulty collaborating with patient groups and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by our CROs, other third parties, or us to adhere to clinical trial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in accordance with the FDAs or any other regulatory authoritys current good clinical practices, or cGCPs, requirements, or applicable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of competing treatments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and guidance that require amending or submitting new clinical protocols;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standard of care on which a clinical development plan was based, which may require new or additional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our product candidates being greater than we anticipate, including as a result of volatility in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our product candidates producing negative or inconclusive results, which may result in our deciding, or regulators requiring us, to conduct additional clinical trials or abandon development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of manufacturing processes to larger-scale facilities operated by a CMO or by us, and delays or failure by our CMOs or us to make any necessary changes to such manufacturing process;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manufacturing, testing, releasing, validating, or importing/exporting sufficient stable quantities of our product candidates for use in clinical trials or the inability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data safety monitoring board for such trial or by the FDA, or comparable non-U.S. regulatory authorities, or any other regulatory authority, or if the IRBs or ethics committees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comparable non-U.S. regulatory authorities,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and may in the future, conduct clinical trials for our product candidates outside the United States, and the FDA and applicable non-U.S. regulatory authorities may not accept data from such trials. </w:t>
      </w:r>
    </w:p>
    <w:p>
      <w:pPr>
        <w:pStyle w:val="TextBody"/>
        <w:bidi w:val="0"/>
        <w:spacing w:before="120" w:after="0"/>
        <w:jc w:val="left"/>
        <w:rPr>
          <w:rFonts w:ascii="Times New Roman" w:hAnsi="Times New Roman"/>
          <w:sz w:val="20"/>
        </w:rPr>
      </w:pPr>
      <w:r>
        <w:rPr>
          <w:rFonts w:ascii="Times New Roman" w:hAnsi="Times New Roman"/>
          <w:sz w:val="20"/>
        </w:rPr>
        <w:t xml:space="preserve">We and investigator sponsors have conducted clinical trials, are conducting clinical trials, and may in the future choose to conduct one or more clinical trials outside of the United States. Although the FDA or applicable non-U.S. regulatory authority may accept data from clinical trials conducted outside the United States or the applicable jurisdiction, acceptance of such study data by the FDA or applicable non-U.S. regulatory authority may be subject to certain conditions or exclusions. Where data from foreign clinical trials are intended to serve as the basis for marketing approval in the United States, the FDA will not approve the application on the basis of foreign data alone unless such data are applicable to the U.S. population and U.S. medical practice; the studies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non-U.S. regulatory bodies have similar requirements. In addition, such non-U.S. studies would be subject to the applicable local laws of the jurisdictions where the studies are conducted. There can be no assurance the FDA or applicable non-U.S. regulatory authority will accept data from trials conducted outside of the United States or the applicable home country. If the FDA or applicable non-U.S. regulatory authority does not accept such data, it would likely result in the need for additional trials, which would be costly and time-consuming and delay aspects of our business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and expect to continue to rely on third-party CROs and other third parties to conduct and oversee our clinical trials. If these third parties do not meet our requirements or otherwise conduct the trials as required, we may not be able to satisfy our contractual obligations or obtain regulatory approval for, or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rely on, and expect to continue to rely on, third-party CROs to conduct and oversee our clinical trials and other aspects of product development. We also expect to rely on various medical institutions, clinical investigators and contract laboratories to conduct our trials in accordance with our clinical protocols and applicable regulatory requirements, including the FDAs regulations and good clinical practice, or GCP requirements, and equivalent non-U.S. and international standards, which are international standards meant to protect the rights and health of patients and to define the roles of clinical trial sponsors, administrators and monitors, and national, supranational, and state regulations governing the handling, storage, security and recordkeeping for drug and biologic products. These CROs and other third parties are expected to play a significant role in the conduct of these trials and the subsequent collection and analysis of data from the clinical trials. We expect to rely heavily on these parties for the execution of our clinical trials and preclinical studies and will control only certain aspects of their activities. We and our CROs and other third-party contractors will be required to comply with GCP and good laboratory practice, or GLP, requirements, which are regulations and guidelines enforced by the FDA and comparable non-U.S. regulatory authorities. Regulatory authorities enforce these GCP and GLP requirements through periodic inspections of trial sponsors, principal investigators and trial sites. If we or any of these third parties fail to comply with applicable GCP and GLP requirements, or reveal noncompliance from an audit or inspection, the clinical data generated in our clinical trials may be deemed unreliable and the FDA or other comparable non-U.S. regulatory authorities may require us to perform additional clinical trials before approving our or our partners marketing applications. We cannot provide assurance that upon inspection by a given regulatory authority, such regulatory authority will determine whether or not any of our clinical or preclinical trials comply with applicable GCP and GLP requirements. In addition, our clinical trials generally must be conducted with product produced under current good manufacturing practices, or cGMP, regulations. Our failure to comply with these regulations and policies may require us to repeat clinical trials, which would delay the regulatory approval process, and adversely affect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any of our CROs or clinical trial sites terminate their involvement in one of our clinical trials for any reason, we may not be able to enter into arrangements with alternative CROs or clinical trial sites or do so on commercially reasonable terms. In addition, if our relationship with clinical trial sites is terminated,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it from time to time and could receive cash or equity compensation in connection with such services. If these relationships and any related compensation result in perceived or actual conflicts of interest, the integrity of the data generated at the applicable clinical trial site may be questioned by the FDA and comparable non-U.S. regulatory authorities, which could delay the regulatory approval process and adversely affect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we obtain regulatory approval for a product candidate, our products will remain subject to continuous subsequent regulatory obligations and scrutiny. </w:t>
      </w:r>
    </w:p>
    <w:p>
      <w:pPr>
        <w:pStyle w:val="TextBody"/>
        <w:bidi w:val="0"/>
        <w:spacing w:before="120" w:after="0"/>
        <w:jc w:val="left"/>
        <w:rPr>
          <w:rFonts w:ascii="Times New Roman" w:hAnsi="Times New Roman"/>
          <w:sz w:val="20"/>
        </w:rPr>
      </w:pPr>
      <w:r>
        <w:rPr>
          <w:rFonts w:ascii="Times New Roman" w:hAnsi="Times New Roman"/>
          <w:sz w:val="20"/>
        </w:rPr>
        <w:t xml:space="preserve">If our product candidates are approved, they will be subject to ongoing regulatory requirements for pharmacovigilance, manufacturing, labeling, packaging, storage, advertising, promotion, sampling, record-keeping, conduct of post-marketing studies (if any) and submission of other post-market information, including both federal and state requirements in the United States and equivalent requirements of comparable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regulatory authority requirements, including ensuring that quality control and manufacturing procedures conform to cGMP regulations. As such, we and our contract manufacturers will be subject to continual review and inspections to assess compliance with cGMP regulations and adherence to commitments made in any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Any regulatory approvals that we or our collaboration partners receive for our product candidates may be subject to limitations on the approved conditions of use for which the product may be marketed or to the conditions of approval or may contain requirements for potentially costly additional data generation, including clinical trials. We will be required to report certain adverse reactions and production problems, if any, to the FDA and comparable regulatory authorities, and to conduct surveillance to monitor the safety and efficacy of the product candidate. Any new legislation addressing drug safety or biologics issues could result in delays in product development or commercialization or increased costs to assure compliance. </w:t>
      </w:r>
    </w:p>
    <w:p>
      <w:pPr>
        <w:pStyle w:val="TextBody"/>
        <w:bidi w:val="0"/>
        <w:spacing w:before="240" w:after="0"/>
        <w:jc w:val="left"/>
        <w:rPr>
          <w:rFonts w:ascii="Times New Roman" w:hAnsi="Times New Roman"/>
          <w:sz w:val="20"/>
        </w:rPr>
      </w:pPr>
      <w:r>
        <w:rPr>
          <w:rFonts w:ascii="Times New Roman" w:hAnsi="Times New Roman"/>
          <w:sz w:val="20"/>
        </w:rPr>
        <w:t xml:space="preserve">We will have to comply with requirements concerning advertising and promotion for our product candidates, if approved. Promotional communications with respect to prescription drugs are subject to a variety of legal and regulatory restrictions that vary throughout the world and must be consistent with the information in the products approved label. As such, we may promote our products in ways that are not consistent with FDA-approved labeling, e.g., for indications or uses for which they do not have approval. </w:t>
      </w:r>
    </w:p>
    <w:p>
      <w:pPr>
        <w:pStyle w:val="TextBody"/>
        <w:bidi w:val="0"/>
        <w:spacing w:before="240" w:after="0"/>
        <w:jc w:val="left"/>
        <w:rPr>
          <w:rFonts w:ascii="Times New Roman" w:hAnsi="Times New Roman"/>
          <w:sz w:val="20"/>
        </w:rPr>
      </w:pPr>
      <w:r>
        <w:rPr>
          <w:rFonts w:ascii="Times New Roman" w:hAnsi="Times New Roman"/>
          <w:sz w:val="20"/>
        </w:rPr>
        <w:t xml:space="preserve">If a regulatory authority discovers previously unknown problems with one of our products such as adverse events of unanticipated severity or frequency, or if there are problems with the facility where the product is manufactured or the regulatory authority disagrees with the advertising, promotion, marketing or labeling of a product, such regulatory agency may impose restrictions on that product or us. If we fail to comply with applicable regulatory requirements, a regulatory authority such as FDA may,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warning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a case to the U.S. Department of Justice to impose civil or criminal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begin proceedings to suspend or withdraw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an import alert;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suspend our ongoing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refuse to approve pending applications (including supplements to approved applications) submitted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ask us to initiate a product recall;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a case to the U.S. Department of Justice to seize and forfeit products or obtain an injunction imposing restrictions on our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government investigation of alleged violations of law or regulations could require us to expend significant time and resources in response and could generate negative publicity. Any failure to comply with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requirements may significantly and adversely affect our ability to commercialize and generate revenue from our products. If regulatory sanctions are applied or if regulatory approval is withdrawn, the value of us and our operating results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successful in discovering, developing, and commercializing additional product candidates beyond our current portfolio, our ability to expand our business and achieve our strategic objectives would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A key element of our strategy is to discover, develop, and potentially commercialize additional product candidates beyond our current portfolio to treat various conditions in a variety of therapeutic areas. We intend to do so by investing in our own drug discovery efforts, exploring potential strategic alliances for the development of new products, and in-licensing technologies. Identifying new product candidates requires substantial technical, financial, and human resources. We may fail to identify promising product candidates and, even if we do identify such product candidates, we may fail to successfully develop and commercialize such product candidates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competitors may develop alternatives that render our product candidates obsolete;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we develop may be covered by third parties patents or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product candidate may, on further study, be shown to have harmful side effects or other characteristics that indicate it is unlikely to be effective or otherwise does not meet applicable regulatory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incapable of producing a product candidate in commercial quantities at an acceptable cost,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approved product may not be accepted as safe and effective by patients, the medical community or third-party payors.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several early-stage programs in preclinical development as we seek to expand our pipeline. Preclinical development programs in the biotechnology industry carry high risk of failure. If any of these programs fails due to, among others, adverse formulation, pharmacokinetic, pharmacodynamics, or safety, we may need to terminate the program. If we are unsuccessful in identifying and developing additional product candidates and progressing those into clinical development, our potential for growth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As a result of the foregoing, our business, operations and prospects could be materially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choose to discontinue developing or commercializing any of our product candidates, or may choose to not commercialize product candidates in approved indications, at any time during development or after approval, which would reduce or eliminate our potential return on investment for those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At any time, we may decide to discontinue the development of any of our product candidates for a variety of reasons, including the appearance of new technologies that make our product candidates obsolete, competition from a competing product, cost concerns, manufacturing challenges, analysis of preclinical and clinical trial results or changes in or failure to comply with applicable regulatory requirements. If we terminate a program in which we have invested significant resources, we will not receive any return on our investment and we will have missed the opportunity to have allocated those resources to potentially more productive uses. As a result, our business, financial condition, results of operations and growth prospects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manufacturing activities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 </w:t>
      </w:r>
    </w:p>
    <w:p>
      <w:pPr>
        <w:pStyle w:val="TextBody"/>
        <w:bidi w:val="0"/>
        <w:spacing w:before="120" w:after="0"/>
        <w:jc w:val="left"/>
        <w:rPr>
          <w:rFonts w:ascii="Times New Roman" w:hAnsi="Times New Roman"/>
          <w:sz w:val="20"/>
        </w:rPr>
      </w:pPr>
      <w:r>
        <w:rPr>
          <w:rFonts w:ascii="Times New Roman" w:hAnsi="Times New Roman"/>
          <w:sz w:val="20"/>
        </w:rPr>
        <w:t xml:space="preserve">In order to conduct clinical trials of our product candidates, or supply commercial products, if approved, we need to manufacture them in small and large quantities. The manufacturing processes for OCS-02 and OCS-05 have never been tested at commercial scale, and the process validation requirement (the requirement to consistently produce the active pharmaceutical ingredient used in these drug candidates in commercial quantities and of specified quality on a repeated basis and document our ability to do so) for each of OCS-01, OCS-02 and OCS-05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manufacturing process for any products that we may develop is subject to FDA, European Commission, NMPA and other non-U.S. regulatory authority approval processes and continuous oversight. We will need to contract with manufacturers who can meet all applicable FDA, European Commission, EMA, NMPA and other non-U.S. regulatory authority requirements, including complying with current good manufacturing practices, or cGMPs, regulations on an ongoing basis. If we or our third-party manufacturers are unable to reliably produce products to specifications acceptable to the FDA, European Commission,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manufacture of OCS-02, a biologic, is highly complex, costly and requires substantial lead time to produce. </w:t>
      </w:r>
    </w:p>
    <w:p>
      <w:pPr>
        <w:pStyle w:val="TextBody"/>
        <w:bidi w:val="0"/>
        <w:spacing w:before="120" w:after="0"/>
        <w:jc w:val="left"/>
        <w:rPr>
          <w:rFonts w:ascii="Times New Roman" w:hAnsi="Times New Roman"/>
          <w:sz w:val="20"/>
        </w:rPr>
      </w:pPr>
      <w:r>
        <w:rPr>
          <w:rFonts w:ascii="Times New Roman" w:hAnsi="Times New Roman"/>
          <w:sz w:val="20"/>
        </w:rPr>
        <w:t xml:space="preserve">Manufacturing OCS-02, a biologic,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this product candidate, we need to oversee manufacture of multiple components that require a diverse knowledge base and specialized personnel. </w:t>
      </w:r>
    </w:p>
    <w:p>
      <w:pPr>
        <w:pStyle w:val="TextBody"/>
        <w:bidi w:val="0"/>
        <w:spacing w:before="240" w:after="0"/>
        <w:jc w:val="left"/>
        <w:rPr>
          <w:rFonts w:ascii="Times New Roman" w:hAnsi="Times New Roman"/>
          <w:sz w:val="20"/>
        </w:rPr>
      </w:pPr>
      <w:r>
        <w:rPr>
          <w:rFonts w:ascii="Times New Roman" w:hAnsi="Times New Roman"/>
          <w:sz w:val="20"/>
        </w:rPr>
        <w:t xml:space="preserve">Moreover, unlike chemical pharmaceuticals, the physical and chemical properties of a biologic such as OCS-02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240" w:after="0"/>
        <w:jc w:val="left"/>
        <w:rPr>
          <w:rFonts w:ascii="Times New Roman" w:hAnsi="Times New Roman"/>
          <w:sz w:val="20"/>
        </w:rPr>
      </w:pPr>
      <w:r>
        <w:rPr>
          <w:rFonts w:ascii="Times New Roman" w:hAnsi="Times New Roman"/>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OCS-02 may require substantial lead time. In the event of significant product loss and materials shortages, we may be unable to produce adequate amounts of our product candidates or products for our operational needs, which would materially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We and our third-party manufacturing partner are engaged in efforts to reduce the expected costs for OCS-02. In the future, if the proposed manufacturing plans to reduce OCS-02 costs does not succeed when producing OCS-02 at commercial scale, we may not be able to proceed with OCS-02 commercialization, if approved.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potentially materially adversely affect our business, financial condition, results of operations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future commercialization activities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Even if a product candidate obtains regulatory approval, it may fail to achieve the broad degree of physician and patient adoption and use necessary for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successes of OCS-01, OCS-02 or OCS-05, if approved, will depend significantly on attaining broad adoption and use of the products by physicians and patients for approved indications, and any of these product candidates may not be commercially successful even if shown to be effective in clinical trials. The degree and rate of physician and patient adoption of a product, if approved, will depend on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demand for approved products that treat the indication for which they are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efficacy and potential advantages compared to alternative treatments, including the existing standard of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managed care plans and other healthcare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and willingness to pay on the part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insurers willingness to see the applicable indication as a disease worth treating;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 administration by physicians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satisfaction with the results, administration and overall treatment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contraindications, warnings, precautions or approved indications for use different than those sought by us that are contained in the final FDA-approved, or comparable non-U.S. regulatory authorities-approved labeling for the applicable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FDA or comparable non-U.S. regulatory authoritys requirement to undertake a risk evaluation and mitigation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marketing, pricing, reimbursement and access, government affairs, and distribution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a product or favorable publicity about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government regulations and programs, including price controls and/or limits or prohibitions on ways to commercialize drugs, such as increased scrutiny on direct-to-consumer advertising of pharmaceuticals;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claims or other product-related litigation.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marketing approval for OCS-01, OCS-02, OCS-05, or any future product candidate, we may not be able to successfully commercialize our product candidates due to unfavorable pricing regulations or third-party coverage and reimbursement policies, which could make it difficult for us to sell our product candidates profitably. </w:t>
      </w:r>
    </w:p>
    <w:p>
      <w:pPr>
        <w:pStyle w:val="TextBody"/>
        <w:bidi w:val="0"/>
        <w:spacing w:before="120" w:after="0"/>
        <w:jc w:val="left"/>
        <w:rPr>
          <w:rFonts w:ascii="Times New Roman" w:hAnsi="Times New Roman"/>
          <w:sz w:val="20"/>
        </w:rPr>
      </w:pPr>
      <w:r>
        <w:rPr>
          <w:rFonts w:ascii="Times New Roman" w:hAnsi="Times New Roman"/>
          <w:sz w:val="20"/>
        </w:rPr>
        <w:t xml:space="preserve">Obtaining coverage and reimbursement approval for a product from a government or other third-party payor is a time consuming and costly process that could require us to provide supporting scientific, clinical and cost effectiveness data to the payor. There may be significant delays in obtaining such coverage and reimbursement for newly approved products, and coverage may be more limited than the purposes for which the product is approved by the FDA or comparable non-U.S. regulatory authorities. Moreover, eligibility for coverage and reimbursement does not imply that a product will be paid for in all cases or at a rate that covers costs, including research, development, intellectual property, manufacture, sale and distribution expenses. Interim reimbursement levels for new products, if applicable, may also not be sufficient to cover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significant uncertainty related to the insurance coverage and reimbursement of newly approved products. Third-party payors in the United States often rely upon Medicare coverage policy and payment limitations in setting reimbursement policies, but also have their own methods and approval process apart from Medicare coverage and reimbursement determinations. Pricing and reimbursement outside of the United States vary widely and are constantly evolving, with requirements and limitations becoming increasingly strict.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Coverage and reimbursement by a third-party payor or competent foreign authority may depend upon a number of factors, including the third-party payors or competent foreign authoritys determination that use of a product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be sure that coverage and reimbursement will be available for any product that we commercialize and, if coverage and reimbursement are available, what the level of reimbursement will be.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or competent foreign authorities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 Coverage policies and third-party reimbursement rates may change at any time. Even if favorable coverage and reimbursement status is attained for one or more products for which we receive regulatory approval, less favorable coverage policies and reimbursement rates </w:t>
      </w:r>
    </w:p>
    <w:p>
      <w:pPr>
        <w:pStyle w:val="TextBody"/>
        <w:bidi w:val="0"/>
        <w:spacing w:before="0" w:after="0"/>
        <w:jc w:val="left"/>
        <w:rPr>
          <w:rFonts w:ascii="Times New Roman" w:hAnsi="Times New Roman"/>
          <w:sz w:val="20"/>
        </w:rPr>
      </w:pPr>
      <w:r>
        <w:rPr>
          <w:rFonts w:ascii="Times New Roman" w:hAnsi="Times New Roman"/>
          <w:sz w:val="20"/>
        </w:rPr>
        <w:t xml:space="preserve">may be implemented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 </w:t>
      </w:r>
    </w:p>
    <w:p>
      <w:pPr>
        <w:pStyle w:val="TextBody"/>
        <w:bidi w:val="0"/>
        <w:spacing w:before="240" w:after="0"/>
        <w:jc w:val="left"/>
        <w:rPr>
          <w:rFonts w:ascii="Times New Roman" w:hAnsi="Times New Roman"/>
          <w:sz w:val="20"/>
        </w:rPr>
      </w:pPr>
      <w:r>
        <w:rPr>
          <w:rFonts w:ascii="Times New Roman" w:hAnsi="Times New Roman"/>
          <w:sz w:val="20"/>
        </w:rPr>
        <w:t xml:space="preserve">Outside of the United States, many countries require approval of the sale price of a product before it can be marketed and the pricing review period only begins after marketing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in the future, we are unable to establish sales and marketing capabilities or enter into agreements with third parties to sell and market any product candidates we may develop, we may not be successful in commercializing those product candidates if and when they are approved.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240" w:after="0"/>
        <w:jc w:val="left"/>
        <w:rPr>
          <w:rFonts w:ascii="Times New Roman" w:hAnsi="Times New Roman"/>
          <w:sz w:val="20"/>
        </w:rPr>
      </w:pPr>
      <w:r>
        <w:rPr>
          <w:rFonts w:ascii="Times New Roman" w:hAnsi="Times New Roman"/>
          <w:sz w:val="20"/>
        </w:rPr>
        <w:t xml:space="preserve">Factors that may inhibit our efforts to commercialize any approved product on our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and retain adequate numbers of effective sales, marketing, reimbursement, customer service, medical affairs and other support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physicians or persuade adequate numbers of physicians to prescribe any future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reimbursement professionals to negotiate arrangements for formulary access, reimbursement, and other acceptance by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price our products at a sufficient price point to ensure an adequate and attractive level of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restricted or closed distribution channels that make it difficult to distribute our products to segments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commercialization organization.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which would materially adversely affect our business, results of operations, financial condition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substantial competition, which may result in others discovering, developing or commercializing products before or more successfully than we do.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new drug products are highly competitive. We face competition with respect to our product candidates that we may seek to develop or commercialize, from major pharmaceutical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specialty pharmaceutical companies and biotechnology companies worldwide. Potential competitors may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The diabetic macular edema market is already served by multiple approved products, such as ranimizumab, aflibercept, brolucizumab, faricimab VEGF inhibitors as well as dexamethasone and fluocinolone acetonide intravitreal implants. These drugs are well established therapies and are widely accepted by physicians, patients and third-party payors, which may make it difficult to convince these parties to switch to OCS-01. Companies that we are aware are commercializing or are developing therapeutics for diabetic macular edema include large companies with significant financial resources, such as Roche (Genentech), Novartis, Bayer, Regeneron, Abbvie (Allergan), and Alimera Sciences. In addition, OCS-01 will compete with the current status quo practice of treating diabetic macular edema, which is often observing and not treating milder patients before they often progress to invasive treatments. </w:t>
      </w:r>
    </w:p>
    <w:p>
      <w:pPr>
        <w:pStyle w:val="TextBody"/>
        <w:bidi w:val="0"/>
        <w:spacing w:before="240" w:after="0"/>
        <w:jc w:val="left"/>
        <w:rPr>
          <w:rFonts w:ascii="Times New Roman" w:hAnsi="Times New Roman"/>
          <w:sz w:val="20"/>
        </w:rPr>
      </w:pPr>
      <w:r>
        <w:rPr>
          <w:rFonts w:ascii="Times New Roman" w:hAnsi="Times New Roman"/>
          <w:sz w:val="20"/>
        </w:rPr>
        <w:t xml:space="preserve">The post-operative inflammation and pain market is already served by multiple approved steroid products, such as difluprednate ophthalmic emulsion, loteprednol etabonate ophthalmic gel and suspension, prednisolone acetate ophthalmic suspension, among others. These drugs are well established therapies with multiple generics in the market and are widely accepted by physicians, patients and third-party payors, which may make it difficult to convince these parties to switch to OCS-01. Companies that we are aware are commercializing or are developing therapeutics for post-operative inflammation and pain include large companies with significant financial resources, such as Bausch + Lomb, Kala Pharmaceuticals, Alcon Laboratories, Abbvie (Allergan), TEVA Pharmaceuticals, Novartis. </w:t>
      </w:r>
    </w:p>
    <w:p>
      <w:pPr>
        <w:pStyle w:val="TextBody"/>
        <w:bidi w:val="0"/>
        <w:spacing w:before="240" w:after="0"/>
        <w:jc w:val="left"/>
        <w:rPr>
          <w:rFonts w:ascii="Times New Roman" w:hAnsi="Times New Roman"/>
          <w:sz w:val="20"/>
        </w:rPr>
      </w:pPr>
      <w:r>
        <w:rPr>
          <w:rFonts w:ascii="Times New Roman" w:hAnsi="Times New Roman"/>
          <w:sz w:val="20"/>
        </w:rPr>
        <w:t xml:space="preserve">The dry eye disease market is already served by multiple approved products, such as Cyclosporine ophthalmic emulsion and solution, lifitegrast ophthalmic solution, loteprednol etabonate ophthalmic suspension, varenicline solution. These drugs are well established therapies and are widely accepted by physicians, patients and third- party payors, which may make it difficult to convince these parties to switch to OCS-02. Companies that we are aware are developing therapeutics for dry eye disease include large companies with significant financial resources, such as Abbvie (Allergan), Sun Pharmaceuticals, Novartis, Alcon and Viatris. In addition, over the counter products are currently available for the treatment of dry eye disease which may impact sales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non-infectious anterior uveitis market is already served by multiple approved steroid products indicated to treat inflammation of the eyes, such as prednisolone acetate suspension, loteprednol etabonate ophthalmic formulations, dexamethasone sodium phosphate formulations, fluorometholone ophthalmic suspension, among others. These drugs are well established therapies with multiple generics in the market and are widely accepted by physicians, patients and third-party payors, which may make it difficult to convince these parties to switch to OCS-02. Companies that we are aware are commercializing or are developing therapeutics for non- infectious anterior uveitis include large companies with significant financial resources, such as Abbvie (Allergan), Bausch and Lomb, Novartis, among others. </w:t>
      </w:r>
    </w:p>
    <w:p>
      <w:pPr>
        <w:pStyle w:val="TextBody"/>
        <w:bidi w:val="0"/>
        <w:spacing w:before="240" w:after="0"/>
        <w:jc w:val="left"/>
        <w:rPr>
          <w:rFonts w:ascii="Times New Roman" w:hAnsi="Times New Roman"/>
          <w:sz w:val="20"/>
        </w:rPr>
      </w:pPr>
      <w:r>
        <w:rPr>
          <w:rFonts w:ascii="Times New Roman" w:hAnsi="Times New Roman"/>
          <w:sz w:val="20"/>
        </w:rPr>
        <w:t xml:space="preserve">The glaucoma market is already served by multiple approved drug classes to reduce elevated intraocular pressure, such as Alpha Agonists, Beta Blockers Carbonic Anhydrase Inhibitors, Cholinergic (Myotic), Prostaglandin Analogs, Rho Kinase Inhibitors and combination products, however no drug for neuro protection has been approved so far. These drugs are well established therapies with multiple generics in the market and are widely accepted by physicians, patients and third-party payors. OCS-05 is not meant to replace IOP lowering but rather be an add-on to IOP lowering to tackle neuroprotection. Companies that we are aware are commercializing or are developing therapeutics for glaucoma include large companies with significant financial resources, such as Novartis, Abbvie (Allergan), Bausch and Lomb, Akorn, Teva Pharmaceuticals, Pfizer, Merck, Sun Ophthalmics, Pharmaceuticals, among others.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competition from other companies targeting the diseases which we target, any products we may develop may also face competition from other types of therapies, such as gene-editing therapies or drug delivery devices. Our commercial opportunity for any of our product candidates could also be reduced or eliminated if our competitors develop and commercialize new products that are safer, more effective, are more convenient, or are less expensive than our products. The competitors also may obtain FDA or other non-U.S. regulatory approval for their products more rapidly than we may obtain approval for our candidates, which could result in competitors establishing a strong market position before we are able to enter the market for a new product candidate. If our product candidates are not perceived as more effective, safe, cost-effective, or otherwise medically beneficial than current practices or products in their respective target market segments, then our commercial opportunities will be negatively impacted. If we are unable to demonstrate the value of our product candidates based on our clinical data, patient experience, or real-world evidence, future successful commercialization of such product candidates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ability to compete may be affected in many cases by insurers or other third-party payors, including Medicare and equivalent foreign health insurance programs, seeking to encourage the use of generic products. For example, a generic version of Restasis® to treat dry eye disease received FDA approval in February 2022. Generic products are generally offered at lower prices than branded products, and consequently, after the introduction of a generic competitor, a significant percentage of the sales of any branded product may be lost to the generic product. Accordingly, competition from generic products could have a material adverse impact on our ability to successfully commercialize OCS-02 for dry eye disease or any other product candidate or indication, if approved, or negatively impact sales or pricing of our products or our ability to gain market acceptance or market share. </w:t>
      </w:r>
    </w:p>
    <w:p>
      <w:pPr>
        <w:pStyle w:val="TextBody"/>
        <w:bidi w:val="0"/>
        <w:spacing w:before="240" w:after="0"/>
        <w:jc w:val="left"/>
        <w:rPr>
          <w:rFonts w:ascii="Times New Roman" w:hAnsi="Times New Roman"/>
          <w:sz w:val="20"/>
        </w:rPr>
      </w:pPr>
      <w:r>
        <w:rPr>
          <w:rFonts w:ascii="Times New Roman" w:hAnsi="Times New Roman"/>
          <w:sz w:val="20"/>
        </w:rPr>
        <w:t xml:space="preserve">Many of our current and future competitors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including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Product liability lawsuits against us could cause us to incur substantial liabilities and to limit commercialization of any products that we develop. </w:t>
      </w:r>
    </w:p>
    <w:p>
      <w:pPr>
        <w:pStyle w:val="TextBody"/>
        <w:bidi w:val="0"/>
        <w:spacing w:before="120" w:after="0"/>
        <w:jc w:val="left"/>
        <w:rPr>
          <w:rFonts w:ascii="Times New Roman" w:hAnsi="Times New Roman"/>
          <w:sz w:val="20"/>
        </w:rPr>
      </w:pPr>
      <w:r>
        <w:rPr>
          <w:rFonts w:ascii="Times New Roman" w:hAnsi="Times New Roman"/>
          <w:sz w:val="20"/>
        </w:rPr>
        <w:t xml:space="preserve">We face an inherent risk of product liability exposure related to the use of our product candidates that we develop in clinical trials. We face an even greater risk for any products we develop and sell commercially. Off-label use or misuse of our products if and when commercialized may harm our reputation in the marketplace, result in injuries that lead to costly product liability suits, or subject us to penalties if we fail to comply with regulatory requirements or experience unanticipated problems with any product.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product candidates that we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and significant negative media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or delay of recruitment or decreased enrollment rates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or increased government regulation of clinical trial sites or entire trial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 or withdrawal from the market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costs to defend the related litigation;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delays in product launch;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time and attention of our management to pursue our business strategy;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products that we develop.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need to purchase insurance coverage as we expand our clinical trials and should we eventually realize sales of any product candidate for which we obtain marketing approval. Insurance coverage is increasingly expensive, restrictive and narrow. We may not be able to maintain insurance coverage at a reasonable cost, upon adequate terms or in a sufficient amount necessary to protect us against losses due to product liability or other similar legal actions that may arise. A successful product liability claim or series of claims brought against us which substantially exceeds our insurance coverage will require us to make up the shortfall, which may in turn require us to drawdown on our cash reserve, and harm our business, financial condition, results of operations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enter into collaborations with third parties for the development and commercialization of our product candidates. If our collaborations are not successful, we may not be able to capitalize on the market potential of these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a combination of exclusive and non-exclusive collaboration arrangements with third parties to develop or commercialize some or all of our product candidates. We also may enter into arrangements with third parties to perform these services in the United States and other jurisdictions if we do not establish our own sales, marketing and distribution capabilities in the United States and other jurisdictions for our product candidates or if we determine that such arrangements are otherwise beneficial. We also may seek collaborators for development and commercialization of other product candidates. Our likely collaborators for any sales, marketing, distribution, development, licensing or broader collaboration arrangements include large and mid-size pharmaceutical companies, regional and national pharmaceutical companies and biotechnology companies. While we are not currently party to any such arrangement, our ability to generate revenues from these arrangements will depend on our collaborators abilities and efforts to successfully perform the functions assigned to them in the future in these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that we enter into may pose a number of risks,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have significant discretion in determining the amount and timing of efforts and resources that they will apply to these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our product candidates that receive marketing approval or may elect not to continue or renew development or commercialization programs based on results of clinical trials or other studies, changes in the collaborators strategic focus or available funding or external factors, such as an acquisition, that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collaborator with marketing and distribution rights to one or more of our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intellectual property or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divert management attention and resources and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or proprietary rights or may use our intellectual property or proprietary rights in such a way as to invite litigation that could jeopardize or invalidate our intellectual property or proprietary rights or expose us to potential litigation and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misappropriate or otherwise violate the intellectual property rights of third parties, which may expose us to litigation and potential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for the convenience of the collaborator and, if terminated, we could be required to raise additional capital to pursue further development or commercialization of the applicable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or be able to recover any costs and expenses incurred by us under the collaboration arrangement. If we do not receive the funding we expect, or recover any costs and expenses incurred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subject to its contractual obligations to us, if a collaborator of ours were to be involved in a business combination, it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completely on third-party contractors to supply, manufacture and distribute clinical drug supplies for our product candidates, which may include sole-source suppliers and manufacturers; we intend to rely on third parties for commercial supply, manufacturing and distribution if any of our product candidates receives regulatory approval and for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nor do we plan to acquire, the infrastructure or capability to supply, store, manufacture or distribute preclinical, clinical or commercial quantities of drug substances or products. Additionally, we have not entered into a long-term commercial supply agreement to provide us with such drug substances or products. As a result, our ability to develop our product candidates is dependent, and our ability to supply our products commercially will depend, in part, on our ability to obtain the active pharmaceutical ingredients, or APIs, and other substances and materials used in our product candidates successfully from third parties and to have finished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manufactured by third parties in accordance with regulatory requirements and in sufficient quantities for preclinical and clinical testing and commercialization. If we fail to develop and maintain supply and other technical relationships with these third parties, and if we are unable to seek suitable replacements in a timely manner or at all, we may face delays or be unable to continue to develop or commercialize our products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direct control over whether or not our contract suppliers and manufacturers will maintain current pricing terms, be willing to continue supplying us with APIs and finished products or maintain adequate capacity and capabilities to serve our needs, including quality control, quality assurance and qualified personnel. We are dependent on our contract suppliers and manufacturers for day-to-day compliance with applicable laws and cGMP regulations for production of both APIs and finished products. If the safety or quality of any product or product candidate or component is compromised due to a failure to adhere to applicable laws or for other reasons, we may not be able to commercialize or obtain regulatory approval for the affected product or product candidate successfully, and we may be held liable for injuries sustained as a result. </w:t>
      </w:r>
    </w:p>
    <w:p>
      <w:pPr>
        <w:pStyle w:val="TextBody"/>
        <w:bidi w:val="0"/>
        <w:spacing w:before="240" w:after="0"/>
        <w:jc w:val="left"/>
        <w:rPr>
          <w:rFonts w:ascii="Times New Roman" w:hAnsi="Times New Roman"/>
          <w:sz w:val="20"/>
        </w:rPr>
      </w:pPr>
      <w:r>
        <w:rPr>
          <w:rFonts w:ascii="Times New Roman" w:hAnsi="Times New Roman"/>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breach of the manufacturing agreement by the third party 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termination or nonrenewal of the agreement by the third party at a time that is costly or inconvenient for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early termination of the agreement by us at a time that requires us to pay a cancellation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reliance on the third party for regulatory compliance, quality assurance, safety and pharmacovigilance and related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produce required volume in a timely manner and to quality standards.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products and harm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Any products that we may develop may compete with other product candidates and products for access to manufacturing facilities. There are a limited number of manufacturers that operate under cGMP regulations and that might be capable of manufacturing our products or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240" w:after="0"/>
        <w:jc w:val="left"/>
        <w:rPr>
          <w:rFonts w:ascii="Times New Roman" w:hAnsi="Times New Roman"/>
          <w:sz w:val="20"/>
        </w:rPr>
      </w:pPr>
      <w:r>
        <w:rPr>
          <w:rFonts w:ascii="Times New Roman" w:hAnsi="Times New Roman"/>
          <w:sz w:val="20"/>
        </w:rPr>
        <w:t xml:space="preserve">By relying on third-party manufacturers for outsourced, custom manufacturing, we may encounter difficulties in production, particularly with respect to formulation, process development or scaling up of manufacturing capabilities. If we, or our CMOs, encounter such difficulties, our ability to provide supply of our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for preclinical studies, clinical trials or our products for patients, if approved, could be delayed or halted, or we may be unable to maintain a commercially viable cost structure, which would materially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third-party suppliers on which we rely fail to successfully scale up their production of our product candidates, we may face delays and lost opportunities with our development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In order to conduct larger or late-stage clinical trials for a product candidate and supply sufficient commercial quantities of the resulting drug product and its components, if that product candidate is approved for sale, our contract manufacturers and suppliers will need to produce our drug substances and product candidates in larger quantities more cost-effectively and, in certain cases, at higher yields than they currently achieve. If our third- party contractors are unable to scale up the manufacture of any of our product candidates successfully in sufficient quality and quantity and at commercially reasonable prices, or are shut down or put on clinical hold by government regulators, and we are unable to find one or more replacement suppliers or manufacturers capable of production at a substantially equivalent cost in substantially equivalent volumes and quality, and we are unable to transfer the processes successfully on a timely basis, the development of that product candidate and regulatory approval or commercial launch for any resulting products may be delayed, or there may be a shortage in supply, either of which could significantly harm our business, financial condition,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depend on third-party contract suppliers and manufacturers for the foreseeable future. Our supply and manufacturing agreements do not guarantee that a contract supplier or manufacturer will provide services adequate for our needs. Additionally, any damage to or destruction of our third-party manufacturers or suppliers facilities or equipment, may significantly impair our ability to have our products and product candidates manufactured on a timely basis. Our reliance on contract manufacturers and suppliers further exposes us to the possibility that they, or third parties with access to their facilities, will have access to and may misappropriate our trade secrets or other proprietary information. In addition, the manufacturing facilities of certain of our suppliers may be located outside of the United States. This may give rise to difficulties in importing our products or product candidates or their components into the United States or other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suppliers for key raw materials used in our manufacturing processes, and the loss of these third-party suppliers or their inability to supply us with adequate raw materials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rights to develop and commercialize our technology are subject, in part, to the terms and conditions of licenses granted to us by others. In particular, we depend on licenses for development and commercialization rights to OCS-02 and OCS-05. If these rights are terminated or we fail to comply with our obligations under these agreements or any other license, collaboration or other agreement, we may be required to pay damages and we could lose intellectual property rights that are necessary for the development and protection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and may in the future license from third parties certain intellectual property relating to current and future product candidates. For example, we are party to various license agreements, including with Novartis and Accure, that we depend on for rights to OCS-02 and OCS-05, respectively. These agreements impose, and other potential agreements we may enter into with third parties may impose, diligence, development and commercialization timelines and milestone payment, royalty, insurance and other obligations on us. Under the Novartis Agreement (as defined below) and Accure Agreement (as defined below), for example, we are obligated to make payments to the counterparty upon us achieving certain development or commercialization milestones and to make royalty payments to Novartis and Accure on net product sales of OCS-02 and OCS-05,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also have diligence and development obligations under the Novartis Agreement and Accure Agreement. Generally, these diligence obligations require us to use commercially reasonable efforts to develop, manufacture, seek regulatory approval for and commercialize the licensed products. If we fail to comply with our obligations under current or future license agreements, use the licensed intellectual property in an unauthorized manner or otherwise breach a license agreement, our counterparties may have the right to terminate these agreements, in which event we might not have the rights or the financial resources to develop, manufacture or market any licensed product that is covered by these agreements. Future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seek alternative sources of financing or cause us to lose our rights under these agreements, including our rights to OCS-02, OCS-05 or other important intellectual property or technology. Any of the foregoing could prevent us from commercializing OCS-02 or OCS-05 or cause a competitor to gain access to the licensed technology, which could have a material adverse effect on our operating results and overall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Disputes may arise between us and our licensors or future licensors,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or other obligations under the license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our technology and processes infringe, misappropriate or otherwise violate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transfer or assign the license, or to sublicense patents and other intellectual property rights to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and what activities satisfy those diligence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and ownership of inventions and know-how resulting from the joint creation or use of intellectual property by any of our licensors and us and our partners;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patented technology.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disputes over intellectual property that we have licensed from third parties prevent or impair our ability to maintain our current licensing arrangements on acceptable terms, we may be unable to successfully develop and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sales or an obligation on our part to pay royalties and/or other forms of compensation. Even if we are able to obtain a license, it may be non-exclusive, thereby giving our competitors access to the same technologies licensed to 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licensors may have relied on third-party consultants or collaborators or on funds from third parties such that our licensors are not the sole and exclusive owners of the patents we in-licensed. Some of our in-licensed patent rights are sublicensed to us pursuant to parent license agreements we are not a party to. If any such parent licenses terminate, whether due to our licensors breach of the parent license agreement or for other reasons outside of our control, we could lose our rights to such sublicensed patent rights. Furthermore, if other third parties have ownership rights to our in-licensed patents, the license granted to us in jurisdictions where the consent of a co-owner is necessary to grant such a license may not be valid, in any case, and such co-owners may be able to license such patents to our competitors, and our competitors could market competing products and technology. In addition, certain of our in-licensed patent rights are dependent, in part, on inter-institutional or other operating agreements between the joint owners of such in-licensed patent rights. If one or more of such joint owners breaches such inter-institutional or operating agreements, our rights to such in-licensed patent rights may be adversely affected. Any of these events could have a material adverse effect on our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current and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 Some of our in-licensed patent rights are subject to pre-existing rights granted by the licensor to third parties and our acquired technologies and current or future licensed technology may also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our current or future agreements with third parties may limit or delay our ability to consummate certain transactions, may impact the value of those transactions, or may limit our ability to pursue certain activities. If we are limited in our ability to utilize acquired technologies or current or future licensed technologies, or if we lose our rights to critical acquired or in-licensed technology, we may be unable to successfully develop, out-license, market and sell our products, which could prevent or delay new product introductions. Our business strategy depends on the successful development of acquired technologies, and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future licensed technology, into commercial products. Therefore, any limitations on our ability to utilize these technologies may impair our ability to develop, out-license or market and sell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our license agreements with third parties, please see the section entitled </w:t>
      </w:r>
      <w:r>
        <w:rPr>
          <w:rFonts w:ascii="Times New Roman" w:hAnsi="Times New Roman"/>
          <w:i/>
          <w:sz w:val="20"/>
        </w:rPr>
        <w:t>Business Material Licenses, Partnerships and Collaborations.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obtain, maintain, protect and enforce patent or other intellectual property protection for our current and future technology and products, or if the scope of the patent or other intellectual property protection obtained is not sufficiently broad, we may not be able to compete effectively in our markets. </w:t>
      </w:r>
    </w:p>
    <w:p>
      <w:pPr>
        <w:pStyle w:val="TextBody"/>
        <w:bidi w:val="0"/>
        <w:spacing w:before="120" w:after="0"/>
        <w:jc w:val="left"/>
        <w:rPr>
          <w:rFonts w:ascii="Times New Roman" w:hAnsi="Times New Roman"/>
          <w:sz w:val="20"/>
        </w:rPr>
      </w:pPr>
      <w:r>
        <w:rPr>
          <w:rFonts w:ascii="Times New Roman" w:hAnsi="Times New Roman"/>
          <w:sz w:val="20"/>
        </w:rPr>
        <w:t xml:space="preserve">We rely upon a combination of patents, trademarks, trade secrets and confidentiality agreements to protect the intellectual property related to our development programs and product candidates. These legal measures afford only limited protection, and competitors or others may gain access to our intellectual property and proprietary information. Our success depends in part on our ability to obtain, maintain, expand, enforce and defend the scope of our intellectual property protection in the United States and other countries with respect to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have sought and will continue to seek to protect our proprietary position by filing patent applications in the United States and abroad related to our development programs and product candidates. However, the patent prosecution process is expensive and time-consuming,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Additionally, in some instances, we have submitted and expect to submit provisional patent applications. Corresponding non-provisional patent applications must be filed not later than 12 months after the provisional application filing date. While we intend to timely file non-provisional patent applications relating to our provisional patent applications, we cannot predict whether any such patent applications will result in the issuance of patents that provide us with competitive advantage. Any failure to obtain or maintain patent and other intellectual property protection with respect to our product candidates could harm our business, financial condition and results of operations. Additionally, although we seek to enter into non-disclosure and confidentiality agreements with parties who have access to patentable aspects of our research and development output, any of these parties may breach the agreements and disclose such output before a patent application is filed, thereby jeopardizing our ability to seek patent protection. </w:t>
      </w:r>
    </w:p>
    <w:p>
      <w:pPr>
        <w:pStyle w:val="TextBody"/>
        <w:bidi w:val="0"/>
        <w:spacing w:before="240" w:after="0"/>
        <w:jc w:val="left"/>
        <w:rPr>
          <w:rFonts w:ascii="Times New Roman" w:hAnsi="Times New Roman"/>
          <w:sz w:val="20"/>
        </w:rPr>
      </w:pPr>
      <w:r>
        <w:rPr>
          <w:rFonts w:ascii="Times New Roman" w:hAnsi="Times New Roman"/>
          <w:sz w:val="20"/>
        </w:rPr>
        <w:t>As of December 31, 2022, our owned and exclusively in-licensed patent portfolio included 11 issued U.S. patents, five issued European patents validated in multiple jurisdictions, and 45 issued patents in other foreign jurisdictions, as well as six pending non-provisional U.S. patent applications, 65 foreign pending patent applications, including five pending European patent applications, and one pending PCT application related to our different product candidates, namely, OCS-01, OCS-02, OCS-03, OCS-04 and OCS-05. Please see the section entitled </w:t>
      </w:r>
      <w:r>
        <w:rPr>
          <w:rFonts w:ascii="Times New Roman" w:hAnsi="Times New Roman"/>
          <w:i/>
          <w:sz w:val="20"/>
        </w:rPr>
        <w:t>Business Overview  Intellectual Property</w:t>
      </w:r>
      <w:r>
        <w:rPr>
          <w:rFonts w:ascii="Times New Roman" w:hAnsi="Times New Roman"/>
          <w:sz w:val="20"/>
        </w:rPr>
        <w:t xml:space="preserve"> for further details on our intellectual property portfolio. 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patent application process is subject to numerous risks and uncertainties, and there can be no assurance that we or any of our licensors will be successful in protecting our product candidates by obtaining, maintaining, enforcing and defending patents. These risks and uncertainties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applications may not result in any patents being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patents may be challenged, invalidated, modified, revoked, circumvented, found to be unenforceable or otherwise may not provide any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countries other than the United States may have patent laws less favorable to patentees than those upheld by U.S. courts, allowing foreign competitors a better opportunity to create, develop and market competing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research and development output before it is too late to obtain patent protection. If we fail to timely file for patent protection in any jurisdiction, we may be precluded from doing so at a later date. </w:t>
      </w:r>
    </w:p>
    <w:p>
      <w:pPr>
        <w:pStyle w:val="TextBody"/>
        <w:bidi w:val="0"/>
        <w:spacing w:before="240" w:after="0"/>
        <w:jc w:val="left"/>
        <w:rPr>
          <w:rFonts w:ascii="Times New Roman" w:hAnsi="Times New Roman"/>
          <w:sz w:val="20"/>
        </w:rPr>
      </w:pPr>
      <w:r>
        <w:rPr>
          <w:rFonts w:ascii="Times New Roman" w:hAnsi="Times New Roman"/>
          <w:sz w:val="20"/>
        </w:rPr>
        <w:t xml:space="preserve">Moreover, we are, and could become in the future, a licensee of a third partys patents or patent applications and we may not have the right to control the preparation, filing or prosecution of such patent applications, or to maintain, enforce or protect the patents in-licensed from those third parties. We may also require the cooperation of our licensors in order to enforce the licensed patent rights, and such cooperation may not be provided. Therefore, any licensed patents or patent applications may not be prosecuted, maintained, enforced or protected in a manner consistent with the best interests of our business. We also cannot be certain that patent prosecution and maintenance activities by any of our licensors will be conducted in compliance with applicable laws and regulations, which may affect the validity and enforceability of such patents or any patents that may issue from such applications. If any of our licensors fail to do so, this could cause us to lose rights in any applicable intellectual property, and as a result our ability to develop and commercialize products or product candidates may be adversely affected and we may be unable to prevent competitors from making, using and selling competing products. In addition, even where we have the right to control the prosecution of patents and patent applications under a license from third parties, we may still be adversely affected or prejudiced by actions or inactions of our predecessors or licensors and their counsel that took place prior to us assuming control over patent prosecution. If our current or future licensors are not fully cooperative or disagree with us as to the prosecution, maintenance or enforcement of any patent rights, such patent rights could be compromised. If disputes over intellectual property that we license prevents or impairs our ability to maintain our licensing arrangements on acceptable terms, we may not be able to successfully develop and commercialize the affected product candidates. Any of these outcomes could impair our ability to prevent competition from third parties, which may have an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the patent applications we own, license, or may own or license in the future with respect to our development programs and product candidates fail to issue, if their breadth or strength of protection is threatened, or if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 to provide meaningful exclusivity for our product candidates, it could dissuade other companies from collaborating with us to develop product candidates, and threaten our ability to commercialize our product candidates, if approved. Any such outcome could have a materially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United States. For example, many countries restrict the patentability of methods of treatment of the human body. Publications in scientific literature often lag behind the actual discoveries, and patent applications in the United States and other jurisdictions are typically not published until 18 months after filing, or in some cases not at all. Therefore, there is a risk that we cannot know with certainty whether we or our licensors were the first to make the inventions claimed in our owned or in-licensed patents or pending patent applications, or that we or our licensors were the first to file for patent protection of such inventions. As a result of these and other factors, the issuance, scope, validity, enforceability, and commercial value of our owned and in-licensed patent rights are highly uncertain. Our owned and in-licensed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owned and in-licensed patents or narrow the scope of patent protection for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Moreover, we or our licensors may be subject to a third-party pre-issuance submission of prior art to the USPTO or become involved in opposition, derivation, reexamination, inter partes review, post-grant review or interference proceedings challenging our owned or in-licensed patent rights or the patent rights of others. In particular, the costs of defending patents or enforcing our proprietary rights in post-issuance administrative proceedings and litigation can be substantial and the outcome can be uncertain. An adverse determination in any such submission, proceeding or litigation could reduce the scope of, or invalidate, our owned or in-licensed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owned or in-licensed patents and patent applications is threatened, it could dissuade companies from collaborating to license, develop or commercialize current or future product candidates. We may not be aware of all third-party intellectual property rights potentially relating to our products, product candidates or their intended uses, and as a result the impact of such third-party intellectual property rights upon the patentability of our owned and in-licensed patents and patent applications, as well as the impact of such third-party intellectual property upon our freedom to operate, is highly uncertain. We cannot ensure that we do not infringe, misappropriate or otherwise violate any patents or other intellectual property or proprietary rights held by others or that we will not infringe, misappropriate or otherwise violate intellectual property or proprietary rights held by others in the future. If our products were found to infringe, misappropriate or otherwise violate any proprietary intellectual property or right of another party, we could be required to pay significant damages or license fees to such party and/or cease production, marketing and distribution of those products. Litigation may also be necessary to defend infringement, misappropriation or other violation claims of third parties or to enforce patent or other intellectual property rights we hold or protect trade secrets or techniques or other intellectual property we own. Further, third parties may seek approval to market their own products similar to or otherwise competitive with our products. In these circumstances, we may need to defend and/or assert our patents or other intellectual property, including by filing lawsuits alleging patent infringement. In any of these types of proceedings, a court or agency with jurisdiction may find our owned or in-licensed patents invalid, unenforceable, or not infringed; competitors may then be able to market products and use manufacturing and analytical processes that are substantially similar. Even if we own or in-license valid and enforceable patents, these patents still may not provide protection against competing products or processes sufficient to achieve our business objectives. </w:t>
      </w:r>
    </w:p>
    <w:p>
      <w:pPr>
        <w:pStyle w:val="TextBody"/>
        <w:bidi w:val="0"/>
        <w:spacing w:before="240" w:after="0"/>
        <w:jc w:val="left"/>
        <w:rPr>
          <w:rFonts w:ascii="Times New Roman" w:hAnsi="Times New Roman"/>
          <w:sz w:val="20"/>
        </w:rPr>
      </w:pPr>
      <w:r>
        <w:rPr>
          <w:rFonts w:ascii="Times New Roman" w:hAnsi="Times New Roman"/>
          <w:sz w:val="20"/>
        </w:rPr>
        <w:t xml:space="preserve">The issuance of a patent is not conclusive as to its inventorship, scope, validity or enforceability, and patents in which we or our licensors have an interest may be challenged in the courts or patent offices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terms can be adjusted to recapture a portion of delay incurred by the USPTO in examining the patent application (patent term adjustment). The scope of patent protection may also be limited. In addition, the laws of foreign jurisdictions may not protect our rights to the same extent as the laws of the U.S. For example, certain countries outside of the U.S. do not allow patents for methods of treating the human body. This may preclude us from obtaining method patents outside of the U.S. having similar scope to those we have obtained or may obtain in the future in the U.S.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defects of form in the preparation or filing of our owned or in-licensed patents or patent applications may exist, or may arise in the future, for example with respect to proper priority claims, inventorship, claim scope, or requests for patent term adjustments.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due to their size, capital resources and greater development and commercialization capabilities. In addition, companies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products. If we or our current or future licensors fail to establish, maintain or protect such patents and other intellectual property rights, such rights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 own. </w:t>
      </w:r>
    </w:p>
    <w:p>
      <w:pPr>
        <w:pStyle w:val="TextBody"/>
        <w:bidi w:val="0"/>
        <w:spacing w:before="240" w:after="0"/>
        <w:jc w:val="left"/>
        <w:rPr>
          <w:rFonts w:ascii="Times New Roman" w:hAnsi="Times New Roman"/>
          <w:sz w:val="20"/>
        </w:rPr>
      </w:pPr>
      <w:r>
        <w:rPr>
          <w:rFonts w:ascii="Times New Roman" w:hAnsi="Times New Roman"/>
          <w:sz w:val="20"/>
        </w:rPr>
        <w:t xml:space="preserve">Depending upon the timing, duration and specifics of FDA marketing approval of future product candidates, one or more of our U.S. patents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drug development and the FDA regulatory review process, which is limited to the approved indication (or any additional indications approved during the period of extension). A patent term extension cannot extend the remaining term of a patent beyond 14 years from the date of product approval. This extension is based on the first approved use of a product and is limited to only one patent that covers the approved product, the approved use of the product, or a method of manufacturing the product. However, the applicable authorities, including the FDA and the USPTO in the U.S.,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If we are unable to extend the expiration date of our existing patents or obtain new patents with longer expiry dates, our competitors may be able to take advantage of our investment in development and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trials by referencing our clinical and preclinical data to obtain approval of competing products following our patent expiration and launch our product earlier than might otherwise be the case.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The patent prosecution process is expensive, time-consuming and complex. Periodic maintenance, renewal, annuity and various other fees on any issued patent are due to be paid to the USPTO and other foreign governmental agencies in several stages over the lifetime of the intellectual property. The USPTO and various national or international agencies require compliance with a number of procedural, documentary, fee payment, and other similar provisions during the application process. While an inadvertent lapse can in many cases be cured by payment of a late fee or by other means in accordance with the applicable rules, there are situations in which noncompliance can result in abandonment or lapse of the intellectual property, resulting in partial or complete loss of rights in the relevant jurisdiction. Noncompliance events that could result in abandonment or lapse of rights include, but are not limited to, failure to timely file national and regional stage patent applications based on our international application, failure to respond to official actions within prescribed time limits, non-payment of fees, and failure to properly legalize and submit formal documents. If we or any of our licensors fail to maintain the intellectual property covering our product candidates, our competitors may be able to enter the market, which would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identify relevant third-party patents or may incorrectly interpret the relevance, scope or expiration of a third-party patent, which might adversely affect our ability to develop and market 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if approved.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become subject to third-party claims or litigation alleging infringement, misappropriation or other violation of such third partys patents or other intellectual property or proprietary rights, or seeking to invalidate our patents or other intellectual property or proprietary rights, which could be costly, time consuming, and, if successfully asserted against us, may delay or prevent the development and commercialization of any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us and our licensors avoiding infringement, misappropriation and other violations of the patents and other intellectual property or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Such challenges may result in loss of exclusivity or freedom to operate or in patent claims being narrowed, invalidated or held unenforceable, in whole or in part, which could limit our ability to stop others from using or commercializing similar or identical products and techniques without payment, or limit the duration of the patent protection of our technology.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misappropriating or otherwise violating their patents or other intellectual property or proprietary rights or employing their proprietary technology without authorization. </w:t>
      </w:r>
    </w:p>
    <w:p>
      <w:pPr>
        <w:pStyle w:val="TextBody"/>
        <w:bidi w:val="0"/>
        <w:spacing w:before="240" w:after="0"/>
        <w:jc w:val="left"/>
        <w:rPr>
          <w:rFonts w:ascii="Times New Roman" w:hAnsi="Times New Roman"/>
          <w:sz w:val="20"/>
        </w:rPr>
      </w:pPr>
      <w:r>
        <w:rPr>
          <w:rFonts w:ascii="Times New Roman" w:hAnsi="Times New Roman"/>
          <w:sz w:val="20"/>
        </w:rPr>
        <w:t xml:space="preserve">Also, there may be third-party patents or patent applications with claims to materials, formulations, methods of manufacture or methods of treatment related to the use or manufacture of our current and future product candidates. Because patent applications can take many years to issue, there may be currently pending patent applications which may later result in issued patents that our current or future product candidates may infringe.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third parties may obtain patent rights in the future and claim that use of our technologies infringes upon their rights. If any third-party patents were held by a court of competent jurisdiction to cover the manufacturing process of any of our product candidates, any molecules formed during the manufacturing process, methods of treating certain diseases or conditions that we are pursuing with our product candidates, our formulations including combination therapies, or any final product itself, the holders of any such patents may be able to block our ability to commercialize such product candidate unless we obtained a license under the applicable patents, or until such patents expire. Such a license may not be available on commercially reasonable terms or at all. In addition, we may be subject to claims that we are infringing, misappropriating or otherwise violating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w:t>
      </w:r>
    </w:p>
    <w:p>
      <w:pPr>
        <w:pStyle w:val="TextBody"/>
        <w:bidi w:val="0"/>
        <w:spacing w:before="0" w:after="0"/>
        <w:jc w:val="left"/>
        <w:rPr>
          <w:rFonts w:ascii="Times New Roman" w:hAnsi="Times New Roman"/>
          <w:sz w:val="20"/>
        </w:rPr>
      </w:pPr>
      <w:r>
        <w:rPr>
          <w:rFonts w:ascii="Times New Roman" w:hAnsi="Times New Roman"/>
          <w:sz w:val="20"/>
        </w:rPr>
        <w:t xml:space="preserve">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 xml:space="preserve">Parties making claims against us may obtain injunctive or other equitable relief, which could effectively block our ability to further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event, we would be unable to further develop and commercialize one or more of our product candidates, which could harm our business significantly. We cannot provide any assurances that third-party patents or other intellectual property or proprietary rights do not exist which might be enforced against our product candidates, resulting in either an injunction prohibiting sales, or, with respect to our sales, an obligation on our part to pay royalties or other forms of compensation to third parties.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ordinary shares may decline. Such announcements could also harm our reputation or the market for future products, which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or other proceedings to protect or enforce our patents, the patents of any licensors or our other intellectual property rights could be expensive, time 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or otherwise violate our patents, the patents of our licensors or our other intellectual property rights. To counter infringement or unauthorized use or misappropriations, we may be required to file legal claims, which can be expensive and time-consuming. In addition, in an infringement proceeding, a court may decide that one or more patents of us or any of our current or future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Additionally, for any patents and patent applications that we license from third parties, we may have limited or no right to participate in the defense of such licensed patents against challenge by a third-party. If a defendant were to prevail on a legal assertion of invalidity or unenforceability, we would lose at least part, and perhaps all, of the patent protection on our current or future product candidates. Such a loss of patent protection could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Furthermore, even if our patents or other intellectual property or proprietary rights are found to be valid and infringed, a court may refuse to grant injunctive relief against the infringer and instead award us monetary damages or ongoing royalties. Such monetary compensation may be insufficient to adequately offset the damage to our business caused by the infringers competition in the market. Because of the expense and uncertainty of litigation, we may conclude that even if a third party is infringing our current or future owned or in-licensed patents, any patents that may be issued as a result of our current or future owned or in-licensed patent applications, or other intellectual property rights, the risk-adjusted cost of bringing and enforcing such a claim or action may be too high or not in the best interest of us or our shareholders. In such cases, we may decide that the more prudent course of action is to simply monitor the situation or initiate or seek some other non-litigious action or solution. Moreover, even if we are successful in any litigation, we may incur significant expense in connection with such proceedings, and the amount of any monetary damages may be inadequate to compensate us for damage as a result of the infringement and the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or at all, our customers may be forced to stop using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prevent, alone or with our licensors, infringement, misappropriation or other violation of our intellectual property or other proprietary rights, particularly in countries where the laws may not protect those rights as fully as in the United States. Our business could be harmed if in litigation the prevailing party does not offer us a license on commercially reasonable terms or at all. Any litigation or other proceedings to enforce our intellectual property or proprietary rights may fail, and even if successful, may result in substantial costs and distract the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U.S. or foreign patent laws or their interpretations could diminish the value of patents in general, thereby impairing our ability to protect our products.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government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t>
      </w:r>
    </w:p>
    <w:p>
      <w:pPr>
        <w:pStyle w:val="TextBody"/>
        <w:bidi w:val="0"/>
        <w:spacing w:before="240" w:after="0"/>
        <w:jc w:val="left"/>
        <w:rPr>
          <w:rFonts w:ascii="Times New Roman" w:hAnsi="Times New Roman"/>
          <w:sz w:val="20"/>
        </w:rPr>
      </w:pPr>
      <w:r>
        <w:rPr>
          <w:rFonts w:ascii="Times New Roman" w:hAnsi="Times New Roman"/>
          <w:sz w:val="20"/>
        </w:rPr>
        <w:t>In 2011, the Leahy-Smith America Invents Act (the </w:t>
      </w:r>
      <w:r>
        <w:rPr>
          <w:rFonts w:ascii="Times New Roman" w:hAnsi="Times New Roman"/>
          <w:i/>
          <w:sz w:val="20"/>
        </w:rPr>
        <w:t>Leahy-Smith Act</w:t>
      </w:r>
      <w:r>
        <w:rPr>
          <w:rFonts w:ascii="Times New Roman" w:hAnsi="Times New Roman"/>
          <w:sz w:val="20"/>
        </w:rPr>
        <w:t xml:space="preserve">) was signed into law. The Leahy-Smith Act includes a number of significant changes to U.S. patent law. These include provisions that affect the way patent applications are prosecuted and also affect patent litigation. These also include provisions that switched the U.S.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 third-party that files a patent application in the USPTO after March 2013, but before the Company could therefore be awarded a patent covering an invention even if the Company had made the invention before it was made by such third-party. This will require the Company to be cognizant of the time from invention to filing of a patent application. Since patent applications in the U.S. and most other countries are confidential for a period of time after filing or until issuance, the Company cannot be certain that it was the first to file any patent application related to its products or invent any of the inventions claimed in its patents or patent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the Companys patent claims that would not have been invalidated if first challenged by the third-party as a defendant in a district court action. Therefore, the Leahy-Smith Act and its implementation could increase the uncertainties and costs surrounding the prosecution of the Companys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the Companys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which could impair our business.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covering our product candidates throughout the world would be prohibitively expensive. Furthermore, the requirements for patentability and obtaining other intellectual property protection may differ in certain countries, particularly developing countries. In addition, the laws of many foreign countries will not protect our intellectual property or other proprietary rights to the same extent as the laws of the United States.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Our ability to protect and enforce our intellectual property rights may be adversely affected by unforeseen changes in foreign intellectual property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reliance on third parties may require us to share our trade secrets, which increases the possibility that a competitor will discover them or that our trade secrets will be misappropriated or disclosed. </w:t>
      </w:r>
    </w:p>
    <w:p>
      <w:pPr>
        <w:pStyle w:val="TextBody"/>
        <w:bidi w:val="0"/>
        <w:spacing w:before="120" w:after="0"/>
        <w:jc w:val="left"/>
        <w:rPr>
          <w:rFonts w:ascii="Times New Roman" w:hAnsi="Times New Roman"/>
          <w:sz w:val="20"/>
        </w:rPr>
      </w:pPr>
      <w:r>
        <w:rPr>
          <w:rFonts w:ascii="Times New Roman" w:hAnsi="Times New Roman"/>
          <w:sz w:val="20"/>
        </w:rPr>
        <w:t xml:space="preserve">Because we rely on third parties for a wide variety of services, including the manufacture and continuing development of our product candidates, we must, at times, share trade secrets with them. We seek to protect our trade secrets in part by entering into agreements containing confidentiality and use restrictions and obligations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impair our competitive position and may have an adverse effect on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to protect our trade secrets, our competitors may discover our trade secrets, either through breach of agreements with third parties, independent development or publication of information by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third-party collaborators. A competitors discovery of our trade secrets could impair our competitive position and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protect the confidentiality of our trade secrets and other proprietary information, the value of our product candidates and our business and competitive position may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also rely on other proprietary rights, including protection of trade secrets, know-how or other proprietary information that is not patentable or that we elect not to patent.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However, we cannot guarantee that we have entered into such agreements with each party that may have or has had access to our trade secrets or proprietary technology and processes and we may not enter into such agreements with all employees, consultants and third parties who have been involved in the development of our intellectual property rights. In addition, monitoring unauthorized use and disclosure of our intellectual property rights by employees, consultants and other third parties who have access to such intellectual property or other proprietary rights is difficult. Therefore, we may not be able to prevent the unauthorized disclosure or use of our technical knowledge or other trade secrets by such employees, consultants, advisors or third parties, despite the existence generally of these confidentiality restrictions. There can be no assurance that such employees, consultants, advisors or third parties will not breach their agreements with us, that we will have adequate remedies for any breach, or that our trade secrets will not otherwise become known or independently developed by third parties, including our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that our employees, consultants or independent contractors have infringed, misappropriated or otherwise violated the intellectual property of a third party, including trade secrets or know-how of their former employers or other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claims that our employees or consultants have wrongfully used for our benefit or disclosed to us confidential information of third parties. We employ individuals who were previously employed at other biotechnology or pharmaceutical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 </w:t>
      </w:r>
    </w:p>
    <w:p>
      <w:pPr>
        <w:pStyle w:val="TextBody"/>
        <w:bidi w:val="0"/>
        <w:spacing w:before="120" w:after="0"/>
        <w:jc w:val="left"/>
        <w:rPr>
          <w:rFonts w:ascii="Times New Roman" w:hAnsi="Times New Roman"/>
          <w:sz w:val="20"/>
        </w:rPr>
      </w:pPr>
      <w:r>
        <w:rPr>
          <w:rFonts w:ascii="Times New Roman" w:hAnsi="Times New Roman"/>
          <w:sz w:val="20"/>
        </w:rPr>
        <w:t xml:space="preserve">To maintain the confidentiality of our trade secrets, proprietary information and other intellectual property rights, we generally have confidentiality and invention assignment provisions in place with our employees, consultants, suppliers, contract manufacturers, collaborators, and others upon the commencement of a relationship.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will be upheld in the face of a potential challenge or that third parties will not breach their agreements with us, or that we will have adequate remedies for any breach. </w:t>
      </w:r>
    </w:p>
    <w:p>
      <w:pPr>
        <w:pStyle w:val="TextBody"/>
        <w:bidi w:val="0"/>
        <w:spacing w:before="240" w:after="0"/>
        <w:jc w:val="left"/>
        <w:rPr>
          <w:rFonts w:ascii="Times New Roman" w:hAnsi="Times New Roman"/>
          <w:sz w:val="20"/>
        </w:rPr>
      </w:pPr>
      <w:r>
        <w:rPr>
          <w:rFonts w:ascii="Times New Roman" w:hAnsi="Times New Roman"/>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before="240" w:after="0"/>
        <w:jc w:val="left"/>
        <w:rPr>
          <w:rFonts w:ascii="Times New Roman" w:hAnsi="Times New Roman"/>
          <w:sz w:val="20"/>
        </w:rPr>
      </w:pPr>
      <w:r>
        <w:rPr>
          <w:rFonts w:ascii="Times New Roman" w:hAnsi="Times New Roman"/>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Intellectual property rights do not necessarily address all potential threats to our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products that are similar to our current and future product candidates we intend to commercialize that are not covered by the patents that we exclusively licensed and have the right to enforce;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our future licensors or collaborators might not have been the first to make the inventions covered by the issued patents or pending patent applications that we own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any of our current or future licensors or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without infringing, misappropriating or otherwise violating our owned or in-licensed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have access to the same intellectual property rights licensed to us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future patent applications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issued patents that we own or in-license may not provide us with any competitive advantages, or may be held invalid or unenforceable as a result of legal challenges;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competitors might conduct research and development activities in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choose not to seek patent protection for some of our proprietary technology to maintain certain trade secrets or know-how, and a third party may subsequently file a patent covering such trade secrets or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that are patentable.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Should any of these events occur, they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current and future trademarks and trade names are not adequately protected, then we may not be able to build name recognition in our markets and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registered or unregistered trademarks or trade names to brand and market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would be given an opportunity to respond to those rejections, we may be unable to overcome such rejections. In the event that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At times, competitors may adopt trade names or trademarks similar to us, thereby impeding our ability to build brand identity and possibly leading to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trademarks and trade names may be used, a breach of these agreements or misuse of such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growth prospects, operating results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non-U.S. regulatory authorities are highly complex, lengthy, and inherently unpredictable. If we are unable to obtain regulatory approval for our product candidates, or to do so in a timely manner, we will be unable to generate product revenue and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processes that must be followed to obtain approval by the FDA and non-U.S. regulatory authorities to market a pharmaceutical product are highly complex and unpredictable, and typically take many years following the commencement of clinical trials. A companys ability to obtain such an approval, and the time necessary to obtain it,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is insufficient for approval and require additional preclinical, clinical or other data. Even if we eventually complete clinical testing and receive approval of any regulatory filing for our product candidates, the FDA and non-U.S. regulatory authorities may approve our product candidates for a more limited indication or a narrower patient population than we originally requested. </w:t>
      </w:r>
    </w:p>
    <w:p>
      <w:pPr>
        <w:pStyle w:val="TextBody"/>
        <w:bidi w:val="0"/>
        <w:spacing w:before="240" w:after="0"/>
        <w:jc w:val="left"/>
        <w:rPr>
          <w:rFonts w:ascii="Times New Roman" w:hAnsi="Times New Roman"/>
          <w:sz w:val="20"/>
        </w:rPr>
      </w:pPr>
      <w:r>
        <w:rPr>
          <w:rFonts w:ascii="Times New Roman" w:hAnsi="Times New Roman"/>
          <w:sz w:val="20"/>
        </w:rPr>
        <w:t xml:space="preserve">Further, development of a companys product candidates and/or regulatory approval may be impacted or delayed by events beyond our control. For example, events such as a U.S. federal government shutdown or budget sequestration, such as ones that occurred during 2013, 2018 and 2019, or the FDAs diversion of resources to handle the SARS-CoV-2 virus public health emergency and pandemic, may result in significant reductions to the FDAs budget, employees and operations, and could lead to slower response times and longer review periods, potentially affecting our ability to progress development of our product candidates or obtain regulatory approval for our product candidates. In addition, the impact of SARS-CoV-2 virus pandemic may cause the FDA to allocate additional resources to product candidates focused on treating related illnesses, which could lead to longer approval processes for our product candidates. Moreover,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 or biologics license applications, or BLAs. </w:t>
      </w:r>
    </w:p>
    <w:p>
      <w:pPr>
        <w:pStyle w:val="TextBody"/>
        <w:bidi w:val="0"/>
        <w:spacing w:before="240" w:after="0"/>
        <w:jc w:val="left"/>
        <w:rPr>
          <w:rFonts w:ascii="Times New Roman" w:hAnsi="Times New Roman"/>
          <w:sz w:val="20"/>
        </w:rPr>
      </w:pPr>
      <w:r>
        <w:rPr>
          <w:rFonts w:ascii="Times New Roman" w:hAnsi="Times New Roman"/>
          <w:sz w:val="20"/>
        </w:rPr>
        <w:t xml:space="preserve">Applications for 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non-U.S. regulatory authorities may disagree with the design, implementation, or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non-U.S. regulatory authorities may determine that our product candidates are not safe and effective, are insufficiently effective or have undesirable or unintended side effects, toxicities or other characteristics that preclude our obtaining marketing approval or prevent or limit commercial use;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in the clinical trial may not be sufficiently broad or representative to assure efficacy and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non-U.S.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to obtain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FDA or non-U.S. regulatory authorities that a product candidates risk-benefit ratio for our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non-U.S. regulatory authorities may fail to approve the manufacturing processes, test procedures and specifications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non-U.S. regulatory authorities may significantly change in a manner rendering our clinical data insufficient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complex and lengthy approval process, as well as the unpredictability of the results of clinical trials, may result in us failing to obtain regulatory approval to market any of our product candidates, or a failure to obtain such approval in a timely manner, which could materially adversely affect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face difficulties in commercializing and achieving reimbursement of our products from changes to current regulations and future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the European Union and other jurisdictions there have been a number of legislative and regulatory changes and proposed changes to the healthcare system that could affect our future results of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unable to maintain regulatory compliance, we may be unable to successfully commercialize our products, and may not achieve or sustain profitability. </w:t>
      </w:r>
    </w:p>
    <w:p>
      <w:pPr>
        <w:pStyle w:val="TextBody"/>
        <w:bidi w:val="0"/>
        <w:spacing w:before="240" w:after="0"/>
        <w:jc w:val="left"/>
        <w:rPr>
          <w:rFonts w:ascii="Times New Roman" w:hAnsi="Times New Roman"/>
          <w:sz w:val="20"/>
        </w:rPr>
      </w:pPr>
      <w:r>
        <w:rPr>
          <w:rFonts w:ascii="Times New Roman" w:hAnsi="Times New Roman"/>
          <w:sz w:val="20"/>
        </w:rPr>
        <w:t>For example, the Patient Protection and Affordable Care Act of 2010, as amended by the Health Care and Education Reconciliation Act of 2010 (or collectively, the </w:t>
      </w:r>
      <w:r>
        <w:rPr>
          <w:rFonts w:ascii="Times New Roman" w:hAnsi="Times New Roman"/>
          <w:i/>
          <w:sz w:val="20"/>
        </w:rPr>
        <w:t>ACA</w:t>
      </w:r>
      <w:r>
        <w:rPr>
          <w:rFonts w:ascii="Times New Roman" w:hAnsi="Times New Roman"/>
          <w:sz w:val="20"/>
        </w:rPr>
        <w:t xml:space="preserve">), substantially affects the way healthcare is financed by both the government and private insurers, and significantly impacts the U.S. pharmaceutical industry. The ACA contains provisions that can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extensive judicial, Congressional and executive branch challenges to certain aspects of the ACA, as well as efforts and proposals to revise or repeal the law and its application, to control the prices at which pharmaceutical products are sold, and to implement other healthcare reform measures. Such efforts can be expected to continue in the future, but it is unclear what measures will be enacted or implemented, or how they might affect our business. </w:t>
      </w:r>
    </w:p>
    <w:p>
      <w:pPr>
        <w:pStyle w:val="TextBody"/>
        <w:bidi w:val="0"/>
        <w:spacing w:before="240" w:after="0"/>
        <w:jc w:val="left"/>
        <w:rPr>
          <w:rFonts w:ascii="Times New Roman" w:hAnsi="Times New Roman"/>
          <w:sz w:val="20"/>
        </w:rPr>
      </w:pPr>
      <w:r>
        <w:rPr>
          <w:rFonts w:ascii="Times New Roman" w:hAnsi="Times New Roman"/>
          <w:sz w:val="20"/>
        </w:rPr>
        <w:t>In addition, other legislative and administrative changes have been adopted in the United States in recent years, and others continue to be proposed. These changes include reductions to payments made under the Medicare program. In addition, during 2021, the Biden administration proposed additional potential legislative and administrative actions to, among other things, reform drug pricing.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hAnsi="Times New Roman"/>
          <w:i/>
          <w:sz w:val="20"/>
        </w:rPr>
        <w:t>HHS</w:t>
      </w:r>
      <w:r>
        <w:rPr>
          <w:rFonts w:ascii="Times New Roman" w:hAnsi="Times New Roman"/>
          <w:sz w:val="20"/>
        </w:rPr>
        <w:t xml:space="preserve">) released a Comprehensive Plan for Addressing High Drug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w:t>
      </w:r>
    </w:p>
    <w:p>
      <w:pPr>
        <w:pStyle w:val="TextBody"/>
        <w:bidi w:val="0"/>
        <w:spacing w:before="240" w:after="0"/>
        <w:jc w:val="left"/>
        <w:rPr>
          <w:rFonts w:ascii="Times New Roman" w:hAnsi="Times New Roman"/>
          <w:sz w:val="20"/>
        </w:rPr>
      </w:pPr>
      <w:r>
        <w:rPr>
          <w:rFonts w:ascii="Times New Roman" w:hAnsi="Times New Roman"/>
          <w:sz w:val="20"/>
        </w:rPr>
        <w:t xml:space="preserve">These recent laws, administrative decisions and proposals, and any new ones that follow, may result in additional reductions in Medicare payments and other healthcare funding, which could have a material adverse effect on customers for our products and product candidates, if approved, and accordingly, on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ACA, as well as other healthcare reform measures that have been adopted, or may be adopted in the future, could result in more rigorous healthcare insurance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In the European Union and other countries,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In most EU member states, healthcare budgetary constraints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Moreover, in the European Union, some EU member states may require the completion of additional studies that compare the cost-effectiveness of a particular medicinal product to currently available therapies. This Health Technology Assessment, or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 will often influence the pricing and reimbursement status granted to these products by the competent authorities of individual EU member states. On December 15, 2021, the Health Technology Regulation, or HTA Regulation, was adopted. The HTA Regulation is intended to boost cooperation among EU member states in assessing health technologies, including new medicinal products, and providing the basis for cooperation at EU level for joint clinical assessments in these areas. When it enters into application in 2025, the HTA Regulation will be intended to harmonize the clinical benefit assessment of HTA across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European Union, or other jurisdictions regulations, guidance or interpretations will be changed, or what the impact of such changes on the marketing approvals of our product candidates, if any, may be. In addition, increased scrutiny by, for example, United States Congress of the FDA approval process may significantly delay or prevent marketing approval, as well as subject us to more stringent product labeling and post-marketing testing and other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the FDA does not conclude that OCS-01 satisfies the requirements for the Section 505(b)(2) regulatory approval pathway, or if the requirements under Section 505(b)(2) are not as we expect, the approval pathway for OCS-01 will likely take significantly longer, cost significantly more and entail significantly greater complications and risks than anticipated, and in either case may not be successful. </w:t>
      </w:r>
    </w:p>
    <w:p>
      <w:pPr>
        <w:pStyle w:val="TextBody"/>
        <w:bidi w:val="0"/>
        <w:spacing w:before="120" w:after="0"/>
        <w:jc w:val="left"/>
        <w:rPr>
          <w:rFonts w:ascii="Times New Roman" w:hAnsi="Times New Roman"/>
          <w:sz w:val="20"/>
        </w:rPr>
      </w:pPr>
      <w:r>
        <w:rPr>
          <w:rFonts w:ascii="Times New Roman" w:hAnsi="Times New Roman"/>
          <w:sz w:val="20"/>
        </w:rPr>
        <w:t>We plan to seek FDA approval through the Section 505(b)(2) regulatory pathway for OCS-01. The Hatch- Waxman Amendments added Section 505(b)(2) (</w:t>
      </w:r>
      <w:r>
        <w:rPr>
          <w:rFonts w:ascii="Times New Roman" w:hAnsi="Times New Roman"/>
          <w:i/>
          <w:sz w:val="20"/>
        </w:rPr>
        <w:t>Section 505(b)(2)</w:t>
      </w:r>
      <w:r>
        <w:rPr>
          <w:rFonts w:ascii="Times New Roman" w:hAnsi="Times New Roman"/>
          <w:sz w:val="20"/>
        </w:rPr>
        <w:t>) to the Federal Food, Drug and Cosmetic Act (the </w:t>
      </w:r>
      <w:r>
        <w:rPr>
          <w:rFonts w:ascii="Times New Roman" w:hAnsi="Times New Roman"/>
          <w:i/>
          <w:sz w:val="20"/>
        </w:rPr>
        <w:t>FDCA</w:t>
      </w:r>
      <w:r>
        <w:rPr>
          <w:rFonts w:ascii="Times New Roman" w:hAnsi="Times New Roman"/>
          <w:sz w:val="20"/>
        </w:rPr>
        <w:t xml:space="preserve">). Section 505(b)(2) permits the submission of an NDA where at least some of the information required for approval comes from studies that were not conducted by or for the applicant and for which the applicant has not obtained a right of reference. Section 505(b)(2), if applicable to us under the FDCA, would allow an NDA to rely in part on data in the public domain or the FDAs prior conclusions regarding the safety and effectiveness of approved drug products, which could expedite the development program for OCS-01 by potentially decreasing the amount of preclinical or clinical data that we would need to generate in order to obtain FDA approval. </w:t>
      </w:r>
    </w:p>
    <w:p>
      <w:pPr>
        <w:pStyle w:val="TextBody"/>
        <w:bidi w:val="0"/>
        <w:spacing w:before="240" w:after="0"/>
        <w:jc w:val="left"/>
        <w:rPr>
          <w:rFonts w:ascii="Times New Roman" w:hAnsi="Times New Roman"/>
          <w:sz w:val="20"/>
        </w:rPr>
      </w:pPr>
      <w:r>
        <w:rPr>
          <w:rFonts w:ascii="Times New Roman" w:hAnsi="Times New Roman"/>
          <w:sz w:val="20"/>
        </w:rPr>
        <w:t xml:space="preserve">If we cannot pursue the Section 505(b)(2) regulatory pathway for OCS-01, we may need to conduct additional clinical trials, provide additional data and information, and meet additional standards for regulatory approval. If this were to occur, the time and financial resources required to obtain FDA approval for OCS-01, and complications and risks associated with OCS-01, would likely substantially increase. Moreover, our inability to pursue the Section 505(b)(2) regulatory pathway would likely result in new competitive products reaching the market more quickly than OCS-01, which would likely adversely impact our competitive position and prospects. Even if we can pursue the Section 505(b)(2) regulatory pathway, we cannot assure you that OCS-01 will receive the requisite approvals for commercialization.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notwithstanding the approval of products by the FDA under Section 505(b)(2), certain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thirty (30) months or longer depending on the outcome of any litigation. It is not uncommon for the owner of the NDA of an approved product to file a citizen petition with the FDA seeking to delay approval of, or impose additional approval requirements for, pending competing products. If successful, such petitions could significantly delay, or even prevent, the approval of a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earlier approval. </w:t>
      </w:r>
    </w:p>
    <w:p>
      <w:pPr>
        <w:pStyle w:val="TextBody"/>
        <w:bidi w:val="0"/>
        <w:spacing w:before="240" w:after="0"/>
        <w:jc w:val="left"/>
        <w:rPr>
          <w:rFonts w:ascii="Times New Roman" w:hAnsi="Times New Roman"/>
          <w:sz w:val="20"/>
        </w:rPr>
      </w:pPr>
      <w:r>
        <w:rPr>
          <w:rFonts w:ascii="Times New Roman" w:hAnsi="Times New Roman"/>
          <w:sz w:val="20"/>
        </w:rPr>
        <w:t xml:space="preserve">Moreover, even if OCS-01 is approved under Section 505(b)(2), the approval may be subject to limitations on the indicated uses for which the product may be marketed or to other conditions of approval, or may contain requirements for costly post-marketing testing and surveillance to monitor the safety or efficacy of the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U.S. Government and non-U.S. regulatory authorities actively enforce laws and regulations regarding the promotion of pharmaceutical products.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U.S. Government agencies and non-U.S. regulatory authorities strictly regulate the manner in which prescription products may be marketed. In particular, a product may not be promoted for uses that are not approved by the FDA or such other regulatory agencies as reflected in the products approved labeling. In addition,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sales commission, customer incentive programs and other business arrangements. Such laws, and the application of those laws, are complex and evolving. </w:t>
      </w:r>
    </w:p>
    <w:p>
      <w:pPr>
        <w:pStyle w:val="TextBody"/>
        <w:bidi w:val="0"/>
        <w:spacing w:before="240" w:after="0"/>
        <w:jc w:val="left"/>
        <w:rPr>
          <w:rFonts w:ascii="Times New Roman" w:hAnsi="Times New Roman"/>
          <w:sz w:val="20"/>
        </w:rPr>
      </w:pPr>
      <w:r>
        <w:rPr>
          <w:rFonts w:ascii="Times New Roman" w:hAnsi="Times New Roman"/>
          <w:sz w:val="20"/>
        </w:rPr>
        <w:t xml:space="preserve">If we are found to have improperly promoted the sale of any of our product candidates, if approved, such as through the promotion of the off-label use of those products, or through kickbacks or fraud, or through any other conduct or activity deemed to be unlawful, then we may become subject to significant liability. For example, if we receive marketing approval for a product as a treatment for a disease, physicians may nevertheless choose to prescribe the product for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growth prospects,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all EU member states. The competent regulatory authorities in the EU actively enforce the laws and regulations governing promotion of medicinal products. If we are found to have undertaken improper promotional activities we may be subject to significant civil, criminal and administrative penalties, which could materially adversely affect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consultants, principal investigators, CROs,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that our employees, independent contractors, consultants, principal investigators, CROs, suppliers, vendors and other third parties with which we do business may engage in misconduct or other improper activities. Misconduct by these parties could include failures to comply with federal and state health care fraud and abuse laws and regulations and equivalent foreign laws, FDA regulations and equivalent regulation of foreign authorities, requirements to provide accurate information to the FDA or equivalent foreign authorities, data privacy and security laws and requirements to accurately report financial information or data or to disclose unauthorized activities to us. Misconduct by these parties could also involve the improper use of information obtained in the course of clinical trials, which could result in regulatory sanctions and serious harm to our reputation. Although we have adopted a code of business conduct and ethics with respect to our employees, agents and contractors,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or asserting our rights, those actions could have a significant impact on our business, including the imposition of significant penalties, including civil, criminal and administrative penalties, damages, fines, disgorgement, individual imprisonment, exclusion from participation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government funded healthcare programs, such as Medicare and Medicaid and equivalent foreign health insurance programs, integrity oversight and reporting obligations, contractual damages, reputational harm, diminished profits and future earnings and the curtailment or restructuring of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The FDA and non-U.S.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approves a drug candidate for an indication in the U.S., comparable regulatory authorities in foreign jurisdictions must also approve the manufacturing, marketing and promotion and reimbursement of the product in those countries. In addition,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U.S., including additional preclinical studies or clinical trials, since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0"/>
        <w:jc w:val="left"/>
        <w:rPr>
          <w:rFonts w:ascii="Times New Roman" w:hAnsi="Times New Roman"/>
          <w:sz w:val="20"/>
        </w:rPr>
      </w:pPr>
      <w:r>
        <w:rPr>
          <w:rFonts w:ascii="Times New Roman" w:hAnsi="Times New Roman"/>
          <w:sz w:val="20"/>
        </w:rPr>
        <w:t xml:space="preserve">Obtaining non-U.S. regulatory approvals and establishing and maintaining compliance with non-U.S. regulatory requirements could result in significant difficulties and costs for us and could delay or prevent the introduction of our product candidates, if approved, in certain countries. If we or any future collaborator fail to comply with the regulatory requirements in international markets or fail to receive applicable marketing approvals, then our target market will be reduced and our ability to realize the full market potential of our product candidates, if approved,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operations and current and future relationships with healthcare professionals, clinical investigators, consultants, patient organizations, customers,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and third-party payors play a primary role in the recommendation and prescription of any product candidates for which we obtain marketing approval. Our current and future arrangements with healthcare professionals, including physicians, clinical investigators, CROs, third-party payors and customers may expose it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Moreover, the ACA provides that the government may assert that a claim including items or services resulting from a violation of the federal Anti- Kickback Statute constitutes a false or fraudulent claim for purposes of the civil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civil False Claims Act, which can be enforced by private citizens through civil whistleblower or qui tam actions, and civil monetary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Food Drug and Cosmetic Act, which prohibits, among other things, the adulteration or misbranding of drugs, biologics and medical devices;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Health Insurance Portability and Accountability Act of 1996 (HIPAA) prohibits, among other things, executing or attempting to execute a scheme to defraud any healthcare benefit program or making false statements relating to healthcare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other healthcare professionals (such as physicians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Certain state and local jurisdictions require the registration of pharmaceutical sales representatives. State, federal and foreign laws also govern the privacy and security of health information in some circumstances, many of which differ from each other in significant ways and often are not preempted by HIPAA,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the provision of compensation for consulting services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physicians and other healthcare providers, some of whom may be in a position to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penalties, including civil, criminal and administrative penalties, damages, fines, disgorgement, imprisonment, exclusion from participation in government funded healthcare programs, such as Medicare and Medicaid or similar programs in other countries or jurisdictions,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it,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which could have an adverse effect on our business and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activities are subject to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 </w:t>
      </w:r>
    </w:p>
    <w:p>
      <w:pPr>
        <w:pStyle w:val="TextBody"/>
        <w:bidi w:val="0"/>
        <w:spacing w:before="120" w:after="0"/>
        <w:jc w:val="left"/>
        <w:rPr>
          <w:rFonts w:ascii="Times New Roman" w:hAnsi="Times New Roman"/>
          <w:sz w:val="20"/>
        </w:rPr>
      </w:pPr>
      <w:r>
        <w:rPr>
          <w:rFonts w:ascii="Times New Roman" w:hAnsi="Times New Roman"/>
          <w:sz w:val="20"/>
        </w:rPr>
        <w:t xml:space="preserve">We may conduct clinical trials in countries other than the United States. In addition, we have entered into a license agreement with Accure, a biotechnology company headquartered in Barcelona, Spain. Our business activities are subject to the U.S. Foreign Corrupt Practices Act, or FCPA, and similar anti-bribery or anti- corruption laws, regulations or rules of Switzerland and other countries in which we operate. Anti-corruption laws, including the FCPA, generally prohibit offering, promising, giving or authorizing others to give anything of value, either directly or indirectly, to a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potentially including officials of foreign governments. Additionally, although none of our product candidates is yet approved for sale in any country, in many countries other than the U.S., the healthcare providers who prescribe pharmaceuticals like our product candidates are employed by their government, and the purchasers of pharmaceuticals are government entities. Therefore, any future dealings by us with these prescribers and purchasers may be subject to regulation under the FCPA and other applicable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The SEC and Department of Justice have increased their FCPA enforcement activities with respect to biotechnology and pharmaceutical companies. There is no certainty that all of our employees, agents or contractors, or those of our affiliates, will comply with all applicable anti-corruption laws and regulations, particularly given the high level of complexity of these laws. Violations of these laws and regulations could result in fines, criminal sanctions against us, our officers or our employees, the closing down of our facilities, cessation of business activities in certain countries, implementation of compliance programs and prohibitions on the conduct of our business. Any such violations could include prohibitions on our ability to offer our products, if approved, in one or more countries and could materially damage our reputation, our brand, international activities, our ability to attract and retain employees and our business, growth prospects,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products may create delays in the introduction of our products in international markets or, in some cases, prevent the export of our products to some countries altogether. Furthermore, export control laws and economic sanctions may prohibit the shipment of certain products and services to specified countries, governments, and persons. If we fail to comply with export and import regulations and such economic sanctions, we may be fined or other penalties could be imposed, including a denial of certain export privileges. Moreover, any new export or import restrictions, new legislation or shifting approaches in the enforcement or scope of existing regulations, or in the countries, persons, or technologies targeted by such regulations, could result in decreased use of our products by, or in our decreased ability to export products to existing or potential customers with international operations. Any decreased use of our products or limitation on our ability to export or sell access to our products could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the SEC and other government agencies and comparable non-U.S.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and comparable non-U.S. regulatory authorities to review and approve new products can be affected by a variety of factors, including government budget and funding levels, our ability to hire and retain key personnel and accept the payment of user fees, statutory, regulatory, and policy changes, and other events that may otherwise affect the ability of the FDA and comparable non-U.S. regulatory authorities to perform routine functions. Average review times at the FDA and comparable non-U.S.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other agencies, and comparable non-U.S. regulatory authorities may slow the time necessary for new drugs to be reviewed or approved, which could adversely affect our business. For example, in recent years, including in 2013, 2018 and 2019, the U.S. government shut down several times, and in 2020 and 2021 the FDA diverted significant resources to handle the SARS-CoV-2 virus public health emergency and pandemic. Certain regulatory agencies, such as the FDA and the SEC, have had to furlough critical FDA, SEC and other government employees for a time, and to stop critical activities in response to such events, and may be required to do so again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such disruptions recur, or if a prolonged government shutdown occurs, it could significantly impact the ability of the FDA and comparable non-U.S. regulatory authorities to timely review and process our regulatory submissions, which could have a material adverse effect on our business. Further, in our operations as a public company, future government disruptions or shutdowns could impact our ability to access the public markets and obtain necessary capital in order to properly capitalize and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environmental, health and safety laws and regulations, we could become subject to fines or penalties or incur costs that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 the emission and discharge of hazardous materials into the ground, air, and water; and employee health and safety. Our operations may involve the use of hazardous and flammable materials, including chemicals and biological and radioactive materials. Our operations also may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domicile in Switzerland and being foreign private issuer.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Swiss stock corporation. The rights of its shareholders may be different from the rights of shareholders in companies governed by the laws of U.S. jurisdictions. </w:t>
      </w:r>
    </w:p>
    <w:p>
      <w:pPr>
        <w:pStyle w:val="TextBody"/>
        <w:bidi w:val="0"/>
        <w:spacing w:before="120" w:after="0"/>
        <w:jc w:val="left"/>
        <w:rPr>
          <w:rFonts w:ascii="Times New Roman" w:hAnsi="Times New Roman"/>
          <w:sz w:val="20"/>
        </w:rPr>
      </w:pPr>
      <w:r>
        <w:rPr>
          <w:rFonts w:ascii="Times New Roman" w:hAnsi="Times New Roman"/>
          <w:sz w:val="20"/>
        </w:rPr>
        <w:t xml:space="preserve">We are a Swiss stock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the United States. In the performance of its duties, our board of directors is required by Swiss law to consider the interests of the Company, and may also have regard to the interests of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to the competent courts at our registered office, currently in Zug, Switzerland, In addition, under Swiss law, any claims by shareholders against the Company must be brought exclusively to the competent courts at our registered office, currently in Zug, Switzerland. U.S.-style class actions and derivative actions are not available under Swiss law. There can be no assurance that Swiss law will not change in the future, which could adversely affect the rights of our shareholders, or that Swiss law will protect our shareholders in a similar fashion as under U.S. corporate law principles.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ordinary shares are not listed in Switzerland, our home jurisdiction. As a result, certain Swiss law provisions designed to protect shareholders in the event of a public takeover offer or change of control transaction will not apply. </w:t>
      </w:r>
    </w:p>
    <w:p>
      <w:pPr>
        <w:pStyle w:val="TextBody"/>
        <w:bidi w:val="0"/>
        <w:spacing w:before="120" w:after="0"/>
        <w:jc w:val="left"/>
        <w:rPr>
          <w:rFonts w:ascii="Times New Roman" w:hAnsi="Times New Roman"/>
          <w:sz w:val="20"/>
        </w:rPr>
      </w:pPr>
      <w:r>
        <w:rPr>
          <w:rFonts w:ascii="Times New Roman" w:hAnsi="Times New Roman"/>
          <w:sz w:val="20"/>
        </w:rPr>
        <w:t xml:space="preserve">The Swiss rules that require investors to disclose their interest in a company if they reach, exceed or fall below certain ownership thresholds only applies to issuers that have a listing (including a secondary listing) for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equity securities in Switzerland. Since the ordinary shares are listed exclusively on The Nasdaq Global Market, a U.S. market, the disclosure obligations regarding major shareholdings according to art. 120 of the Swiss Financial Markets Infrastructure Act and its implementing provisions do not apply to us. Likewise, the Swiss takeover regime does not apply to us. In particular, the duty to make a mandatory bid offer for all outstanding listed equity securities of a company by any person or group of persons that acquires more than one third of a companys voting rights does not apply to us. In addition, the Swiss takeover regime imposes certain restrictions and obligations on bidders in a voluntary public takeover offer that are designed to protect shareholders. </w:t>
      </w:r>
    </w:p>
    <w:p>
      <w:pPr>
        <w:pStyle w:val="TextBody"/>
        <w:bidi w:val="0"/>
        <w:spacing w:before="240" w:after="0"/>
        <w:jc w:val="left"/>
        <w:rPr>
          <w:rFonts w:ascii="Times New Roman" w:hAnsi="Times New Roman"/>
          <w:sz w:val="20"/>
        </w:rPr>
      </w:pPr>
      <w:r>
        <w:rPr>
          <w:rFonts w:ascii="Times New Roman" w:hAnsi="Times New Roman"/>
          <w:sz w:val="20"/>
        </w:rPr>
        <w:t xml:space="preserve">However, these protections are applicable only to issuers that list their equity securities in Switzerland and, because the ordinary shares are listed exclusively on The Nasdaq Global Market, are not applicable to us. Furthermore, since Swiss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a Swiss company listed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shareholders may not be able to obtain judgments or enforce civil liabilities against us or our executive officers or members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are a corporation organized and incorporated under the laws of Switzerland with registered office and domicile in Zug, Switzerland, and the majority of its assets are located within Switzerland. Moreover, a number of our directors and executive officers are not residents of the United States, and all or a substantial portion of the assets of such persons are or may be located outside the United States. As a result, investors may not be able to effect service of process within the United States upon us or upon such persons, or to enforce judgments obtained against us or such persons in U.S. courts, including judgments in actions predicated upon the civil liability provisions of the federal securities laws of the United States. There is doubt that a lawsuit based upon United States federal or state securities laws could be brought in an original action in Switzerland and that a judgment of a U.S. court based upon United States securities laws would be enforced in Switzerland. </w:t>
      </w:r>
    </w:p>
    <w:p>
      <w:pPr>
        <w:pStyle w:val="TextBody"/>
        <w:bidi w:val="0"/>
        <w:spacing w:before="240" w:after="0"/>
        <w:jc w:val="left"/>
        <w:rPr>
          <w:rFonts w:ascii="Times New Roman" w:hAnsi="Times New Roman"/>
          <w:sz w:val="20"/>
        </w:rPr>
      </w:pPr>
      <w:r>
        <w:rPr>
          <w:rFonts w:ascii="Times New Roman" w:hAnsi="Times New Roman"/>
          <w:sz w:val="20"/>
        </w:rPr>
        <w:t>The United States and Switzerland currently do not have a treaty providing for the reciprocal recognition and enforcement of judgments, other than arbitration awards, in civil and commercial matters. Consequently, a final judgment for payment given by a court in the United States, whether or not predicated solely upon U.S. securities laws, may not be enforceable in Switzerland, please see the section entitled </w:t>
      </w:r>
      <w:r>
        <w:rPr>
          <w:rFonts w:ascii="Times New Roman" w:hAnsi="Times New Roman"/>
          <w:i/>
          <w:sz w:val="20"/>
        </w:rPr>
        <w:t>Enforcement of Civil Liabilities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status as a Swiss stock corporation means that our shareholders enjoy certain rights that may limit its flexibility to raise capital, issue dividends and otherwise manage ongoing capital needs. </w:t>
      </w:r>
    </w:p>
    <w:p>
      <w:pPr>
        <w:pStyle w:val="TextBody"/>
        <w:bidi w:val="0"/>
        <w:spacing w:before="120" w:after="0"/>
        <w:jc w:val="left"/>
        <w:rPr>
          <w:rFonts w:ascii="Times New Roman" w:hAnsi="Times New Roman"/>
          <w:sz w:val="20"/>
        </w:rPr>
      </w:pPr>
      <w:r>
        <w:rPr>
          <w:rFonts w:ascii="Times New Roman" w:hAnsi="Times New Roman"/>
          <w:sz w:val="20"/>
        </w:rPr>
        <w:t>Swiss law reserves for approval by shareholders certain corporate actions over which a board of directors would have authority in some other jurisdictions. For example, the payment of dividends and the cancellation of treasury shares must be approved by shareholders. Swiss law also requires that our shareholders themselves resolve to, or authorize its board of directors to, increase our share capital. While its shareholders may introduce a capital band pursuant to which share capital that can be issued by its board of directors without additional shareholder approval, Swiss law limits this capital band to 50% of the share capital registered in the commercial register at the time of the introduction of the capital band. The capital band, furthermore, has a limited duration of up to five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which may be limited or withdrawn under certain conditions. Swiss law also does not provide as much flexibility in the various rights and regulations that can attach to different classes of shares as do the laws of some other jurisdictions. These Swiss law requirements relating to our capital management may limit our flexibility, and situations may arise where greater flexibility would have provided benefits to its shareholders. Please see the sections entitled </w:t>
      </w:r>
      <w:r>
        <w:rPr>
          <w:rFonts w:ascii="Times New Roman" w:hAnsi="Times New Roman"/>
          <w:i/>
          <w:sz w:val="20"/>
        </w:rPr>
        <w:t>Description Securities</w:t>
      </w:r>
      <w:r>
        <w:rPr>
          <w:rFonts w:ascii="Times New Roman" w:hAnsi="Times New Roman"/>
          <w:sz w:val="20"/>
        </w:rPr>
        <w:t> and </w:t>
      </w:r>
      <w:r>
        <w:rPr>
          <w:rFonts w:ascii="Times New Roman" w:hAnsi="Times New Roman"/>
          <w:i/>
          <w:sz w:val="20"/>
        </w:rPr>
        <w:t>Comparison of Shareholder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Shareholders outside of the United States may not be able to exercise pre-emptive rights in future issuances of equity or other securities that are convertible into equity. </w:t>
      </w:r>
    </w:p>
    <w:p>
      <w:pPr>
        <w:pStyle w:val="TextBody"/>
        <w:bidi w:val="0"/>
        <w:spacing w:before="120" w:after="0"/>
        <w:jc w:val="left"/>
        <w:rPr>
          <w:rFonts w:ascii="Times New Roman" w:hAnsi="Times New Roman"/>
          <w:sz w:val="20"/>
        </w:rPr>
      </w:pPr>
      <w:r>
        <w:rPr>
          <w:rFonts w:ascii="Times New Roman" w:hAnsi="Times New Roman"/>
          <w:sz w:val="20"/>
        </w:rPr>
        <w:t xml:space="preserve">Under Swiss corporate law, shareholders may receive certain pre-emptive rights to subscribe on a pro-rata basis for issuances of equity securities or other securities that are convertible into equity securities. Due to the laws and regulations in certain jurisdictions, however, shareholders who are not residents of the United States may not be able to exercise such rights unless we take action to register or otherwise qualify the rights offering, including, for example, by complying with prospectus requirements under the laws of that jurisdiction. There can be no assurance that we will take any action to register or otherwise qualify an offering of subscription rights or shares under the laws of any jurisdiction other than the United States where the offering of such rights is restricted. If shareholders in such jurisdictions were unable to exercise their subscription rights, their ownership interest in the Company will be diluted.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Articles of Association could make an acquisition of the Company, which may be beneficial to its shareholders, more difficult. </w:t>
      </w:r>
    </w:p>
    <w:p>
      <w:pPr>
        <w:pStyle w:val="TextBody"/>
        <w:bidi w:val="0"/>
        <w:spacing w:before="120" w:after="0"/>
        <w:jc w:val="left"/>
        <w:rPr>
          <w:rFonts w:ascii="Times New Roman" w:hAnsi="Times New Roman"/>
          <w:sz w:val="20"/>
        </w:rPr>
      </w:pPr>
      <w:r>
        <w:rPr>
          <w:rFonts w:ascii="Times New Roman" w:hAnsi="Times New Roman"/>
          <w:sz w:val="20"/>
        </w:rPr>
        <w:t xml:space="preserve">Our Articles of Association contain provisions that may have the effect of discouraging, delaying or preventing a change in control of the Company that shareholders may consider favorable, including transactions in which its shareholders may receive a premium for their shares. Our Articles of Association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certain cases, allow our board of directors to place such number of new ordinary shares corresponding to up to 17,841,084 ordinary shares (capital band) and to place rights to acquire such number of new shares corresponding to up to an additional 5,000,000 of new ordinary shares (conditional capital for bonds and similar debt instruments) respectively, of the expected outstanding share capital, with affiliates or third parties, without existing shareholders having statutory pre-emptive rights in relation to this share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our board of directors not to record any acquirer of ordinary shares, or several acquirers acting in concert, in our share register as a shareholder with voting rights with respect to more than 15% of our share capital registered in the commercial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shareholders from exercising voting rights with respect to own or represented shares in excess of 15% of our share capital registered in the commercial register;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size of our board of directors to nine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two-thirds of the votes represented at a general meeting of shareholders for amending or repealing the above-mentioned registration and voting restrictions, the provision setting a maximum board size, and the provision for indemnification of the members of our board of directors and our executive committee as set forth in our articles of association, and for dismissing the chairman or any member of the our board of directors or any member of our remuneration committee before the end of his or her term of office. </w:t>
            </w:r>
          </w:p>
        </w:tc>
      </w:tr>
    </w:tbl>
    <w:p>
      <w:pPr>
        <w:pStyle w:val="TextBody"/>
        <w:bidi w:val="0"/>
        <w:spacing w:before="240" w:after="0"/>
        <w:jc w:val="left"/>
        <w:rPr>
          <w:rFonts w:ascii="Times New Roman" w:hAnsi="Times New Roman"/>
          <w:sz w:val="20"/>
        </w:rPr>
      </w:pPr>
      <w:r>
        <w:rPr>
          <w:rFonts w:ascii="Times New Roman" w:hAnsi="Times New Roman"/>
          <w:sz w:val="20"/>
        </w:rPr>
        <w:t>These and other provisions of our articles of association, alone or together, could delay or prevent takeovers and changes in control. Please see the sections entitled </w:t>
      </w:r>
      <w:r>
        <w:rPr>
          <w:rFonts w:ascii="Times New Roman" w:hAnsi="Times New Roman"/>
          <w:i/>
          <w:sz w:val="20"/>
        </w:rPr>
        <w:t>Description of Securities</w:t>
      </w:r>
      <w:r>
        <w:rPr>
          <w:rFonts w:ascii="Times New Roman" w:hAnsi="Times New Roman"/>
          <w:sz w:val="20"/>
        </w:rPr>
        <w:t> and </w:t>
      </w:r>
      <w:r>
        <w:rPr>
          <w:rFonts w:ascii="Times New Roman" w:hAnsi="Times New Roman"/>
          <w:i/>
          <w:sz w:val="20"/>
        </w:rPr>
        <w:t>Comparison of Shareholder Rights</w:t>
      </w:r>
      <w:r>
        <w:rPr>
          <w:rFonts w:ascii="Times New Roman" w:hAnsi="Times New Roman"/>
          <w:sz w:val="20"/>
        </w:rPr>
        <w:t xml:space="preserve">. Any provision of the Articles of Association that has the effect of delaying or preventing a change in control could limit the opportunity for shareholders to receive a premium for their shares of our share capital and could also affect the price that some investors are willing to pay for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foreign private issuer and, as a result, not subject to U.S. proxy rules and are subject to Exchange Act reporting obligations that, to some extent, are more lenient and less frequent than those of a U.S. domestic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We report under the Exchange Act as a non-U.S. company with foreign private issuer status. Because we qualify as a foreign private issuer under the Exchange Act, we are exempt from certain provisions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and as permitted by the listing requirements of Nasdaq, we have the option to follow certain home country governance practices rather than the corporate governance requirements of Nasdaq.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As a result, in accordance with Nasdaq Listing Rule 5615(a)(3), we may choose, and have chosen, to comply with home country governance requirements and certain exemptions thereunder rather than complying with certain of the corporate governance requirements of the Nasdaq. </w:t>
      </w:r>
    </w:p>
    <w:p>
      <w:pPr>
        <w:pStyle w:val="TextBody"/>
        <w:bidi w:val="0"/>
        <w:spacing w:before="240" w:after="0"/>
        <w:jc w:val="left"/>
        <w:rPr>
          <w:rFonts w:ascii="Times New Roman" w:hAnsi="Times New Roman"/>
          <w:sz w:val="20"/>
        </w:rPr>
      </w:pPr>
      <w:r>
        <w:rPr>
          <w:rFonts w:ascii="Times New Roman" w:hAnsi="Times New Roman"/>
          <w:sz w:val="20"/>
        </w:rPr>
        <w:t xml:space="preserve">Swiss law does not require that a majority of our board of directors consist of independent directors. Its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 </w:t>
      </w:r>
    </w:p>
    <w:p>
      <w:pPr>
        <w:pStyle w:val="TextBody"/>
        <w:bidi w:val="0"/>
        <w:spacing w:before="240" w:after="0"/>
        <w:jc w:val="left"/>
        <w:rPr>
          <w:rFonts w:ascii="Times New Roman" w:hAnsi="Times New Roman"/>
          <w:sz w:val="20"/>
        </w:rPr>
      </w:pPr>
      <w:r>
        <w:rPr>
          <w:rFonts w:ascii="Times New Roman" w:hAnsi="Times New Roman"/>
          <w:sz w:val="20"/>
        </w:rPr>
        <w:t xml:space="preserve">Although Swiss law also requires that we set up a remuneration committee, we may follow home country requirements with respect to such committee. Among other things, Swiss law does not require that all or a majority of the remuneration committee consist of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We may also choose to take advantage of other exemptions including but not limited to the exemption from the requirement to obtain shareholder approval for certain issuances of securities, including shareholder approval of share option plans. </w:t>
      </w:r>
    </w:p>
    <w:p>
      <w:pPr>
        <w:pStyle w:val="TextBody"/>
        <w:bidi w:val="0"/>
        <w:spacing w:before="240" w:after="0"/>
        <w:jc w:val="left"/>
        <w:rPr>
          <w:rFonts w:ascii="Times New Roman" w:hAnsi="Times New Roman"/>
          <w:sz w:val="20"/>
        </w:rPr>
      </w:pPr>
      <w:r>
        <w:rPr>
          <w:rFonts w:ascii="Times New Roman" w:hAnsi="Times New Roman"/>
          <w:sz w:val="20"/>
        </w:rPr>
        <w:t xml:space="preserve">Our articles of association provide for an independent proxy elected by its shareholders, who may represent its shareholders of record at a general meeting of shareholders, and it must provide shareholders of record with an agenda and other relevant documents for the general meeting of shareholders. However, Swiss law does not have a regulatory regime for the solicitation of proxies, thus our practice may vary from the requirement of Nasdaq Listing Rule 5620(b), which sets forth certain requirements regarding the solicitation of proxies. 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w:t>
      </w:r>
    </w:p>
    <w:p>
      <w:pPr>
        <w:pStyle w:val="TextBody"/>
        <w:bidi w:val="0"/>
        <w:spacing w:before="240" w:after="0"/>
        <w:jc w:val="left"/>
        <w:rPr>
          <w:rFonts w:ascii="Times New Roman" w:hAnsi="Times New Roman"/>
          <w:sz w:val="20"/>
        </w:rPr>
      </w:pPr>
      <w:r>
        <w:rPr>
          <w:rFonts w:ascii="Times New Roman" w:hAnsi="Times New Roman"/>
          <w:sz w:val="20"/>
        </w:rPr>
        <w:t>For an overview of our corporate governance principles, please see the section entitled </w:t>
      </w:r>
      <w:r>
        <w:rPr>
          <w:rFonts w:ascii="Times New Roman" w:hAnsi="Times New Roman"/>
          <w:i/>
          <w:sz w:val="20"/>
        </w:rPr>
        <w:t>Corporate Governance</w:t>
      </w:r>
      <w:r>
        <w:rPr>
          <w:rFonts w:ascii="Times New Roman" w:hAnsi="Times New Roman"/>
          <w:sz w:val="20"/>
        </w:rPr>
        <w:t xml:space="preserve">. As a result of the above, you may not have the same protections afforded to shareholders of companies that are not foreign private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which would then require us to comply with the domestic reporting requirements of the Exchange Act and cause us to incur significant legal, accounting and other expenses.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and therefore are not required to comply with all of the periodic disclosure and current reporting requirements of the Exchange Act applicable to U.S. domestic issuers. In order to maintain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status as a foreign private issuer, either (i) a majority of its ordinary shares must be either directly or indirectly owned of record by non-residents of the United States; or (ii) (a) a majority of its executive officers or directors may not be United States citizens or residents, (b) more than 50% of its assets cannot be located in the United States and (c) its business must be administered principally outside the United States. If it lost this status, it would be required to comply with the Exchange Act reporting and other requirements applicable to U.S. domestic issuers, which are more detailed and extensive than the requirements for foreign private issuers. Among other things, we would be required under current SEC rules to prepare its financial statements in accordance with generally accepted accounting principles in the United States, rather than IFRS, which would involve significant time and cost and could result in variations, which could be material, between historical financial results reported under IFRS and as reported under US GAAP. It may also be required to make changes in its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it would incur as a foreign private issuer. As a result, we expect that a loss of foreign private issuer status would increase our legal and financial compliance costs and would make some activities highly time-consuming and costly. If it loses its foreign private issuer status and is unable to devote adequate funding and the resources needed to maintain compliance with U.S. securities laws, while continuing its operations, we could be forced to deregister with the SEC. A deregistration would substantially reduce or effectively terminate the trading of its securities in the United States. We also expect that if we were required to comply with the rules and regulations applicable to U.S. domestic issuers, it would make it more difficult and expensive for it to obtain director and officer liability insurance, and it may be required to accept reduced coverage or incur substantially higher costs to obtain coverage. These rules and regulations could also make it more difficult for us to attract and retain qualified members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authorities may challenge EBACs tax residency, which could adversely affect our tax burden and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EBAC registered as a resident of Switzerland for Swiss tax purposes as of October 2022 and has deregistered as a taxpayer for Dutch corporate income tax and Dutch dividend withholding tax purposes, but no confirmation has been obtained from the Dutch tax authorities that EBAC is no longer considered a Dutch tax resident. EBACs tax residency primarily depends upon EBACs place of effective management, which is a question of fact based on all circumstances. Because the determination of EBACs residency is highly fact sensitive, no assurance can be given regarding the definitive determination of EBACs tax residency. If the Dutch tax authorities were to assert that EBAC continues to be a tax resident of the Netherlands, the Dutch tax authorities may seek to impose Dutch corporate income tax in respect of any income or gains realized by EBAC and/or Dutch dividend withholding tax in respect of any distributions made by or on behalf of EBAC (including the payment of the EBAC Share Redemption Amount to the extent that it exceeds the aggregate recognized paid-in capital per redeemed share). If the Dutch tax authorities would be successful in such assertion, this could affect our tax burden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We urge our shareholders to consult with their legal and tax advisors with respect to the potential tax consequences of investing in or holding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result of changes in tax laws, treaties, rulings, regulations or agreements, or their interpretation, of Switzerland or any other country in which we operate, the loss of a major tax dispute or a successful challenge to our operating structure, intercompany pricing policies or the taxable presence of our key subsidiaries in certain countries, or other factors, our effective income tax rates may increase in the future, which could adversely affect our net income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We operate in multiple jurisdictions and our profits are taxed pursuant to the tax laws of these jurisdictions. The tax laws applicable to our business activities, however, are subject to changes in interpretation. Our tax position could be adversely impacted by changes in tax rates, tax laws, tax practice, tax treaties or tax regulations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changes in the interpretation thereof by the tax authorities in jurisdictions in which we do business. Our effective income tax rate may be affected by changes in or interpretations of tax laws, treaties, rulings, regulations or agreements in any given jurisdiction, the resolution of issues arising from any future tax audits with various tax authorities, utilization of net operating loss and tax credit carryforwards, changes in geographical allocation of income and expense, and changes in managements assessment of matters such as the realizability of deferred tax assets. In the past, we have experienced fluctuations in our effective income tax rate. Our actual tax rate may vary from our expectation and that variance may be material. Our effective income tax rate in a given fiscal year reflects a variety of factors that may not be present in the succeeding fiscal year or years. There is no assurance that our effective income tax rate will not change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We file Swiss and non-Swiss tax returns. We are subject to tax audits, examinations and assessments in various jurisdictions. If any tax authority successfully challenges our operational structure, allocation of income by tax jurisdiction, or amounts paid between our affiliated companies pursuant to our intercompany arrangements or transfer pricing policies, if any tax authority successfully asserts that we are subject to income, withholding or other taxes in a jurisdiction by reason of our activities and operations or our other taxable presence in such jurisdiction, if the terms of certain income tax treaties are interpreted in a manner that is adverse to our structure, or if we lose a material tax dispute in any country, our effective income tax rate could increase. A tax authority may take the position that material income or other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which could adversely affect our profitability. If our effective income tax rate increases in future periods, our net income and cash flows could be adversely affected, including in future tax years. </w:t>
      </w:r>
    </w:p>
    <w:p>
      <w:pPr>
        <w:pStyle w:val="TextBody"/>
        <w:bidi w:val="0"/>
        <w:spacing w:before="240" w:after="0"/>
        <w:jc w:val="left"/>
        <w:rPr>
          <w:rFonts w:ascii="Times New Roman" w:hAnsi="Times New Roman"/>
          <w:sz w:val="20"/>
        </w:rPr>
      </w:pPr>
      <w:r>
        <w:rPr>
          <w:rFonts w:ascii="Times New Roman" w:hAnsi="Times New Roman"/>
          <w:sz w:val="20"/>
        </w:rPr>
        <w:t xml:space="preserve">Due to the Swiss corporate tax law reform that took effect on January 1, 2020, all Swiss cantons, including the Canton of Vaud, the Canton to which we will move our headquarters in the near future, have abolished the cantonal tax privileges. Therefore, since January 1, 2020, we are subject to standard cantonal taxation. The standard effective corporate tax rate in Lausanne, Canton of Vaud, can change from time to time. The standard combined (federal, cantonal, communal) effective corporate income tax rate, except for dividend income for which we could claim a participation exemption, for 2022 in Vaud will be approximately 13.79%. The Federal Counsel of Switzerland has submitted on 23 June 2022 a proposal for a minimum tax of 15 percent for groups of companies with annual sales of at least 750 million euros on the basis of an internationally standardized assessment base. This proposal would implement the so-called GloBE rules (Global Anti-Base Erosion Rules) of the OECD. The minimum tax rate must be achieved in each country. Switzerland plans to implement these rules with a supplementary direct tax to become effective on January 1, 2024, whichif adoptedwill result in a minimum tax rate of 15 percent on large corporate groups that achieve a worldwide turnover of at least 750 million euros. </w:t>
      </w:r>
    </w:p>
    <w:p>
      <w:pPr>
        <w:pStyle w:val="TextBody"/>
        <w:bidi w:val="0"/>
        <w:spacing w:before="240" w:after="0"/>
        <w:jc w:val="left"/>
        <w:rPr>
          <w:rFonts w:ascii="Times New Roman" w:hAnsi="Times New Roman"/>
          <w:sz w:val="20"/>
        </w:rPr>
      </w:pPr>
      <w:r>
        <w:rPr>
          <w:rFonts w:ascii="Times New Roman" w:hAnsi="Times New Roman"/>
          <w:sz w:val="20"/>
        </w:rPr>
        <w:t xml:space="preserve">We urge our shareholders to consult with their legal and tax advisors with respect to the potential tax consequences of investing in or holding the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rate fluctuations or abandonment of the euro currency may materially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international scope of our operations, our assets, earnings and cash flows are influenced by movements in exchange rates of several currencies, particularly regarding U.S. dollars, euros, and Swiss francs. Our functional currency is the Swiss franc and the majority of our operating expenses are paid in Swiss francs. Further, potential future revenue may be derived from abroad, particularly from the United States and the European Union. As a result, our business and share price may be affected by fluctuations in foreign exchange rates between the Swiss franc, the euro, the U.S. dollar and these other currencies, which may also have a significant impact on our reported results of operations and cash flows from period to period. Besides our natural hedging, currently, we do not have any exchange rate hedging arrangements in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possible abandonment of the euro by one or more members of the European Union could materially affect our business in the future. Despite measures taken by the European Union to provide funding to certain European Union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European Union member states, or in more extreme circumstances, the abandonment of the euro or the dissolution of the European Union. The effects on our business of a potential dissolution of the European Union, the exit of one or more European Union member states from the European Union or the abandonment of the euro as a currency, are impossible to predict with certainty, and any such events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our Ordinary Shares and Warrants and our Status as a Public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and will incur increased costs as a result of operating as a public company, and our management will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We have and will incur significant legal, accounting and other expenses that it did not incur as a private company, and these expenses may increase even more if and when we are no longer an emerging growth company, as defined in Section 2(a) of the Securities Act. As a public company, we are subject to the reporting requirements of the Exchange Act, the Sarbanes-Oxley Act, the Dodd-Frank Wall Street Reform and Consumer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The increased costs have and will increase our net loss. For example, we expect these rules and regulations to make it more difficult and more expensive for us to obtain director and officer liability insurance and we may be forced to accept reduced policy limits or incur substantially higher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on our board advisors or as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limited experience in operating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have limited experience in the management of a publicly traded company. Our management team may not successfully or effectively manage the transition to a public company that will be subject to significant regulatory oversight and reporting obligations under federal securities laws. Their limited experience in dealing with the increasingly complex laws pertaining to public companies could be a disadvantage in that it is likely that an increasing amount of their time may be devoted to these activities. This in turn may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and trading volume of our ordinary shares and warrants may be volatile and could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stock markets, including Nasdaq, on which our ordinary shares and warrants are listed under the symbols OCS and OCSAW, respectively, have from time to time experienced significant price and volume fluctuations. The market price of ordinary shares and Warrants may be volatile and could decline significantly. In addition,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trading volume in ordinary shares and Warrants may fluctuate and cause significant price variations to occur. Additionally, any substantial amount of trading or sales in ordinary shares could make it difficult for us to raise capital through the issuance of debt or equity securities in the future. Generally, securities of biopharmaceutical companies tend to be volatile and experience significant price and volume fluctuations. We cannot assure you that the market price of the ordinary shares and Warrants will not fluctuate widely or decline significantly in the future in response to a number of factors, including, among others,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realization of any of the risk factors presented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differences in our estimates, or in the estimates of analysts, for our revenues, results of operations, liquidity or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and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requirements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the Sarbanes-Oxley Act or other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issuances, sales or resales, or anticipated issuances, sales or resales, of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market valuations of other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broad disruptions in the financial markets, including sudden disruptions in the credit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and adverse impact of the COVID-19 pandemic on the markets and the broader global economy;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in the press or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potential or perceived control, accounting or reporting problems;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and guidelines.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past, securities class-action litigation has often been instituted against companies following periods of volatility in the market price of their shares. This type of litigation could result in substantial costs and divert our managements attention and resources, which could have a material adverse effect on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issue additional ordinary shares, including under our management incentive plan. Any such issuances would dilute the interest of our shareholders and likely present other risks. </w:t>
      </w:r>
    </w:p>
    <w:p>
      <w:pPr>
        <w:pStyle w:val="TextBody"/>
        <w:bidi w:val="0"/>
        <w:spacing w:before="120" w:after="0"/>
        <w:jc w:val="left"/>
        <w:rPr>
          <w:rFonts w:ascii="Times New Roman" w:hAnsi="Times New Roman"/>
          <w:sz w:val="20"/>
        </w:rPr>
      </w:pPr>
      <w:r>
        <w:rPr>
          <w:rFonts w:ascii="Times New Roman" w:hAnsi="Times New Roman"/>
          <w:sz w:val="20"/>
        </w:rPr>
        <w:t xml:space="preserve">We expect to issue a substantial number of ordinary shares, including under the Stock Option and Incentive Plan </w:t>
      </w:r>
    </w:p>
    <w:p>
      <w:pPr>
        <w:pStyle w:val="TextBody"/>
        <w:bidi w:val="0"/>
        <w:spacing w:before="0" w:after="0"/>
        <w:jc w:val="left"/>
        <w:rPr>
          <w:rFonts w:ascii="Times New Roman" w:hAnsi="Times New Roman"/>
          <w:sz w:val="20"/>
        </w:rPr>
      </w:pPr>
      <w:r>
        <w:rPr>
          <w:rFonts w:ascii="Times New Roman" w:hAnsi="Times New Roman"/>
          <w:sz w:val="20"/>
        </w:rPr>
        <w:t xml:space="preserve">Regulation 2023. </w:t>
      </w:r>
    </w:p>
    <w:p>
      <w:pPr>
        <w:pStyle w:val="TextBody"/>
        <w:bidi w:val="0"/>
        <w:spacing w:before="240" w:after="0"/>
        <w:jc w:val="left"/>
        <w:rPr>
          <w:rFonts w:ascii="Times New Roman" w:hAnsi="Times New Roman"/>
          <w:sz w:val="20"/>
        </w:rPr>
      </w:pPr>
      <w:r>
        <w:rPr>
          <w:rFonts w:ascii="Times New Roman" w:hAnsi="Times New Roman"/>
          <w:sz w:val="20"/>
        </w:rPr>
        <w:t xml:space="preserve">Ordinary shares reserved for future issuance under our management incentive plan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ordinary shares initially reserved for issuance under the 2023 </w:t>
      </w:r>
    </w:p>
    <w:p>
      <w:pPr>
        <w:pStyle w:val="TextBody"/>
        <w:bidi w:val="0"/>
        <w:spacing w:before="0" w:after="0"/>
        <w:jc w:val="left"/>
        <w:rPr>
          <w:rFonts w:ascii="Times New Roman" w:hAnsi="Times New Roman"/>
          <w:sz w:val="20"/>
        </w:rPr>
      </w:pPr>
      <w:r>
        <w:rPr>
          <w:rFonts w:ascii="Times New Roman" w:hAnsi="Times New Roman"/>
          <w:sz w:val="20"/>
        </w:rPr>
        <w:t xml:space="preserve">Plan is 7,835,544 ordinary shares. As of March 31, 2023, we have issued equity awards covering 3,716,951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Any such issuances of additional ordinary shares or securities convertible into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significantly dilute the equity interests of our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subordinate the rights of holders of ordinary shares if securities are issued with rights senior to those afforded ordinary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adversely affect prevailing market prices for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do not currently intend to pay dividends on our securities and, consequently, your ability to achieve a return on your investment will depend on appreciation in the price of the ordinary shares. In addition, Swiss law may limit the amount of dividends we are able to distribute.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any cash dividends on our ordinary shares and do not currently intend to do so for the foreseeable future. We currently intend to invest our future earnings, if any, to fund our growth. </w:t>
      </w:r>
    </w:p>
    <w:p>
      <w:pPr>
        <w:pStyle w:val="TextBody"/>
        <w:bidi w:val="0"/>
        <w:spacing w:before="240" w:after="0"/>
        <w:jc w:val="left"/>
        <w:rPr>
          <w:rFonts w:ascii="Times New Roman" w:hAnsi="Times New Roman"/>
          <w:sz w:val="20"/>
        </w:rPr>
      </w:pPr>
      <w:r>
        <w:rPr>
          <w:rFonts w:ascii="Times New Roman" w:hAnsi="Times New Roman"/>
          <w:sz w:val="20"/>
        </w:rPr>
        <w:t xml:space="preserve">Therefore, you are not likely to receive any dividends on your shares for the foreseeable future and the success of an investment in the shares will depend upon any future appreciation in its value. Consequently, investors may need to sell all or part of their holdings of the shares after price appreciation, which may never occur, as the only way to realize any future gains on their investment. There is no guarantee that the shares will appreciate in value or even maintain the price at which our shareholders have purchased them. Investors seeking cash dividends should not purchase the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exchange rate fluctuations may affect the amount of euro that we are able to distribute, and the amount in U.S. dollars that our shareholders receive upon the payment of cash dividends or other distributions we declare and pay in Swiss Francs, if any. These factors could harm the value of the shares, and, in turn, the U.S. dollar proceeds that holders receive from the sale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ordinary shares by existing shareholders could depress the market price of the ordinary shares. </w:t>
      </w:r>
    </w:p>
    <w:p>
      <w:pPr>
        <w:pStyle w:val="TextBody"/>
        <w:bidi w:val="0"/>
        <w:spacing w:before="120" w:after="0"/>
        <w:jc w:val="left"/>
        <w:rPr>
          <w:rFonts w:ascii="Times New Roman" w:hAnsi="Times New Roman"/>
          <w:sz w:val="20"/>
        </w:rPr>
      </w:pPr>
      <w:r>
        <w:rPr>
          <w:rFonts w:ascii="Times New Roman" w:hAnsi="Times New Roman"/>
          <w:sz w:val="20"/>
        </w:rPr>
        <w:t>If our existing shareholders sell, or indicate an intent to sell, substantial amounts of ordinary shares in the public market after any applicable lock-up and other legal restrictions on resale discussed in this prospectus lapse, the trading price of our ordinary shares could decline significantly and could decline below the offering price. Upon completion of this offering, based on the number of ordinary shares outstanding as of March 31, 2023, we will have 37,733,373 outstanding ordinary shares, 5,314,203 of which are subject to a contractual restriction on selling for up to 90 days, subject to customary exceptions. BofA Securities, Inc. and SVB Securities LLC may waive the lock-up agreements entered into in connection with this offering prior to the expiration thereof in their sole discretion. These shares held by our executive officers, directors and certain affiliates will be subject to volume limitations under Rule 144 under the Securities Act of 1933, as amended, or the Securities Act. See </w:t>
      </w:r>
      <w:r>
        <w:rPr>
          <w:rFonts w:ascii="Times New Roman" w:hAnsi="Times New Roman"/>
          <w:i/>
          <w:sz w:val="20"/>
        </w:rPr>
        <w:t>Underwriting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After the lock-up agreements pertaining to the Business Combination expire, 20,725,459 additional ordinary shares will be eligible for sale in the public market. See </w:t>
      </w:r>
      <w:r>
        <w:rPr>
          <w:rFonts w:ascii="Times New Roman" w:hAnsi="Times New Roman"/>
          <w:i/>
          <w:sz w:val="20"/>
        </w:rPr>
        <w:t>Shares Eligible for Future Sale</w:t>
      </w:r>
      <w:r>
        <w:rPr>
          <w:rFonts w:ascii="Times New Roman" w:hAnsi="Times New Roman"/>
          <w:sz w:val="20"/>
        </w:rPr>
        <w:t xml:space="preserve"> for a more detailed description of sales that may occur in the future. If these additional ordinary shares are sold, or if it is perceived that they will be sold, in the public market, the trading price of the ordinary shares could decline substantially.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Taxation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treated as a passive foreign investment company for any taxable year, U.S. investors could be subject to adverse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A non-U.S. corporation generally will be treated as a passive foreign investment company (</w:t>
      </w:r>
      <w:r>
        <w:rPr>
          <w:rFonts w:ascii="Times New Roman" w:hAnsi="Times New Roman"/>
          <w:i/>
          <w:sz w:val="20"/>
        </w:rPr>
        <w:t>PFIC</w:t>
      </w:r>
      <w:r>
        <w:rPr>
          <w:rFonts w:ascii="Times New Roman" w:hAnsi="Times New Roman"/>
          <w:sz w:val="20"/>
        </w:rPr>
        <w:t xml:space="preserve">)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Assuming that the First Merger and the Second Merger, taken together, qualified as a reorganization under Section 368(a)(1)(F) of the Code, we will be treated as the successor to EBAC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including for purposes of the PFIC rules. Since EBAC was a blank-check company with no current active business, based upon the composition of EBACs income and assets, we believe that EBAC was a PFIC for the taxable year ended December 31, 2022. If EBAC was a PFIC for the taxable year ended December 31, 2022, we will also be a PFIC for the same taxable year. However, our PFIC status for the taxable year ended December 31, 2022, does not take into account the impact of the Oculis Share Contribution and may not be indicative of our PFIC status for our current taxable year. We have not yet determined our PFIC status for the taxable year ending December 31, 2023 and cannot do so definitely until the close of the 2023 tax year.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cash raised in this offering and from other sources as well as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PFIC status for any taxable year, and our U.S. counsel expresses no opinion with respect to our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If we are treated as a PFIC, U.S. investors may be subject to certain adverse U.S. federal income tax consequences, including additional reporting requirements. See </w:t>
      </w:r>
      <w:r>
        <w:rPr>
          <w:rFonts w:ascii="Times New Roman" w:hAnsi="Times New Roman"/>
          <w:i/>
          <w:sz w:val="20"/>
        </w:rPr>
        <w:t>Material U.S. Federal Income Tax ConsiderationsPassive Foreign Investment Company Rules</w:t>
      </w:r>
      <w:r>
        <w:rPr>
          <w:rFonts w:ascii="Times New Roman" w:hAnsi="Times New Roman"/>
          <w:sz w:val="20"/>
        </w:rPr>
        <w:t xml:space="preserve"> for a more detailed discussion of the PFIC rules. U.S. investors should consult their tax advisors regarding the application of the PFIC rules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tax laws in any of the jurisdictions in which we operate, including new proposals on taxing digital companies and the ongoing work by the Organization for Economic Co-operation and Development, could have a material adverse effect on our business, operating results,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Tax laws, including tax rates, in the jurisdictions in which we operate may change as a result of macroeconomic or other factors outside of our control. New income, sales, use, or other tax laws, statutes, rules, regulations, or ordinances could be enacted at any time, which could affect the tax treatment of our domestic and foreign earnings. For instance, the Inflation Reduction Act of 2022 (the IRA) imposes, among other rules, a 15% minimum tax on the book income of certain large corporations and a 1% excise tax on certain corporate stock repurchases. </w:t>
      </w:r>
    </w:p>
    <w:p>
      <w:pPr>
        <w:pStyle w:val="TextBody"/>
        <w:bidi w:val="0"/>
        <w:spacing w:before="240" w:after="0"/>
        <w:jc w:val="left"/>
        <w:rPr>
          <w:rFonts w:ascii="Times New Roman" w:hAnsi="Times New Roman"/>
          <w:sz w:val="20"/>
        </w:rPr>
      </w:pPr>
      <w:r>
        <w:rPr>
          <w:rFonts w:ascii="Times New Roman" w:hAnsi="Times New Roman"/>
          <w:sz w:val="20"/>
        </w:rPr>
        <w:t xml:space="preserve">Our tax treatment may also be impacted by tax policy initiatives and reforms such as the Base Erosion and Profit Shifting (BEPS) Project (including BEPS 2.0) of the Organization for Economic Co-operation and Development (the OECD) and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BEPS, which includes the reallocation of global profits of large multinational companies to market jurisdictions based on customer location as well as the introduction of a global minimum </w:t>
      </w:r>
    </w:p>
    <w:p>
      <w:pPr>
        <w:pStyle w:val="TextBody"/>
        <w:bidi w:val="0"/>
        <w:spacing w:before="0" w:after="0"/>
        <w:jc w:val="left"/>
        <w:rPr>
          <w:rFonts w:ascii="Times New Roman" w:hAnsi="Times New Roman"/>
          <w:sz w:val="20"/>
        </w:rPr>
      </w:pPr>
      <w:r>
        <w:rPr>
          <w:rFonts w:ascii="Times New Roman" w:hAnsi="Times New Roman"/>
          <w:sz w:val="20"/>
        </w:rPr>
        <w:t xml:space="preserve">tax. Many of the packages proposed measures require amendments to the domestic tax legislation of various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Changes in tax laws, treaties, or regulations or their interpretation or enforcement are unpredictable. Any of these occurrences could have a material adverse effect on our business, operating results, and financial condition, including changing the amount and recognition of our deferred tax assets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or any of our subsidiaries is treated as a controlled foreign corporation, certain U.S. investors could be subject to adverse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Generally, under the Code, if a U.S. investor owns or is treated as owning, directly, indirectly, or constructively, 10% or more of the total value or total combined voting power of our stock, the U.S. investor may be treated as a Ten Percent United States shareholder with respect to each controlled foreign corporation (</w:t>
      </w:r>
      <w:r>
        <w:rPr>
          <w:rFonts w:ascii="Times New Roman" w:hAnsi="Times New Roman"/>
          <w:i/>
          <w:sz w:val="20"/>
        </w:rPr>
        <w:t>CFC</w:t>
      </w:r>
      <w:r>
        <w:rPr>
          <w:rFonts w:ascii="Times New Roman" w:hAnsi="Times New Roman"/>
          <w:sz w:val="20"/>
        </w:rPr>
        <w:t xml:space="preserve">) in our corporate structure, if any. A non-U.S. corporation generally will be a CFC if Ten Percent United States shareholders own, directly, indirectly, or constructively, 50% or more of the total value or total combined voting power of the stock of such corporation. The determination of CFC status is complex and includes certain downward attribution rules, pursuant to which our non-U.S. subsidiaries may be treated as constructively own by our U.S. subsidiaries. Because our corporate structure includes a U.S. corporate subsidiary, the downward attribution rules may cause any non-U.S. subsidiaries, including any that we form or acquire in the future, to be treated as controlled foreign corporations. Because our corporate structure includes a U.S. corporate subsidiary, our non-U.S. corporate subsidiaries, including any non-U.S. corporate subsidiaries that may be formed or acquired in the future, will be treated as CFCs, regardless of whether we are treated as a CFC. A Ten Percent United States shareholder of a CFC may be required to annually report and include in its U.S. taxable income its pro rata share of the CFCs Subpart F income, global intangible low-taxed income, and investments of earnings in U.S. property, regardless of whether the CFC makes any distributions to its shareholders. Furthermore, an individual Ten Percent United States shareholder with respect to a CFC generally will not be allowed certain tax deductions and foreign tax credits that are allowed to a corporate Ten Percent United States shareholder. Failure to comply with CFC reporting obligations may also subject a Ten Percent United States shareholder to significant penalties, preventing the statute of limitations with respect to such Ten Percent United States shareholders U.S. federal income tax return for the year for which reporting was due from starting. There can be no assurance that the Company will provide to any Ten Percent United States shareholder information that may be necessary for the Ten Percent United States shareholder to comply with its CFC reporting and tax paying obligations. U.S. investors should consult their tax advisors regarding the application of the CFC rules in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We will have broad discretion in the application of the net proceeds that we receive from this offering as well as of our existing cash and cash equivalents, and we may spend or invest these funds in a way with which our shareholders disagree. Our failure to apply these funds effectively could harm our business and financial condition. Pending their use, we may invest the net proceeds from the offering in a manner that does not produce income or that loses value. These investments may not yield a favorable return to our investors.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ordinary shares in this offering, you will experience substantial and immediate dilution. </w:t>
      </w:r>
    </w:p>
    <w:p>
      <w:pPr>
        <w:pStyle w:val="TextBody"/>
        <w:bidi w:val="0"/>
        <w:spacing w:before="120" w:after="0"/>
        <w:jc w:val="left"/>
        <w:rPr>
          <w:rFonts w:ascii="Times New Roman" w:hAnsi="Times New Roman"/>
          <w:sz w:val="20"/>
        </w:rPr>
      </w:pPr>
      <w:r>
        <w:rPr>
          <w:rFonts w:ascii="Times New Roman" w:hAnsi="Times New Roman"/>
          <w:sz w:val="20"/>
        </w:rPr>
        <w:t>If you purchase ordinary shares in this offering, you will experience substantial and immediate dilution of $7.73 per ordinary share in net tangible book value as of December 31, 2022 after giving effect to the offering at the offering price of $11.50 per ordinary share because the price that you pay will be substantially greater than the net tangible book value per ordinary share that you acquire. This dilution is due in large part to the fact that our earlier investors paid substantially less than the offering price when they purchased their ordinary shares. You will experience additional dilution upon exercise of any outstanding equity awards or warrants, or if we otherwise issue additional ordinary shares below the offering price. For a further description of the dilution that you will experience immediately after this offering, see </w:t>
      </w:r>
      <w:r>
        <w:rPr>
          <w:rFonts w:ascii="Times New Roman" w:hAnsi="Times New Roman"/>
          <w:i/>
          <w:sz w:val="20"/>
        </w:rPr>
        <w:t>Dilution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future, we may issue additional ordinary shares or other equity or debt securities convertible into ordinary shares, or seek additional capital through a variety of means, including public or private equity. Any such issuance or financings could result in substantial dilution to our existing securityholders and could cause the price of our ordinary shares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or cease publishing research or reports about Oculis, its business, or its market, or if they change their recommendations regarding ordinary shares adversely, then the price and trading volume of ordinary shares could decline. </w:t>
      </w:r>
    </w:p>
    <w:p>
      <w:pPr>
        <w:pStyle w:val="TextBody"/>
        <w:bidi w:val="0"/>
        <w:spacing w:before="240" w:after="0"/>
        <w:jc w:val="left"/>
        <w:rPr>
          <w:rFonts w:ascii="Times New Roman" w:hAnsi="Times New Roman"/>
          <w:sz w:val="20"/>
        </w:rPr>
      </w:pPr>
      <w:r>
        <w:rPr>
          <w:rFonts w:ascii="Times New Roman" w:hAnsi="Times New Roman"/>
          <w:sz w:val="20"/>
        </w:rPr>
        <w:t xml:space="preserve">The trading market for ordinary shares is influenced by the research and reports that industry or securities analysts may publish about Oculis, its business, its market, or its competitors. If any of the analysts who may cover Oculis change their recommendation regarding ordinary shares adversely, cease to provide coverage or provide more favorable relative recommendations about Oculis competitors, the price of ordinary shares would likely decline. If any analyst who may cover EBAC were to cease coverage of Oculis or fail to regularly publish reports on it, Oculis could lose visibility in the financial markets, which could cause the ordinary share price or trading volume to decline.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JOBS Act permits emerging growth companies like Oculis to take advantage of certain exemptions from various reporting requirements applicable to other public companies that are not emerging growth companies, which may make our ordinary shares less attractive to investors. </w:t>
      </w:r>
    </w:p>
    <w:p>
      <w:pPr>
        <w:pStyle w:val="TextBody"/>
        <w:bidi w:val="0"/>
        <w:spacing w:before="240" w:after="0"/>
        <w:jc w:val="left"/>
        <w:rPr>
          <w:rFonts w:ascii="Times New Roman" w:hAnsi="Times New Roman"/>
          <w:sz w:val="20"/>
        </w:rPr>
      </w:pPr>
      <w:r>
        <w:rPr>
          <w:rFonts w:ascii="Times New Roman" w:hAnsi="Times New Roman"/>
          <w:sz w:val="20"/>
        </w:rPr>
        <w:t xml:space="preserve">Oculis currently qualifies as an emerging growth company as defined in Section 2(a)(19) of the Securities Act, as modified by the Jumpstart Its Business Startups Act of 2012, which is referred to as the JOBS Act. As such, Oculis takes advantage of certain exemptions from various reporting requirements applicable to other public companies that are not emerging growth companies for as long as it continues to be an emerging growth company, including the exemption from the auditor attestation requirements with respect to internal control over financial reporting under Section 404 of the Sarbanes-Oxley Act. As a result, Oculis shareholders may not have access to certain information they deem important. </w:t>
      </w:r>
    </w:p>
    <w:p>
      <w:pPr>
        <w:pStyle w:val="TextBody"/>
        <w:bidi w:val="0"/>
        <w:spacing w:before="240" w:after="0"/>
        <w:jc w:val="left"/>
        <w:rPr>
          <w:rFonts w:ascii="Times New Roman" w:hAnsi="Times New Roman"/>
          <w:sz w:val="20"/>
        </w:rPr>
      </w:pPr>
      <w:r>
        <w:rPr>
          <w:rFonts w:ascii="Times New Roman" w:hAnsi="Times New Roman"/>
          <w:sz w:val="20"/>
        </w:rPr>
        <w:t xml:space="preserve">Oculis cannot predict if investors will find ordinary shares less attractive because it relies on these exemptions. If some investors find ordinary shares less attractive as a result, there may be a less active trading market and share price for ordinary shares may be more volatile. Oculis may incur increased legal, accounting and compliance costs associated with Section 404 of the Sarbanes-Oxley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rom394147_4"/>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Some of the statements in this prospectus constitute forward-looking statements that do not directly or exclusively relate to historical facts. You should not place undue reliance on such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are often, but not always, made through the use of words or phrases such as believe, anticipate, could, may, would, should, intend, plan, potential, predict, will, expect, estimate, project, positioned, strategy, outlook and similar expressions. All such forward- 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our ordinary shares on the Nasdaq Global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timing and expected outcomes of clinical trials, preclinical studies, regulatory submissions and approvals, as well as commercial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benefits of our business and scientific approach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safety and efficacy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develop, advance and commercialize our pipeline of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and profitability of our collaborations and partnerships, our ability to maintain current collaborations and partnerships and enter into new collaborations and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related to future milestone and royalty payments and other economic terms under our collaborations and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regarding future revenue, expenses, capital requirements, financial condition, and need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market opportunity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increased competition as well as innovations by new and existing competitors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strategic advantages and the impact those advantages may have on future financial and operational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expansion plans and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our business in a cost-effective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and not infringe on the rights of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COVID-19 pandemic, macroeconomic factors and other global events, such as the Russia-Ukraine conflict,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known and unknown litigation and regulatory proceedings;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expected use of proceeds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in deciding to invest in our securities. As a result of a number of known and unknown risks and uncertainties, our actual results or performance may be materially different from those expressed or implied by these forward-looking statements. Some factors that could cause actual results to differ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or regulatory proceedings, including any legal proceedings that may be instituted against us regarding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the ordinary shares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consummation of the Business Combination and related transactions disrupts our current plans and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anticipated benefits of the Business Combination, which may be affected by, among other things, competition and our ability to grow and manage growth profitably following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may never achieve or sustain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will need to raise additional capital to execute our business plan, which may not be available on acceptable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experience difficulties in managing our growth and expanding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competition on our future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position in the market against current and future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expansion into new products, services, technologies or geographic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implement business plans, forecasts, and other expectations, and identify and realize additional opportunities and to continue as a going concern;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downturns and the possibility of rapid change in the highly competitive industry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us and our current and future commercial partners are unable to successfully develop, seek marketing approval for, and commercialize our products or services, or experience significant delays in doing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we are unable to secure or protect its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estimated growth of the industry does not occur, or does not occur at the rates or timing we have assumed based on third-party estimates and its own internal analyses;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COVID-19 pandemic, macroeconomic factors and other global events, such as the Russia-Ukraine conflict, on Oculis business on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described in this prospectus, including those under the section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rom394147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issuance and the sale of 3,500,000 shares of our ordinary shares in this offering will be approximately $36.6 million, based on the public offering price of $11.50 per share, after deducting underwriting discounts and commissions and estimated offering expenses payable by us. If the underwriters exercise their option to purchase 525,000 additional shares in full, we estimate that the net proceeds to us would be approximately $42.2 million,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and cash equivalents,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approximately $25 million for OCS-01 NDA enabling activities, including its DME development candidate;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remaining amounts to fund our development programs and for working capital and general corporate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use a portion of the net proceeds we receive from this offering to invest in or acquire businesses, products and technologies including obtaining intellectual property rights. While we are continuously and actively evaluating such opportunities, we do not have any binding agreements or commitments for any material acquisitions at this time. </w:t>
      </w:r>
    </w:p>
    <w:p>
      <w:pPr>
        <w:pStyle w:val="TextBody"/>
        <w:bidi w:val="0"/>
        <w:spacing w:before="240" w:after="0"/>
        <w:jc w:val="left"/>
        <w:rPr>
          <w:rFonts w:ascii="Times New Roman" w:hAnsi="Times New Roman"/>
          <w:sz w:val="20"/>
        </w:rPr>
      </w:pPr>
      <w:r>
        <w:rPr>
          <w:rFonts w:ascii="Times New Roman" w:hAnsi="Times New Roman"/>
          <w:sz w:val="20"/>
        </w:rPr>
        <w:t xml:space="preserve">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 uses described above, we may invest the net proceeds from this offering in short and intermediate term interest-bearing obligations, investment-grade instruments, certificates of deposit or direct or guaranteed obligations of the United States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rom394147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cash dividends on the ordinary shares to date and do not intend to pay cash dividends for the foreseeable future. Dividends may be paid only if we have sufficient distributable profit from previous years or sufficient free reserves to allow the distribution of a dividend. Swiss law requires that we retain at least 5% of our annual net profit as general reserves for so long as these reserves together with our capital reserves amount to less than 20% of our nominal share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394147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December 31, 2022: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basis to give effect to the Business Combination, PIPE Financing and Convertible Loan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pro forma as adjusted basis to give effect to the pro forma adjustments describe above as well as the issuance and sale of 3,500,000 ordinary shares in this offering at the offering price of $11.50 per share, and an exchange rate of $1.00 = CHF 0.92341, the exchange rate on December 31, 2022, after deducting underwriting discounts and commissions and estimated offering expenses payable by us. </w:t>
            </w:r>
          </w:p>
        </w:tc>
      </w:tr>
    </w:tbl>
    <w:p>
      <w:pPr>
        <w:pStyle w:val="TextBody"/>
        <w:bidi w:val="0"/>
        <w:spacing w:before="240" w:after="0"/>
        <w:jc w:val="left"/>
        <w:rPr>
          <w:rFonts w:ascii="Times New Roman" w:hAnsi="Times New Roman"/>
          <w:sz w:val="20"/>
        </w:rPr>
      </w:pPr>
      <w:r>
        <w:rPr>
          <w:rFonts w:ascii="Times New Roman" w:hAnsi="Times New Roman"/>
          <w:sz w:val="20"/>
        </w:rPr>
        <w:t>Our capitalization following this offering will be adjusted based on the actual offering price and other terms of the offering determined at pricing. The table should be read in conjunction with the information contained in </w:t>
      </w:r>
      <w:r>
        <w:rPr>
          <w:rFonts w:ascii="Times New Roman" w:hAnsi="Times New Roman"/>
          <w:i/>
          <w:sz w:val="20"/>
        </w:rPr>
        <w:t>Use of Proceeds</w:t>
      </w:r>
      <w:r>
        <w:rPr>
          <w:rFonts w:ascii="Times New Roman" w:hAnsi="Times New Roman"/>
          <w:sz w:val="20"/>
        </w:rPr>
        <w:t>, </w:t>
      </w:r>
      <w:r>
        <w:rPr>
          <w:rFonts w:ascii="Times New Roman" w:hAnsi="Times New Roman"/>
          <w:i/>
          <w:sz w:val="20"/>
        </w:rPr>
        <w:t>Unaudited Pro Forma Condensed Combined Financial Information</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as well as our consolidated financial statements and the related notes included elsewhere in this prospectus.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836"/>
        <w:gridCol w:w="204"/>
        <w:gridCol w:w="60"/>
        <w:gridCol w:w="889"/>
        <w:gridCol w:w="155"/>
        <w:gridCol w:w="204"/>
        <w:gridCol w:w="73"/>
        <w:gridCol w:w="1114"/>
        <w:gridCol w:w="155"/>
        <w:gridCol w:w="204"/>
        <w:gridCol w:w="94"/>
        <w:gridCol w:w="1423"/>
        <w:gridCol w:w="161"/>
      </w:tblGrid>
      <w:tr>
        <w:trPr/>
        <w:tc>
          <w:tcPr>
            <w:tcW w:w="3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36" w:type="dxa"/>
            <w:tcBorders/>
            <w:vAlign w:val="bottom"/>
          </w:tcPr>
          <w:p>
            <w:pPr>
              <w:pStyle w:val="TableContents"/>
              <w:bidi w:val="0"/>
              <w:spacing w:before="0" w:after="283"/>
              <w:jc w:val="left"/>
              <w:rPr>
                <w:b/>
                <w:i/>
              </w:rPr>
            </w:pPr>
            <w:r>
              <w:rPr>
                <w:b/>
                <w:i/>
              </w:rPr>
              <w:t>(in CHF thousands)</w:t>
            </w:r>
          </w:p>
        </w:tc>
        <w:tc>
          <w:tcPr>
            <w:tcW w:w="204"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 As</w:t>
              <w:br/>
              <w:t>Adjusted</w:t>
            </w:r>
          </w:p>
        </w:tc>
        <w:tc>
          <w:tcPr>
            <w:tcW w:w="161"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19,786</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100,675</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134,435</w:t>
            </w:r>
          </w:p>
        </w:tc>
        <w:tc>
          <w:tcPr>
            <w:tcW w:w="161" w:type="dxa"/>
            <w:tcBorders/>
            <w:shd w:fill="CCEEFF" w:val="clear"/>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1,220</w:t>
            </w:r>
          </w:p>
        </w:tc>
        <w:tc>
          <w:tcPr>
            <w:tcW w:w="161"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attributable to equity holders of the parent</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42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362</w:t>
            </w:r>
          </w:p>
        </w:tc>
        <w:tc>
          <w:tcPr>
            <w:tcW w:w="161"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10,540</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248,352</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282,077</w:t>
            </w:r>
          </w:p>
        </w:tc>
        <w:tc>
          <w:tcPr>
            <w:tcW w:w="161"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Reserve for share-based payment</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2,771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2,771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2,771</w:t>
            </w:r>
          </w:p>
        </w:tc>
        <w:tc>
          <w:tcPr>
            <w:tcW w:w="161"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loss on post-employment benefit obligations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(264</w:t>
            </w:r>
          </w:p>
        </w:tc>
        <w:tc>
          <w:tcPr>
            <w:tcW w:w="161"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translation adjustments</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(300</w:t>
            </w:r>
          </w:p>
        </w:tc>
        <w:tc>
          <w:tcPr>
            <w:tcW w:w="161" w:type="dxa"/>
            <w:tcBorders/>
            <w:shd w:fill="CCEEFF" w:val="clear"/>
            <w:vAlign w:val="bottom"/>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(110,978</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(146,361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(146,361</w:t>
            </w:r>
          </w:p>
        </w:tc>
        <w:tc>
          <w:tcPr>
            <w:tcW w:w="161"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283"/>
              <w:jc w:val="right"/>
              <w:rPr/>
            </w:pPr>
            <w:r>
              <w:rPr/>
              <w:t>(97,991</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104,525</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138,285</w:t>
            </w:r>
          </w:p>
        </w:tc>
        <w:tc>
          <w:tcPr>
            <w:tcW w:w="161" w:type="dxa"/>
            <w:tcBorders/>
            <w:shd w:fill="CCEEFF" w:val="clear"/>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836"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283"/>
              <w:jc w:val="right"/>
              <w:rPr/>
            </w:pPr>
            <w:r>
              <w:rPr/>
              <w:t>(97,991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105,745</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139,505</w:t>
            </w:r>
          </w:p>
        </w:tc>
        <w:tc>
          <w:tcPr>
            <w:tcW w:w="161" w:type="dxa"/>
            <w:tcBorders/>
            <w:vAlign w:val="bottom"/>
          </w:tcPr>
          <w:p>
            <w:pPr>
              <w:pStyle w:val="TableContents"/>
              <w:bidi w:val="0"/>
              <w:spacing w:before="0" w:after="283"/>
              <w:jc w:val="left"/>
              <w:rPr/>
            </w:pPr>
            <w:r>
              <w:rPr/>
              <w:t> </w:t>
            </w:r>
          </w:p>
        </w:tc>
      </w:tr>
      <w:tr>
        <w:trPr/>
        <w:tc>
          <w:tcPr>
            <w:tcW w:w="3836"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rom394147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the ordinary shares in this offering, your ownership interest will be diluted to the extent of the difference between the offering price per ordinary share paid by you and the pro forma as adjusted net tangible book value per share after the offering. Our historical net tangible book value as of December 31, 2022 was CHF (110.2) million ($(119.3) million) based on an exchange rate of $1.00 = CHF 0.92341, the exchange rate on December 31, 2022, or CHF (33.32) ($(36.09)) per ordinary share. Net tangible book value per share is determined by dividing (i) our total assets less our intangible assets and our total liabilities by (ii) the number of our ordinary shares outstanding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Business Combination, PIPE Financing and Convertible Loan Agreements, our pro forma net tangible book value as of December 31, 2022 would have been CHF 92.3 million ($100.0 million), or CHF 2.82 ($3.05) per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After giving further effect to our sale of 3,500,000 ordinary shares in this offering at the offering price of $11.50 per share and an exchange rate of $1.00 = CHF 0.92341, the exchange rate on December 31, 2022, after deducting underwriting discounts and commissions and estimated offering expenses payable by us, our pro forma as adjusted net tangible book value as of December 31, 2022 would have been CHF 126.1 million ($136.5 million), or CHF 3.48 ($3.77) per ordinary share. This amount represents an immediate increase in net tangible book value of CHF 0.66 ($0.71) per ordinary share to our existing shareholders and an immediate dilution in net tangible book value of CHF 7.14 ($7.73) per ordinary share to new investors based on the exchange rate of $1.00 = CHF 0.92341, the exchange rate on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ordinary share basis as of December 31,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58"/>
        <w:gridCol w:w="628"/>
        <w:gridCol w:w="177"/>
        <w:gridCol w:w="1887"/>
        <w:gridCol w:w="155"/>
        <w:gridCol w:w="576"/>
        <w:gridCol w:w="177"/>
        <w:gridCol w:w="1887"/>
        <w:gridCol w:w="160"/>
      </w:tblGrid>
      <w:tr>
        <w:trPr/>
        <w:tc>
          <w:tcPr>
            <w:tcW w:w="4558" w:type="dxa"/>
            <w:tcBorders/>
            <w:vAlign w:val="center"/>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58"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left"/>
              <w:rPr/>
            </w:pPr>
            <w:r>
              <w:rPr/>
              <w:t>  </w:t>
            </w:r>
          </w:p>
        </w:tc>
        <w:tc>
          <w:tcPr>
            <w:tcW w:w="2064" w:type="dxa"/>
            <w:gridSpan w:val="2"/>
            <w:tcBorders>
              <w:bottom w:val="single" w:sz="8" w:space="0" w:color="000000"/>
            </w:tcBorders>
            <w:tcMar>
              <w:bottom w:w="28" w:type="dxa"/>
            </w:tcMar>
            <w:vAlign w:val="bottom"/>
          </w:tcPr>
          <w:p>
            <w:pPr>
              <w:pStyle w:val="TableContents"/>
              <w:bidi w:val="0"/>
              <w:spacing w:before="0" w:after="283"/>
              <w:jc w:val="center"/>
              <w:rPr/>
            </w:pPr>
            <w:r>
              <w:rPr>
                <w:b/>
              </w:rPr>
              <w:t>Per Ordinary Share</w:t>
            </w:r>
            <w:r>
              <w:rPr/>
              <w:br/>
            </w:r>
            <w:r>
              <w:rPr>
                <w:b/>
              </w:rPr>
              <w:t>(CHF)</w:t>
            </w:r>
          </w:p>
        </w:tc>
        <w:tc>
          <w:tcPr>
            <w:tcW w:w="155"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2064" w:type="dxa"/>
            <w:gridSpan w:val="2"/>
            <w:tcBorders>
              <w:bottom w:val="single" w:sz="8" w:space="0" w:color="000000"/>
            </w:tcBorders>
            <w:tcMar>
              <w:bottom w:w="28" w:type="dxa"/>
            </w:tcMar>
            <w:vAlign w:val="bottom"/>
          </w:tcPr>
          <w:p>
            <w:pPr>
              <w:pStyle w:val="TableContents"/>
              <w:bidi w:val="0"/>
              <w:spacing w:before="0" w:after="283"/>
              <w:jc w:val="center"/>
              <w:rPr/>
            </w:pPr>
            <w:r>
              <w:rPr>
                <w:b/>
              </w:rPr>
              <w:t>Per Ordinary Share</w:t>
            </w:r>
            <w:r>
              <w:rPr/>
              <w:br/>
            </w:r>
            <w:r>
              <w:rPr>
                <w:b/>
              </w:rPr>
              <w:t>(USD)</w:t>
            </w:r>
          </w:p>
        </w:tc>
        <w:tc>
          <w:tcPr>
            <w:tcW w:w="160"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62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10.62</w:t>
            </w:r>
          </w:p>
        </w:tc>
        <w:tc>
          <w:tcPr>
            <w:tcW w:w="155"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11.50</w:t>
            </w:r>
          </w:p>
        </w:tc>
        <w:tc>
          <w:tcPr>
            <w:tcW w:w="160" w:type="dxa"/>
            <w:tcBorders/>
            <w:shd w:fill="CCEEFF" w:val="clear"/>
            <w:vAlign w:val="bottom"/>
          </w:tcPr>
          <w:p>
            <w:pPr>
              <w:pStyle w:val="TableContents"/>
              <w:bidi w:val="0"/>
              <w:spacing w:before="0" w:after="283"/>
              <w:jc w:val="left"/>
              <w:rPr/>
            </w:pPr>
            <w:r>
              <w:rPr/>
              <w:t> </w:t>
            </w:r>
          </w:p>
        </w:tc>
      </w:tr>
      <w:tr>
        <w:trPr/>
        <w:tc>
          <w:tcPr>
            <w:tcW w:w="4558"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ordinary share</w:t>
            </w:r>
          </w:p>
        </w:tc>
        <w:tc>
          <w:tcPr>
            <w:tcW w:w="62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(33.32</w:t>
            </w:r>
          </w:p>
        </w:tc>
        <w:tc>
          <w:tcPr>
            <w:tcW w:w="155"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(36.09</w:t>
            </w:r>
          </w:p>
        </w:tc>
        <w:tc>
          <w:tcPr>
            <w:tcW w:w="160"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ordinary share attributable to the Business Combination, PIPE Financing and Convertible Loan Agreements</w:t>
            </w:r>
          </w:p>
        </w:tc>
        <w:tc>
          <w:tcPr>
            <w:tcW w:w="62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36.14</w:t>
            </w:r>
          </w:p>
        </w:tc>
        <w:tc>
          <w:tcPr>
            <w:tcW w:w="155"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39.14</w:t>
            </w:r>
          </w:p>
        </w:tc>
        <w:tc>
          <w:tcPr>
            <w:tcW w:w="160" w:type="dxa"/>
            <w:tcBorders/>
            <w:shd w:fill="CCEEFF" w:val="clear"/>
            <w:vAlign w:val="bottom"/>
          </w:tcPr>
          <w:p>
            <w:pPr>
              <w:pStyle w:val="TableContents"/>
              <w:bidi w:val="0"/>
              <w:spacing w:before="0" w:after="283"/>
              <w:jc w:val="left"/>
              <w:rPr/>
            </w:pPr>
            <w:r>
              <w:rPr/>
              <w:t> </w:t>
            </w:r>
          </w:p>
        </w:tc>
      </w:tr>
      <w:tr>
        <w:trPr/>
        <w:tc>
          <w:tcPr>
            <w:tcW w:w="4558"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ordinary share</w:t>
            </w:r>
          </w:p>
        </w:tc>
        <w:tc>
          <w:tcPr>
            <w:tcW w:w="62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2.82</w:t>
            </w:r>
          </w:p>
        </w:tc>
        <w:tc>
          <w:tcPr>
            <w:tcW w:w="155"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3.05</w:t>
            </w:r>
          </w:p>
        </w:tc>
        <w:tc>
          <w:tcPr>
            <w:tcW w:w="160"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ordinary share attributable to new investors participating in this offering</w:t>
            </w:r>
          </w:p>
        </w:tc>
        <w:tc>
          <w:tcPr>
            <w:tcW w:w="62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0.71</w:t>
            </w:r>
          </w:p>
        </w:tc>
        <w:tc>
          <w:tcPr>
            <w:tcW w:w="160" w:type="dxa"/>
            <w:tcBorders/>
            <w:shd w:fill="CCEEFF" w:val="clear"/>
            <w:vAlign w:val="bottom"/>
          </w:tcPr>
          <w:p>
            <w:pPr>
              <w:pStyle w:val="TableContents"/>
              <w:bidi w:val="0"/>
              <w:spacing w:before="0" w:after="283"/>
              <w:jc w:val="left"/>
              <w:rPr/>
            </w:pPr>
            <w:r>
              <w:rPr/>
              <w:t> </w:t>
            </w:r>
          </w:p>
        </w:tc>
      </w:tr>
      <w:tr>
        <w:trPr/>
        <w:tc>
          <w:tcPr>
            <w:tcW w:w="4558"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ordinary share after this offering</w:t>
            </w:r>
          </w:p>
        </w:tc>
        <w:tc>
          <w:tcPr>
            <w:tcW w:w="62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57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887" w:type="dxa"/>
            <w:tcBorders/>
            <w:vAlign w:val="bottom"/>
          </w:tcPr>
          <w:p>
            <w:pPr>
              <w:pStyle w:val="TableContents"/>
              <w:bidi w:val="0"/>
              <w:spacing w:before="0" w:after="283"/>
              <w:jc w:val="right"/>
              <w:rPr/>
            </w:pPr>
            <w:r>
              <w:rPr/>
              <w:t>3.77</w:t>
            </w:r>
          </w:p>
        </w:tc>
        <w:tc>
          <w:tcPr>
            <w:tcW w:w="160" w:type="dxa"/>
            <w:tcBorders/>
            <w:vAlign w:val="bottom"/>
          </w:tcPr>
          <w:p>
            <w:pPr>
              <w:pStyle w:val="TableContents"/>
              <w:bidi w:val="0"/>
              <w:spacing w:before="0" w:after="283"/>
              <w:jc w:val="left"/>
              <w:rPr/>
            </w:pPr>
            <w:r>
              <w:rPr/>
              <w:t> </w:t>
            </w:r>
          </w:p>
        </w:tc>
      </w:tr>
      <w:tr>
        <w:trPr/>
        <w:tc>
          <w:tcPr>
            <w:tcW w:w="45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pro forma as adjusted net tangible book value to new investors participating in this offering</w:t>
            </w:r>
          </w:p>
        </w:tc>
        <w:tc>
          <w:tcPr>
            <w:tcW w:w="62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7.14</w:t>
            </w:r>
          </w:p>
        </w:tc>
        <w:tc>
          <w:tcPr>
            <w:tcW w:w="155" w:type="dxa"/>
            <w:tcBorders/>
            <w:shd w:fill="CCEEFF" w:val="clear"/>
            <w:vAlign w:val="bottom"/>
          </w:tcPr>
          <w:p>
            <w:pPr>
              <w:pStyle w:val="TableContents"/>
              <w:bidi w:val="0"/>
              <w:spacing w:before="0" w:after="283"/>
              <w:jc w:val="left"/>
              <w:rPr/>
            </w:pPr>
            <w:r>
              <w:rPr/>
              <w:t> </w:t>
            </w:r>
          </w:p>
        </w:tc>
        <w:tc>
          <w:tcPr>
            <w:tcW w:w="57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887" w:type="dxa"/>
            <w:tcBorders/>
            <w:shd w:fill="CCEEFF" w:val="clear"/>
            <w:vAlign w:val="bottom"/>
          </w:tcPr>
          <w:p>
            <w:pPr>
              <w:pStyle w:val="TableContents"/>
              <w:bidi w:val="0"/>
              <w:spacing w:before="0" w:after="283"/>
              <w:jc w:val="right"/>
              <w:rPr/>
            </w:pPr>
            <w:r>
              <w:rPr/>
              <w:t>7.73</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underwriters exercise in full their option to purchase additional shares, the pro forma as adjusted net tangible book value after the offering would be CHF 3.57 ($3.87) per ordinary share, the increase in the pro forma as adjusted net tangible book value to existing shareholders would be CHF 0.09 ($0.10) per ordinary share, and the dilution to new investors participating in this offering would be CHF 7.05 ($7.63) per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consideration paid to us in cash for ordinary shares purchased from us by our existing shareholders as of March 31, 2023 and by new investors participating in this offering based on the offering price of $11.50 per ordinary share and an exchange rate of $1.00 = CHF 0.92341, the exchange rate on December 31, 2022, and before deducting underwriting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1"/>
        <w:gridCol w:w="140"/>
        <w:gridCol w:w="60"/>
        <w:gridCol w:w="1226"/>
        <w:gridCol w:w="60"/>
        <w:gridCol w:w="140"/>
        <w:gridCol w:w="60"/>
        <w:gridCol w:w="815"/>
        <w:gridCol w:w="60"/>
        <w:gridCol w:w="140"/>
        <w:gridCol w:w="155"/>
        <w:gridCol w:w="1314"/>
        <w:gridCol w:w="60"/>
        <w:gridCol w:w="140"/>
        <w:gridCol w:w="60"/>
        <w:gridCol w:w="815"/>
        <w:gridCol w:w="60"/>
        <w:gridCol w:w="140"/>
        <w:gridCol w:w="195"/>
        <w:gridCol w:w="836"/>
        <w:gridCol w:w="68"/>
      </w:tblGrid>
      <w:tr>
        <w:trPr/>
        <w:tc>
          <w:tcPr>
            <w:tcW w:w="366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61" w:type="dxa"/>
            <w:vMerge w:val="restart"/>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Ordinary Shares</w:t>
              <w:br/>
              <w:t>Purchased from Us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5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60" w:type="dxa"/>
            <w:tcBorders/>
            <w:vAlign w:val="bottom"/>
          </w:tcPr>
          <w:p>
            <w:pPr>
              <w:pStyle w:val="TableContents"/>
              <w:bidi w:val="0"/>
              <w:spacing w:before="0" w:after="283"/>
              <w:jc w:val="left"/>
              <w:rPr/>
            </w:pPr>
            <w:r>
              <w:rPr/>
              <w:t> </w:t>
            </w:r>
          </w:p>
        </w:tc>
        <w:tc>
          <w:tcPr>
            <w:tcW w:w="140" w:type="dxa"/>
            <w:vMerge w:val="restart"/>
            <w:tcBorders/>
            <w:vAlign w:val="bottom"/>
          </w:tcPr>
          <w:p>
            <w:pPr>
              <w:pStyle w:val="TableContents"/>
              <w:bidi w:val="0"/>
              <w:spacing w:before="0" w:after="283"/>
              <w:jc w:val="left"/>
              <w:rPr/>
            </w:pPr>
            <w:r>
              <w:rPr/>
              <w:t>  </w:t>
            </w:r>
          </w:p>
        </w:tc>
        <w:tc>
          <w:tcPr>
            <w:tcW w:w="103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w:t>
              <w:br/>
              <w:t>Price per</w:t>
              <w:br/>
              <w:t>Ordinary</w:t>
              <w:br/>
              <w:t>Share</w:t>
            </w:r>
          </w:p>
        </w:tc>
        <w:tc>
          <w:tcPr>
            <w:tcW w:w="68" w:type="dxa"/>
            <w:vMerge w:val="restart"/>
            <w:tcBorders/>
            <w:vAlign w:val="bottom"/>
          </w:tcPr>
          <w:p>
            <w:pPr>
              <w:pStyle w:val="TableContents"/>
              <w:bidi w:val="0"/>
              <w:spacing w:before="0" w:after="283"/>
              <w:jc w:val="left"/>
              <w:rPr/>
            </w:pPr>
            <w:r>
              <w:rPr/>
              <w:t> </w:t>
            </w:r>
          </w:p>
        </w:tc>
      </w:tr>
      <w:tr>
        <w:trPr/>
        <w:tc>
          <w:tcPr>
            <w:tcW w:w="3661" w:type="dxa"/>
            <w:vMerge w:val="continue"/>
            <w:tcBorders/>
            <w:vAlign w:val="bottom"/>
          </w:tcPr>
          <w:p>
            <w:pPr>
              <w:pStyle w:val="Normal"/>
              <w:bidi w:val="0"/>
              <w:jc w:val="left"/>
              <w:rPr/>
            </w:pPr>
            <w:r>
              <w:rPr/>
            </w:r>
          </w:p>
        </w:tc>
        <w:tc>
          <w:tcPr>
            <w:tcW w:w="140"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c>
          <w:tcPr>
            <w:tcW w:w="140" w:type="dxa"/>
            <w:vMerge w:val="continue"/>
            <w:tcBorders/>
            <w:vAlign w:val="bottom"/>
          </w:tcPr>
          <w:p>
            <w:pPr>
              <w:pStyle w:val="Normal"/>
              <w:bidi w:val="0"/>
              <w:jc w:val="left"/>
              <w:rPr/>
            </w:pPr>
            <w:r>
              <w:rPr/>
            </w:r>
          </w:p>
        </w:tc>
        <w:tc>
          <w:tcPr>
            <w:tcW w:w="1031"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3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shareholders as of March 31, 2023</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32,733,373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213,732,771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84.0%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836" w:type="dxa"/>
            <w:tcBorders/>
            <w:shd w:fill="CCEEFF" w:val="clear"/>
            <w:vAlign w:val="bottom"/>
          </w:tcPr>
          <w:p>
            <w:pPr>
              <w:pStyle w:val="TableContents"/>
              <w:bidi w:val="0"/>
              <w:spacing w:before="0" w:after="283"/>
              <w:jc w:val="right"/>
              <w:rPr/>
            </w:pPr>
            <w:r>
              <w:rPr/>
              <w:t>6.53</w:t>
            </w:r>
          </w:p>
        </w:tc>
        <w:tc>
          <w:tcPr>
            <w:tcW w:w="68" w:type="dxa"/>
            <w:tcBorders/>
            <w:shd w:fill="CCEEFF" w:val="clear"/>
            <w:vAlign w:val="bottom"/>
          </w:tcPr>
          <w:p>
            <w:pPr>
              <w:pStyle w:val="TableContents"/>
              <w:bidi w:val="0"/>
              <w:spacing w:before="0" w:after="283"/>
              <w:jc w:val="left"/>
              <w:rPr/>
            </w:pPr>
            <w:r>
              <w:rPr/>
              <w:t> </w:t>
            </w:r>
          </w:p>
        </w:tc>
      </w:tr>
      <w:tr>
        <w:trPr/>
        <w:tc>
          <w:tcPr>
            <w:tcW w:w="3661"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3,500,000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40,250,000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16.0%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11.50</w:t>
            </w:r>
          </w:p>
        </w:tc>
        <w:tc>
          <w:tcPr>
            <w:tcW w:w="68" w:type="dxa"/>
            <w:tcBorders/>
            <w:vAlign w:val="bottom"/>
          </w:tcPr>
          <w:p>
            <w:pPr>
              <w:pStyle w:val="TableContents"/>
              <w:bidi w:val="0"/>
              <w:spacing w:before="0" w:after="283"/>
              <w:jc w:val="left"/>
              <w:rPr/>
            </w:pPr>
            <w:r>
              <w:rPr/>
              <w:t> </w:t>
            </w:r>
          </w:p>
        </w:tc>
      </w:tr>
      <w:tr>
        <w:trPr/>
        <w:tc>
          <w:tcPr>
            <w:tcW w:w="366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66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36,233,373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253,982,771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66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525,000 shares in full, the number of ordinary shares held by the existing shareholders after this offering would be reduced to 89.1% of the total number of ordinary shares outstanding after the offering, and the number of ordinary shares held by new investors participating in this offering would increase to 10.9% of the total number of ordinary shares outstanding after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ordinary shares that will be outstanding after the offering is based on 32,733,373 ordinary shares outstanding as of March 31, 2023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3,347,214 ordinary shares issuable upon the exercise of options outstanding as of March 31, 2023 under the 2023 Plan at a weighted-average exercise price of $5.05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4,324,232 ordinary shares reserved for future issuance under the 2023 Plan, as well as any automatic increase in the number of ordinary shares reserved for future issuance thereunder, as of March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369,737 earn-out options available for future issuance, subject to satisfaction of certain vesting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3,793,995 earn-out shares available for future issuance, subject to satisfaction of certain vesting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4,403,294 ordinary shares issuable upon exercise of Warrants outstanding as of March 31, 2023 at a weighted-average exercise price of $11.50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rom394147_9"/>
      <w:bookmarkEnd w:id="11"/>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are provided to aid you in your analysis of the financial aspects of the Business Combination, the consummation of the PIPE Financing and Convertible Loan Agreements which are collectively referred to in this section as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are derived from the EBAC historical financial statements and the Oculis historical consolidated financial statements as adjusted to give effect to the Transactions. The unaudited pro forma condensed combined statement of financial position gives pro forma effect to the Transactions as if they had been consummated on December 31, 2022. The unaudited pro forma condensed combined statements of operations for the year ended December 31, 2022 give effect to the Transactions as if they had occurred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derived from and should be read in conjunction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EBAC as of December 31, 2022 and 2021, for the year ended December 31, 2022, and for the period from January 8, 2021 (inception) through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consolidated financial statements of Oculis as of December 31, 2022 and 2021, and for each of the three years in the period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section entitled Managements Discussion and Analysis of Financial Condition and Results of Operations, and other financial information relating to Oculis contained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based on actual redemptions of 11,505,684 outstanding shares of EBAC Common Stock for aggregate redemption payments of CHF 108.5 million or $117.5 million out of the trust account on the Closing Date. The Sponsor forfeited </w:t>
      </w:r>
    </w:p>
    <w:p>
      <w:pPr>
        <w:pStyle w:val="TextBody"/>
        <w:bidi w:val="0"/>
        <w:spacing w:before="240" w:after="0"/>
        <w:jc w:val="left"/>
        <w:rPr>
          <w:rFonts w:ascii="Times New Roman" w:hAnsi="Times New Roman"/>
          <w:sz w:val="20"/>
        </w:rPr>
      </w:pPr>
      <w:r>
        <w:rPr>
          <w:rFonts w:ascii="Times New Roman" w:hAnsi="Times New Roman"/>
          <w:sz w:val="20"/>
        </w:rPr>
        <w:t xml:space="preserve">727,096 shares of EBAC Class B Common Stock upon signing the Business Combination Agreement and an additional 795,316 shares of EBAC Class B Common Stock as a result of the level of redemptions by EBAC public shareholders, out of a total of 3,643,792 shares of EBAC Common Stock held by the Sponsor immediately before the Closing Date. 74,078 shares of EBAC Class B Common Stock were transferred to EBAC public shareholders by the Sponsor in connection with executing Non-Redemption Agreements. EBAC and Oculis waived the Minimum EBAC Cash Condition as defined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are provided for illustrative purposes only and are not necessarily indicative of what the actual results of operations and financial position would have been had the Transactions taken place on the dates indicated, nor are they indicative of the future consolidated results of operations or financial position of Oculis.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pro forma ordinary shares issued and outstanding and the approximate ownership interests of Oculis immediately after the Transactions: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20"/>
        <w:gridCol w:w="300"/>
        <w:gridCol w:w="60"/>
        <w:gridCol w:w="1232"/>
        <w:gridCol w:w="60"/>
        <w:gridCol w:w="300"/>
        <w:gridCol w:w="60"/>
        <w:gridCol w:w="595"/>
        <w:gridCol w:w="328"/>
      </w:tblGrid>
      <w:tr>
        <w:trPr/>
        <w:tc>
          <w:tcPr>
            <w:tcW w:w="482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82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28" w:type="dxa"/>
            <w:tcBorders/>
            <w:vAlign w:val="bottom"/>
          </w:tcPr>
          <w:p>
            <w:pPr>
              <w:pStyle w:val="TableContents"/>
              <w:bidi w:val="0"/>
              <w:spacing w:before="0" w:after="283"/>
              <w:jc w:val="left"/>
              <w:rPr/>
            </w:pPr>
            <w:r>
              <w:rPr/>
              <w:t> </w:t>
            </w:r>
          </w:p>
        </w:tc>
      </w:tr>
      <w:tr>
        <w:trPr/>
        <w:tc>
          <w:tcPr>
            <w:tcW w:w="4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owned by Sponsors (2)</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2,047,302</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6.3</w:t>
            </w:r>
          </w:p>
        </w:tc>
        <w:tc>
          <w:tcPr>
            <w:tcW w:w="328" w:type="dxa"/>
            <w:tcBorders/>
            <w:shd w:fill="CCEEFF" w:val="clear"/>
            <w:vAlign w:val="bottom"/>
          </w:tcPr>
          <w:p>
            <w:pPr>
              <w:pStyle w:val="TableContents"/>
              <w:bidi w:val="0"/>
              <w:spacing w:before="0" w:after="283"/>
              <w:jc w:val="left"/>
              <w:rPr/>
            </w:pPr>
            <w:r>
              <w:rPr/>
              <w:t>% </w:t>
            </w:r>
          </w:p>
        </w:tc>
      </w:tr>
      <w:tr>
        <w:trPr/>
        <w:tc>
          <w:tcPr>
            <w:tcW w:w="4820"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owned by EBAC Public Shareholders</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1,323,178</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4.1</w:t>
            </w:r>
          </w:p>
        </w:tc>
        <w:tc>
          <w:tcPr>
            <w:tcW w:w="328" w:type="dxa"/>
            <w:tcBorders/>
            <w:vAlign w:val="bottom"/>
          </w:tcPr>
          <w:p>
            <w:pPr>
              <w:pStyle w:val="TableContents"/>
              <w:bidi w:val="0"/>
              <w:spacing w:before="0" w:after="283"/>
              <w:jc w:val="left"/>
              <w:rPr/>
            </w:pPr>
            <w:r>
              <w:rPr/>
              <w:t>% </w:t>
            </w:r>
          </w:p>
        </w:tc>
      </w:tr>
      <w:tr>
        <w:trPr/>
        <w:tc>
          <w:tcPr>
            <w:tcW w:w="4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PIPE Financing</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7,118,891</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21.7</w:t>
            </w:r>
          </w:p>
        </w:tc>
        <w:tc>
          <w:tcPr>
            <w:tcW w:w="328" w:type="dxa"/>
            <w:tcBorders/>
            <w:shd w:fill="CCEEFF" w:val="clear"/>
            <w:vAlign w:val="bottom"/>
          </w:tcPr>
          <w:p>
            <w:pPr>
              <w:pStyle w:val="TableContents"/>
              <w:bidi w:val="0"/>
              <w:spacing w:before="0" w:after="283"/>
              <w:jc w:val="left"/>
              <w:rPr/>
            </w:pPr>
            <w:r>
              <w:rPr/>
              <w:t>% </w:t>
            </w:r>
          </w:p>
        </w:tc>
      </w:tr>
      <w:tr>
        <w:trPr/>
        <w:tc>
          <w:tcPr>
            <w:tcW w:w="482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Convertible Loan Agreement</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1,967,000</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6.0</w:t>
            </w:r>
          </w:p>
        </w:tc>
        <w:tc>
          <w:tcPr>
            <w:tcW w:w="328" w:type="dxa"/>
            <w:tcBorders/>
            <w:vAlign w:val="bottom"/>
          </w:tcPr>
          <w:p>
            <w:pPr>
              <w:pStyle w:val="TableContents"/>
              <w:bidi w:val="0"/>
              <w:spacing w:before="0" w:after="283"/>
              <w:jc w:val="left"/>
              <w:rPr/>
            </w:pPr>
            <w:r>
              <w:rPr/>
              <w:t>% </w:t>
            </w:r>
          </w:p>
        </w:tc>
      </w:tr>
      <w:tr>
        <w:trPr/>
        <w:tc>
          <w:tcPr>
            <w:tcW w:w="48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to Legacy Oculis stockholders in connection with Business Combination</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20,277,002</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61.9</w:t>
            </w:r>
          </w:p>
        </w:tc>
        <w:tc>
          <w:tcPr>
            <w:tcW w:w="328" w:type="dxa"/>
            <w:tcBorders/>
            <w:shd w:fill="CCEEFF" w:val="clear"/>
            <w:vAlign w:val="bottom"/>
          </w:tcPr>
          <w:p>
            <w:pPr>
              <w:pStyle w:val="TableContents"/>
              <w:bidi w:val="0"/>
              <w:spacing w:before="0" w:after="283"/>
              <w:jc w:val="left"/>
              <w:rPr/>
            </w:pPr>
            <w:r>
              <w:rPr/>
              <w:t>% </w:t>
            </w:r>
          </w:p>
        </w:tc>
      </w:tr>
      <w:tr>
        <w:trPr/>
        <w:tc>
          <w:tcPr>
            <w:tcW w:w="482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r>
      <w:tr>
        <w:trPr/>
        <w:tc>
          <w:tcPr>
            <w:tcW w:w="48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(1)</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b/>
              </w:rPr>
            </w:pPr>
            <w:r>
              <w:rPr>
                <w:b/>
              </w:rPr>
              <w:t>32,733,373</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b/>
              </w:rPr>
            </w:pPr>
            <w:r>
              <w:rPr>
                <w:b/>
              </w:rPr>
              <w:t>100.0</w:t>
            </w:r>
          </w:p>
        </w:tc>
        <w:tc>
          <w:tcPr>
            <w:tcW w:w="328" w:type="dxa"/>
            <w:tcBorders/>
            <w:vAlign w:val="bottom"/>
          </w:tcPr>
          <w:p>
            <w:pPr>
              <w:pStyle w:val="TableContents"/>
              <w:bidi w:val="0"/>
              <w:spacing w:before="0" w:after="283"/>
              <w:jc w:val="left"/>
              <w:rPr>
                <w:b/>
              </w:rPr>
            </w:pPr>
            <w:r>
              <w:rPr>
                <w:b/>
              </w:rPr>
              <w:t>% </w:t>
            </w:r>
          </w:p>
        </w:tc>
      </w:tr>
      <w:tr>
        <w:trPr/>
        <w:tc>
          <w:tcPr>
            <w:tcW w:w="4820"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3,793,995 Earnout Shares, 370,103 Earnout Options, 982,004 shares of vested Conversion Options, 782,681 shares of unvested Conversion Options, 4,251,595 EBAC Public Warrants and 151,699 EBAC Private Warrants were excluded from the table above. The Earnout Shares are contingently forfeitable if the price targets are not achieved during the Earnout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1,522,412 Sponsor Shares were forfeited and 74,078 Sponsor Shares were transferred to certain EBAC Public Shareholders in connection with executing Non-Redemption Agreements at the time of closing of the Business Combination.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shown in the table below, Oculis issued 20,277,002 ordinary shares in the Business Combination to Oculis Shareholders based on 3,406,771 Legacy Oculis Ordinary Shares, which reflects 100,000 shares of Oculis treasury stock that was cancelled pursuant to the Business Combination Agreement, and 12,712,863 Legacy Oculis preferred shares outstanding immediately prior to the Acquisition Closing Date and the exchange ratios determined in accordance with the terms of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Ordinary shares payable to Legacy Oculis equity holders, without considering the Earnout Consideration, equals $208.0 million or 20,800,000 ordinary shares at $10.00 per share. The exchange ratio is obtained by allocating shares for settlement of preferred dividend on Legacy Oculis Series B and C shares and then allocating ordinary shares remaining after settlement of preferred dividends on pro-rata basis to Legacy Oculis equity holders. The Legacy Oculis Series B and C preferred shares convert based on an exchange ratio that includes the accrued dividend of 6% compounded annually. The accrued dividend is calculated through the Acquisition Closing Date and is converted into ordinary shares at a price of $10.00 per share. A total of 1,962,875 ordinary shares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issued in settlement of the accrued dividends. For purposes of the exchange ratio calculation, the outstanding vested options to purchase Legacy Oculis shares were treated as if they were exercised on a cashless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730"/>
        <w:gridCol w:w="221"/>
        <w:gridCol w:w="124"/>
        <w:gridCol w:w="2041"/>
        <w:gridCol w:w="155"/>
        <w:gridCol w:w="221"/>
        <w:gridCol w:w="83"/>
        <w:gridCol w:w="945"/>
        <w:gridCol w:w="60"/>
        <w:gridCol w:w="221"/>
        <w:gridCol w:w="87"/>
        <w:gridCol w:w="1621"/>
        <w:gridCol w:w="63"/>
      </w:tblGrid>
      <w:tr>
        <w:trPr/>
        <w:tc>
          <w:tcPr>
            <w:tcW w:w="273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Legacy Oculis shares</w:t>
              <w:br/>
              <w:t>outstanding prior to</w:t>
              <w:br/>
              <w:t>the closing of the</w:t>
              <w:br/>
              <w:t>Transactions</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Exchange</w:t>
              <w:br/>
              <w:t>Ratios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Ordinary shares</w:t>
              <w:br/>
              <w:t>of Oculis</w:t>
              <w:br/>
              <w:t>Holding AG</w:t>
              <w:br/>
              <w:t>issued to Legacy</w:t>
              <w:br/>
              <w:t>Oculis</w:t>
              <w:br/>
              <w:t>Shareholders</w:t>
              <w:br/>
              <w:t>upon closing of</w:t>
              <w:br/>
              <w:t>the Transaction</w:t>
            </w:r>
          </w:p>
        </w:tc>
        <w:tc>
          <w:tcPr>
            <w:tcW w:w="63"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3,406,771</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62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Treasury shares cancelled</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(100,000</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6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after cancellation of Treasury shares</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3,306,771</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1.1432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3,780,399</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Preferred shares</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2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62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A</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1,623,793</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1.1432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1,856,370</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Series B1</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2,486,188</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1.4154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3,518,922</w:t>
            </w:r>
          </w:p>
        </w:tc>
        <w:tc>
          <w:tcPr>
            <w:tcW w:w="63"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T1</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1,675,474</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1.3900</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2,328,872</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Series B2 T2</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426,378</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1.3310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567,508</w:t>
            </w:r>
          </w:p>
        </w:tc>
        <w:tc>
          <w:tcPr>
            <w:tcW w:w="63"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B2 T3</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603,472</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1.3142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793,082</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Series C T1</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5,337,777</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1.2658</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6,756,580</w:t>
            </w:r>
          </w:p>
        </w:tc>
        <w:tc>
          <w:tcPr>
            <w:tcW w:w="63"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C T2</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041" w:type="dxa"/>
            <w:tcBorders/>
            <w:shd w:fill="CCEEFF" w:val="clear"/>
            <w:vAlign w:val="bottom"/>
          </w:tcPr>
          <w:p>
            <w:pPr>
              <w:pStyle w:val="TableContents"/>
              <w:bidi w:val="0"/>
              <w:spacing w:before="0" w:after="283"/>
              <w:jc w:val="right"/>
              <w:rPr/>
            </w:pPr>
            <w:r>
              <w:rPr/>
              <w:t>362,036</w:t>
            </w:r>
          </w:p>
        </w:tc>
        <w:tc>
          <w:tcPr>
            <w:tcW w:w="1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1.2205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pPr>
            <w:r>
              <w:rPr/>
              <w:t>441,854</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Series C T3</w:t>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right"/>
              <w:rPr/>
            </w:pPr>
            <w:r>
              <w:rPr/>
              <w:t>197,745</w:t>
            </w:r>
          </w:p>
        </w:tc>
        <w:tc>
          <w:tcPr>
            <w:tcW w:w="1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1.1804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right"/>
              <w:rPr/>
            </w:pPr>
            <w:r>
              <w:rPr/>
              <w:t>233,415</w:t>
            </w:r>
          </w:p>
        </w:tc>
        <w:tc>
          <w:tcPr>
            <w:tcW w:w="63" w:type="dxa"/>
            <w:tcBorders/>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2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62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2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21"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204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right"/>
              <w:rPr>
                <w:b/>
              </w:rPr>
            </w:pPr>
            <w:r>
              <w:rPr>
                <w:b/>
              </w:rPr>
              <w:t>20,277,002</w:t>
            </w:r>
          </w:p>
        </w:tc>
        <w:tc>
          <w:tcPr>
            <w:tcW w:w="63" w:type="dxa"/>
            <w:tcBorders/>
            <w:shd w:fill="CCEEFF" w:val="clear"/>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204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62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Oculis Holding AG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Financial Position </w:t>
      </w:r>
    </w:p>
    <w:p>
      <w:pPr>
        <w:pStyle w:val="TextBody"/>
        <w:bidi w:val="0"/>
        <w:spacing w:before="0" w:after="0"/>
        <w:jc w:val="center"/>
        <w:rPr>
          <w:rFonts w:ascii="Times New Roman" w:hAnsi="Times New Roman"/>
          <w:b/>
          <w:sz w:val="20"/>
        </w:rPr>
      </w:pPr>
      <w:r>
        <w:rPr>
          <w:rFonts w:ascii="Times New Roman" w:hAnsi="Times New Roman"/>
          <w:b/>
          <w:sz w:val="20"/>
        </w:rPr>
        <w:t xml:space="preserve">As of December 31, 2022 </w:t>
      </w:r>
    </w:p>
    <w:p>
      <w:pPr>
        <w:pStyle w:val="TextBody"/>
        <w:bidi w:val="0"/>
        <w:spacing w:before="0" w:after="0"/>
        <w:jc w:val="center"/>
        <w:rPr>
          <w:rFonts w:ascii="Times New Roman" w:hAnsi="Times New Roman"/>
          <w:b/>
          <w:sz w:val="20"/>
        </w:rPr>
      </w:pPr>
      <w:r>
        <w:rPr>
          <w:rFonts w:ascii="Times New Roman" w:hAnsi="Times New Roman"/>
          <w:b/>
          <w:sz w:val="20"/>
        </w:rPr>
        <w:t xml:space="preserve">(in CHF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51"/>
        <w:gridCol w:w="183"/>
        <w:gridCol w:w="116"/>
        <w:gridCol w:w="1610"/>
        <w:gridCol w:w="60"/>
        <w:gridCol w:w="183"/>
        <w:gridCol w:w="69"/>
        <w:gridCol w:w="951"/>
        <w:gridCol w:w="60"/>
        <w:gridCol w:w="60"/>
        <w:gridCol w:w="86"/>
        <w:gridCol w:w="1327"/>
        <w:gridCol w:w="638"/>
        <w:gridCol w:w="183"/>
        <w:gridCol w:w="60"/>
        <w:gridCol w:w="801"/>
        <w:gridCol w:w="67"/>
      </w:tblGrid>
      <w:tr>
        <w:trPr/>
        <w:tc>
          <w:tcPr>
            <w:tcW w:w="3751"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 Historical</w:t>
              <w:br/>
              <w:t>as converted</w:t>
              <w:br/>
              <w:t>and translated</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Historical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br/>
              <w:t>Redemptions</w:t>
              <w:br/>
              <w:t>for Cash</w:t>
            </w:r>
          </w:p>
        </w:tc>
        <w:tc>
          <w:tcPr>
            <w:tcW w:w="638" w:type="dxa"/>
            <w:tcBorders/>
            <w:vAlign w:val="bottom"/>
          </w:tcPr>
          <w:p>
            <w:pPr>
              <w:pStyle w:val="TableContents"/>
              <w:bidi w:val="0"/>
              <w:spacing w:before="0" w:after="283"/>
              <w:jc w:val="left"/>
              <w:rPr/>
            </w:pPr>
            <w:r>
              <w:rPr/>
              <w:t> </w:t>
            </w:r>
          </w:p>
        </w:tc>
        <w:tc>
          <w:tcPr>
            <w:tcW w:w="183" w:type="dxa"/>
            <w:vMerge w:val="restart"/>
            <w:tcBorders/>
            <w:vAlign w:val="bottom"/>
          </w:tcPr>
          <w:p>
            <w:pPr>
              <w:pStyle w:val="TableContents"/>
              <w:bidi w:val="0"/>
              <w:spacing w:before="0" w:after="283"/>
              <w:jc w:val="left"/>
              <w:rPr/>
            </w:pPr>
            <w:r>
              <w:rPr/>
              <w:t> </w:t>
            </w:r>
          </w:p>
        </w:tc>
        <w:tc>
          <w:tcPr>
            <w:tcW w:w="86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Balance</w:t>
              <w:br/>
              <w:t>Sheet</w:t>
            </w:r>
          </w:p>
        </w:tc>
        <w:tc>
          <w:tcPr>
            <w:tcW w:w="67" w:type="dxa"/>
            <w:vMerge w:val="restart"/>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3(A)</w:t>
              <w:br/>
              <w:t>EBAC</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3(B)</w:t>
              <w:br/>
              <w:t>Oculis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38" w:type="dxa"/>
            <w:tcBorders/>
            <w:vAlign w:val="bottom"/>
          </w:tcPr>
          <w:p>
            <w:pPr>
              <w:pStyle w:val="TableContents"/>
              <w:bidi w:val="0"/>
              <w:spacing w:before="0" w:after="283"/>
              <w:jc w:val="left"/>
              <w:rPr/>
            </w:pPr>
            <w:r>
              <w:rPr/>
              <w:t> </w:t>
            </w:r>
          </w:p>
        </w:tc>
        <w:tc>
          <w:tcPr>
            <w:tcW w:w="183" w:type="dxa"/>
            <w:vMerge w:val="continue"/>
            <w:tcBorders/>
            <w:vAlign w:val="bottom"/>
          </w:tcPr>
          <w:p>
            <w:pPr>
              <w:pStyle w:val="Normal"/>
              <w:bidi w:val="0"/>
              <w:jc w:val="left"/>
              <w:rPr/>
            </w:pPr>
            <w:r>
              <w:rPr/>
            </w:r>
          </w:p>
        </w:tc>
        <w:tc>
          <w:tcPr>
            <w:tcW w:w="861" w:type="dxa"/>
            <w:gridSpan w:val="2"/>
            <w:vMerge w:val="continue"/>
            <w:tcBorders>
              <w:bottom w:val="single" w:sz="8" w:space="0" w:color="000000"/>
            </w:tcBorders>
            <w:tcMar>
              <w:bottom w:w="28" w:type="dxa"/>
            </w:tcMar>
            <w:vAlign w:val="bottom"/>
          </w:tcPr>
          <w:p>
            <w:pPr>
              <w:pStyle w:val="Normal"/>
              <w:bidi w:val="0"/>
              <w:jc w:val="left"/>
              <w:rPr/>
            </w:pPr>
            <w:r>
              <w:rPr/>
            </w:r>
          </w:p>
        </w:tc>
        <w:tc>
          <w:tcPr>
            <w:tcW w:w="67" w:type="dxa"/>
            <w:vMerge w:val="continue"/>
            <w:tcBorders/>
            <w:vAlign w:val="bottom"/>
          </w:tcPr>
          <w:p>
            <w:pPr>
              <w:pStyle w:val="Normal"/>
              <w:bidi w:val="0"/>
              <w:jc w:val="left"/>
              <w:rPr/>
            </w:pPr>
            <w:r>
              <w:rPr/>
            </w:r>
          </w:p>
        </w:tc>
      </w:tr>
      <w:tr>
        <w:trPr/>
        <w:tc>
          <w:tcPr>
            <w:tcW w:w="3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119,486</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(119,486</w:t>
            </w:r>
          </w:p>
        </w:tc>
        <w:tc>
          <w:tcPr>
            <w:tcW w:w="638" w:type="dxa"/>
            <w:tcBorders/>
            <w:shd w:fill="CCEEFF" w:val="clear"/>
            <w:vAlign w:val="bottom"/>
          </w:tcPr>
          <w:p>
            <w:pPr>
              <w:pStyle w:val="TableContents"/>
              <w:bidi w:val="0"/>
              <w:spacing w:before="0" w:after="283"/>
              <w:jc w:val="left"/>
              <w:rPr/>
            </w:pPr>
            <w:r>
              <w:rPr/>
              <w:t>) 3(d)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&amp; equipment</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365</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12,206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3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12,206</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758</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3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50</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w:t>
            </w:r>
          </w:p>
        </w:tc>
        <w:tc>
          <w:tcPr>
            <w:tcW w:w="67"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638"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119,486</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13,403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(119,486</w:t>
            </w:r>
          </w:p>
        </w:tc>
        <w:tc>
          <w:tcPr>
            <w:tcW w:w="63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13,403</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2,959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(570</w:t>
            </w:r>
          </w:p>
        </w:tc>
        <w:tc>
          <w:tcPr>
            <w:tcW w:w="638" w:type="dxa"/>
            <w:tcBorders/>
            <w:shd w:fill="CCEEFF" w:val="clear"/>
            <w:vAlign w:val="bottom"/>
          </w:tcPr>
          <w:p>
            <w:pPr>
              <w:pStyle w:val="TableContents"/>
              <w:bidi w:val="0"/>
              <w:spacing w:before="0" w:after="283"/>
              <w:jc w:val="left"/>
              <w:rPr/>
            </w:pPr>
            <w:r>
              <w:rPr/>
              <w:t>) 3(k)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2,389</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912</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284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19,786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(3,047</w:t>
            </w:r>
          </w:p>
        </w:tc>
        <w:tc>
          <w:tcPr>
            <w:tcW w:w="638" w:type="dxa"/>
            <w:tcBorders/>
            <w:shd w:fill="CCEEFF" w:val="clear"/>
            <w:vAlign w:val="bottom"/>
          </w:tcPr>
          <w:p>
            <w:pPr>
              <w:pStyle w:val="TableContents"/>
              <w:bidi w:val="0"/>
              <w:spacing w:before="0" w:after="283"/>
              <w:jc w:val="left"/>
              <w:rPr/>
            </w:pPr>
            <w:r>
              <w:rPr/>
              <w:t>) 3(c)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100,675</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119,486</w:t>
            </w:r>
          </w:p>
        </w:tc>
        <w:tc>
          <w:tcPr>
            <w:tcW w:w="638" w:type="dxa"/>
            <w:tcBorders/>
            <w:vAlign w:val="bottom"/>
          </w:tcPr>
          <w:p>
            <w:pPr>
              <w:pStyle w:val="TableContents"/>
              <w:bidi w:val="0"/>
              <w:spacing w:before="0" w:after="283"/>
              <w:jc w:val="left"/>
              <w:rPr/>
            </w:pPr>
            <w:r>
              <w:rPr/>
              <w:t> </w:t>
            </w:r>
            <w:r>
              <w:rPr/>
              <w:t>3(d)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(2,551</w:t>
            </w:r>
          </w:p>
        </w:tc>
        <w:tc>
          <w:tcPr>
            <w:tcW w:w="638" w:type="dxa"/>
            <w:tcBorders/>
            <w:shd w:fill="CCEEFF" w:val="clear"/>
            <w:vAlign w:val="bottom"/>
          </w:tcPr>
          <w:p>
            <w:pPr>
              <w:pStyle w:val="TableContents"/>
              <w:bidi w:val="0"/>
              <w:spacing w:before="0" w:after="283"/>
              <w:jc w:val="left"/>
              <w:rPr/>
            </w:pPr>
            <w:r>
              <w:rPr/>
              <w:t>) 3(e)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65,737</w:t>
            </w:r>
          </w:p>
        </w:tc>
        <w:tc>
          <w:tcPr>
            <w:tcW w:w="638" w:type="dxa"/>
            <w:tcBorders/>
            <w:vAlign w:val="bottom"/>
          </w:tcPr>
          <w:p>
            <w:pPr>
              <w:pStyle w:val="TableContents"/>
              <w:bidi w:val="0"/>
              <w:spacing w:before="0" w:after="283"/>
              <w:jc w:val="left"/>
              <w:rPr/>
            </w:pPr>
            <w:r>
              <w:rPr/>
              <w:t> </w:t>
            </w:r>
            <w:r>
              <w:rPr/>
              <w:t>3(g)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18,163</w:t>
            </w:r>
          </w:p>
        </w:tc>
        <w:tc>
          <w:tcPr>
            <w:tcW w:w="638" w:type="dxa"/>
            <w:tcBorders/>
            <w:shd w:fill="CCEEFF" w:val="clear"/>
            <w:vAlign w:val="bottom"/>
          </w:tcPr>
          <w:p>
            <w:pPr>
              <w:pStyle w:val="TableContents"/>
              <w:bidi w:val="0"/>
              <w:spacing w:before="0" w:after="283"/>
              <w:jc w:val="left"/>
              <w:rPr/>
            </w:pPr>
            <w:r>
              <w:rPr/>
              <w:t> </w:t>
            </w:r>
            <w:r>
              <w:rPr/>
              <w:t>3(g)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(108,488</w:t>
            </w:r>
          </w:p>
        </w:tc>
        <w:tc>
          <w:tcPr>
            <w:tcW w:w="638" w:type="dxa"/>
            <w:tcBorders/>
            <w:vAlign w:val="bottom"/>
          </w:tcPr>
          <w:p>
            <w:pPr>
              <w:pStyle w:val="TableContents"/>
              <w:bidi w:val="0"/>
              <w:spacing w:before="0" w:after="283"/>
              <w:jc w:val="left"/>
              <w:rPr/>
            </w:pPr>
            <w:r>
              <w:rPr/>
              <w:t>) 3(h)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(3,817</w:t>
            </w:r>
          </w:p>
        </w:tc>
        <w:tc>
          <w:tcPr>
            <w:tcW w:w="638" w:type="dxa"/>
            <w:tcBorders/>
            <w:shd w:fill="CCEEFF" w:val="clear"/>
            <w:vAlign w:val="bottom"/>
          </w:tcPr>
          <w:p>
            <w:pPr>
              <w:pStyle w:val="TableContents"/>
              <w:bidi w:val="0"/>
              <w:spacing w:before="0" w:after="283"/>
              <w:jc w:val="left"/>
              <w:rPr/>
            </w:pPr>
            <w:r>
              <w:rPr/>
              <w:t>) 3(g)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(2,860</w:t>
            </w:r>
          </w:p>
        </w:tc>
        <w:tc>
          <w:tcPr>
            <w:tcW w:w="638" w:type="dxa"/>
            <w:tcBorders/>
            <w:vAlign w:val="bottom"/>
          </w:tcPr>
          <w:p>
            <w:pPr>
              <w:pStyle w:val="TableContents"/>
              <w:bidi w:val="0"/>
              <w:spacing w:before="0" w:after="283"/>
              <w:jc w:val="left"/>
              <w:rPr/>
            </w:pPr>
            <w:r>
              <w:rPr/>
              <w:t>) 3(l)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(399</w:t>
            </w:r>
          </w:p>
        </w:tc>
        <w:tc>
          <w:tcPr>
            <w:tcW w:w="638" w:type="dxa"/>
            <w:tcBorders/>
            <w:shd w:fill="CCEEFF" w:val="clear"/>
            <w:vAlign w:val="bottom"/>
          </w:tcPr>
          <w:p>
            <w:pPr>
              <w:pStyle w:val="TableContents"/>
              <w:bidi w:val="0"/>
              <w:spacing w:before="0" w:after="283"/>
              <w:jc w:val="left"/>
              <w:rPr/>
            </w:pPr>
            <w:r>
              <w:rPr/>
              <w:t>) 3(k)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(1,619</w:t>
            </w:r>
          </w:p>
        </w:tc>
        <w:tc>
          <w:tcPr>
            <w:tcW w:w="638" w:type="dxa"/>
            <w:tcBorders/>
            <w:vAlign w:val="bottom"/>
          </w:tcPr>
          <w:p>
            <w:pPr>
              <w:pStyle w:val="TableContents"/>
              <w:bidi w:val="0"/>
              <w:spacing w:before="0" w:after="283"/>
              <w:jc w:val="left"/>
              <w:rPr/>
            </w:pPr>
            <w:r>
              <w:rPr/>
              <w:t>) 3(k)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(44</w:t>
            </w:r>
          </w:p>
        </w:tc>
        <w:tc>
          <w:tcPr>
            <w:tcW w:w="638" w:type="dxa"/>
            <w:tcBorders/>
            <w:shd w:fill="CCEEFF" w:val="clear"/>
            <w:vAlign w:val="bottom"/>
          </w:tcPr>
          <w:p>
            <w:pPr>
              <w:pStyle w:val="TableContents"/>
              <w:bidi w:val="0"/>
              <w:spacing w:before="0" w:after="283"/>
              <w:jc w:val="left"/>
              <w:rPr/>
            </w:pPr>
            <w:r>
              <w:rPr/>
              <w:t>) 3(e)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328</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23,657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79,991</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103,976</w:t>
            </w:r>
          </w:p>
        </w:tc>
        <w:tc>
          <w:tcPr>
            <w:tcW w:w="67" w:type="dxa"/>
            <w:tcBorders/>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b/>
              </w:rPr>
            </w:pPr>
            <w:r>
              <w:rPr>
                <w:b/>
              </w:rPr>
              <w:t>119,814</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b/>
              </w:rPr>
            </w:pPr>
            <w:r>
              <w:rPr>
                <w:b/>
              </w:rPr>
              <w:t>37,060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b/>
              </w:rPr>
            </w:pPr>
            <w:r>
              <w:rPr>
                <w:b/>
              </w:rPr>
              <w:t>(39,495</w:t>
            </w:r>
          </w:p>
        </w:tc>
        <w:tc>
          <w:tcPr>
            <w:tcW w:w="638" w:type="dxa"/>
            <w:tcBorders/>
            <w:shd w:fill="CCEEFF" w:val="clear"/>
            <w:vAlign w:val="bottom"/>
          </w:tcPr>
          <w:p>
            <w:pPr>
              <w:pStyle w:val="TableContents"/>
              <w:bidi w:val="0"/>
              <w:spacing w:before="0" w:after="283"/>
              <w:jc w:val="left"/>
              <w:rPr>
                <w:b/>
              </w:rPr>
            </w:pPr>
            <w:r>
              <w:rPr>
                <w:b/>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117,379</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Equity (Deficit)</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sz w:val="4"/>
                <w:szCs w:val="4"/>
              </w:rPr>
            </w:pPr>
            <w:r>
              <w:rPr>
                <w:sz w:val="4"/>
                <w:szCs w:val="4"/>
              </w:rPr>
            </w:r>
          </w:p>
        </w:tc>
        <w:tc>
          <w:tcPr>
            <w:tcW w:w="1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1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327" w:type="dxa"/>
            <w:tcBorders/>
            <w:shd w:fill="CCEEFF" w:val="clear"/>
            <w:vAlign w:val="bottom"/>
          </w:tcPr>
          <w:p>
            <w:pPr>
              <w:pStyle w:val="TableContents"/>
              <w:bidi w:val="0"/>
              <w:spacing w:before="0" w:after="283"/>
              <w:jc w:val="left"/>
              <w:rPr>
                <w:sz w:val="4"/>
                <w:szCs w:val="4"/>
              </w:rPr>
            </w:pPr>
            <w:r>
              <w:rPr>
                <w:sz w:val="4"/>
                <w:szCs w:val="4"/>
              </w:rPr>
            </w:r>
          </w:p>
        </w:tc>
        <w:tc>
          <w:tcPr>
            <w:tcW w:w="638"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Long-term lease liabilities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491</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financial debt</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122,449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(122,449</w:t>
            </w:r>
          </w:p>
        </w:tc>
        <w:tc>
          <w:tcPr>
            <w:tcW w:w="638" w:type="dxa"/>
            <w:tcBorders/>
            <w:shd w:fill="CCEEFF" w:val="clear"/>
            <w:vAlign w:val="bottom"/>
          </w:tcPr>
          <w:p>
            <w:pPr>
              <w:pStyle w:val="TableContents"/>
              <w:bidi w:val="0"/>
              <w:spacing w:before="0" w:after="283"/>
              <w:jc w:val="left"/>
              <w:rPr/>
            </w:pPr>
            <w:r>
              <w:rPr/>
              <w:t>) 3(i)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pension liabilities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91</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4,122</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(4,122</w:t>
            </w:r>
          </w:p>
        </w:tc>
        <w:tc>
          <w:tcPr>
            <w:tcW w:w="638" w:type="dxa"/>
            <w:tcBorders/>
            <w:shd w:fill="CCEEFF" w:val="clear"/>
            <w:vAlign w:val="bottom"/>
          </w:tcPr>
          <w:p>
            <w:pPr>
              <w:pStyle w:val="TableContents"/>
              <w:bidi w:val="0"/>
              <w:spacing w:before="0" w:after="283"/>
              <w:jc w:val="left"/>
              <w:rPr/>
            </w:pPr>
            <w:r>
              <w:rPr/>
              <w:t>) 3(c)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1,220</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  </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1,220</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liabilities</w:t>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  </w:t>
            </w:r>
          </w:p>
        </w:tc>
        <w:tc>
          <w:tcPr>
            <w:tcW w:w="63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119,363</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(10,875</w:t>
            </w:r>
          </w:p>
        </w:tc>
        <w:tc>
          <w:tcPr>
            <w:tcW w:w="638" w:type="dxa"/>
            <w:tcBorders/>
            <w:vAlign w:val="bottom"/>
          </w:tcPr>
          <w:p>
            <w:pPr>
              <w:pStyle w:val="TableContents"/>
              <w:bidi w:val="0"/>
              <w:spacing w:before="0" w:after="283"/>
              <w:jc w:val="left"/>
              <w:rPr/>
            </w:pPr>
            <w:r>
              <w:rPr/>
              <w:t>) 3(f)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751" w:type="dxa"/>
            <w:tcBorders/>
            <w:shd w:fill="CCEEFF" w:val="clear"/>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6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(108,488</w:t>
            </w:r>
          </w:p>
        </w:tc>
        <w:tc>
          <w:tcPr>
            <w:tcW w:w="638" w:type="dxa"/>
            <w:tcBorders/>
            <w:shd w:fill="CCEEFF" w:val="clear"/>
            <w:vAlign w:val="bottom"/>
          </w:tcPr>
          <w:p>
            <w:pPr>
              <w:pStyle w:val="TableContents"/>
              <w:bidi w:val="0"/>
              <w:spacing w:before="0" w:after="283"/>
              <w:jc w:val="left"/>
              <w:rPr/>
            </w:pPr>
            <w:r>
              <w:rPr/>
              <w:t>) 3(h) </w:t>
            </w:r>
          </w:p>
        </w:tc>
        <w:tc>
          <w:tcPr>
            <w:tcW w:w="18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751"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327" w:type="dxa"/>
            <w:tcBorders/>
            <w:vAlign w:val="bottom"/>
          </w:tcPr>
          <w:p>
            <w:pPr>
              <w:pStyle w:val="TableContents"/>
              <w:bidi w:val="0"/>
              <w:spacing w:before="0" w:after="283"/>
              <w:jc w:val="left"/>
              <w:rPr>
                <w:sz w:val="4"/>
                <w:szCs w:val="4"/>
              </w:rPr>
            </w:pPr>
            <w:r>
              <w:rPr>
                <w:sz w:val="4"/>
                <w:szCs w:val="4"/>
              </w:rPr>
            </w:r>
          </w:p>
        </w:tc>
        <w:tc>
          <w:tcPr>
            <w:tcW w:w="638"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75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183"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610" w:type="dxa"/>
            <w:tcBorders/>
            <w:vAlign w:val="bottom"/>
          </w:tcPr>
          <w:p>
            <w:pPr>
              <w:pStyle w:val="TableContents"/>
              <w:bidi w:val="0"/>
              <w:spacing w:before="0" w:after="283"/>
              <w:jc w:val="right"/>
              <w:rPr/>
            </w:pPr>
            <w:r>
              <w:rPr/>
              <w:t>124,705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123,031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(245,934</w:t>
            </w:r>
          </w:p>
        </w:tc>
        <w:tc>
          <w:tcPr>
            <w:tcW w:w="63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1,802</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504"/>
        <w:gridCol w:w="177"/>
        <w:gridCol w:w="116"/>
        <w:gridCol w:w="1573"/>
        <w:gridCol w:w="155"/>
        <w:gridCol w:w="177"/>
        <w:gridCol w:w="63"/>
        <w:gridCol w:w="935"/>
        <w:gridCol w:w="155"/>
        <w:gridCol w:w="60"/>
        <w:gridCol w:w="86"/>
        <w:gridCol w:w="1297"/>
        <w:gridCol w:w="624"/>
        <w:gridCol w:w="176"/>
        <w:gridCol w:w="60"/>
        <w:gridCol w:w="888"/>
        <w:gridCol w:w="159"/>
      </w:tblGrid>
      <w:tr>
        <w:trPr/>
        <w:tc>
          <w:tcPr>
            <w:tcW w:w="3504"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 Historical</w:t>
              <w:br/>
              <w:t>as converted</w:t>
              <w:br/>
              <w:t>and translated</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br/>
              <w:t>Redemptions</w:t>
              <w:br/>
              <w:t>for Cash</w:t>
            </w:r>
          </w:p>
        </w:tc>
        <w:tc>
          <w:tcPr>
            <w:tcW w:w="624" w:type="dxa"/>
            <w:tcBorders/>
            <w:vAlign w:val="bottom"/>
          </w:tcPr>
          <w:p>
            <w:pPr>
              <w:pStyle w:val="TableContents"/>
              <w:bidi w:val="0"/>
              <w:spacing w:before="0" w:after="283"/>
              <w:jc w:val="left"/>
              <w:rPr/>
            </w:pPr>
            <w:r>
              <w:rPr/>
              <w:t> </w:t>
            </w:r>
          </w:p>
        </w:tc>
        <w:tc>
          <w:tcPr>
            <w:tcW w:w="176" w:type="dxa"/>
            <w:vMerge w:val="restart"/>
            <w:tcBorders/>
            <w:vAlign w:val="bottom"/>
          </w:tcPr>
          <w:p>
            <w:pPr>
              <w:pStyle w:val="TableContents"/>
              <w:bidi w:val="0"/>
              <w:spacing w:before="0" w:after="283"/>
              <w:jc w:val="left"/>
              <w:rPr/>
            </w:pPr>
            <w:r>
              <w:rPr/>
              <w:t> </w:t>
            </w:r>
          </w:p>
        </w:tc>
        <w:tc>
          <w:tcPr>
            <w:tcW w:w="94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Balance</w:t>
              <w:br/>
              <w:t>Sheet</w:t>
            </w:r>
          </w:p>
        </w:tc>
        <w:tc>
          <w:tcPr>
            <w:tcW w:w="159" w:type="dxa"/>
            <w:vMerge w:val="restart"/>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3(A)</w:t>
              <w:br/>
              <w:t>EBAC</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3(B)</w:t>
              <w:br/>
              <w:t>Oculis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24" w:type="dxa"/>
            <w:tcBorders/>
            <w:vAlign w:val="bottom"/>
          </w:tcPr>
          <w:p>
            <w:pPr>
              <w:pStyle w:val="TableContents"/>
              <w:bidi w:val="0"/>
              <w:spacing w:before="0" w:after="283"/>
              <w:jc w:val="left"/>
              <w:rPr/>
            </w:pPr>
            <w:r>
              <w:rPr/>
              <w:t> </w:t>
            </w:r>
          </w:p>
        </w:tc>
        <w:tc>
          <w:tcPr>
            <w:tcW w:w="176" w:type="dxa"/>
            <w:vMerge w:val="continue"/>
            <w:tcBorders/>
            <w:vAlign w:val="bottom"/>
          </w:tcPr>
          <w:p>
            <w:pPr>
              <w:pStyle w:val="Normal"/>
              <w:bidi w:val="0"/>
              <w:jc w:val="left"/>
              <w:rPr/>
            </w:pPr>
            <w:r>
              <w:rPr/>
            </w:r>
          </w:p>
        </w:tc>
        <w:tc>
          <w:tcPr>
            <w:tcW w:w="948" w:type="dxa"/>
            <w:gridSpan w:val="2"/>
            <w:vMerge w:val="continue"/>
            <w:tcBorders>
              <w:bottom w:val="single" w:sz="8" w:space="0" w:color="000000"/>
            </w:tcBorders>
            <w:tcMar>
              <w:bottom w:w="28" w:type="dxa"/>
            </w:tcMar>
            <w:vAlign w:val="bottom"/>
          </w:tcPr>
          <w:p>
            <w:pPr>
              <w:pStyle w:val="Normal"/>
              <w:bidi w:val="0"/>
              <w:jc w:val="left"/>
              <w:rPr/>
            </w:pPr>
            <w:r>
              <w:rPr/>
            </w:r>
          </w:p>
        </w:tc>
        <w:tc>
          <w:tcPr>
            <w:tcW w:w="159" w:type="dxa"/>
            <w:vMerge w:val="continue"/>
            <w:tcBorders/>
            <w:vAlign w:val="bottom"/>
          </w:tcPr>
          <w:p>
            <w:pPr>
              <w:pStyle w:val="Normal"/>
              <w:bidi w:val="0"/>
              <w:jc w:val="left"/>
              <w:rPr/>
            </w:pPr>
            <w:r>
              <w:rPr/>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1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297"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3,867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(576</w:t>
            </w:r>
          </w:p>
        </w:tc>
        <w:tc>
          <w:tcPr>
            <w:tcW w:w="624" w:type="dxa"/>
            <w:tcBorders/>
            <w:vAlign w:val="bottom"/>
          </w:tcPr>
          <w:p>
            <w:pPr>
              <w:pStyle w:val="TableContents"/>
              <w:bidi w:val="0"/>
              <w:spacing w:before="0" w:after="283"/>
              <w:jc w:val="left"/>
              <w:rPr/>
            </w:pPr>
            <w:r>
              <w:rPr/>
              <w:t>) 3(k)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3,291</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734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8,011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(734</w:t>
            </w:r>
          </w:p>
        </w:tc>
        <w:tc>
          <w:tcPr>
            <w:tcW w:w="624" w:type="dxa"/>
            <w:tcBorders/>
            <w:shd w:fill="CCEEFF" w:val="clear"/>
            <w:vAlign w:val="bottom"/>
          </w:tcPr>
          <w:p>
            <w:pPr>
              <w:pStyle w:val="TableContents"/>
              <w:bidi w:val="0"/>
              <w:spacing w:before="0" w:after="283"/>
              <w:jc w:val="left"/>
              <w:rPr/>
            </w:pPr>
            <w:r>
              <w:rPr/>
              <w:t>) 3(e)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7,619</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(392</w:t>
            </w:r>
          </w:p>
        </w:tc>
        <w:tc>
          <w:tcPr>
            <w:tcW w:w="624" w:type="dxa"/>
            <w:tcBorders/>
            <w:vAlign w:val="bottom"/>
          </w:tcPr>
          <w:p>
            <w:pPr>
              <w:pStyle w:val="TableContents"/>
              <w:bidi w:val="0"/>
              <w:spacing w:before="0" w:after="283"/>
              <w:jc w:val="left"/>
              <w:rPr/>
            </w:pPr>
            <w:r>
              <w:rPr/>
              <w:t>) 3(k)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legal fees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1,817</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(1,817</w:t>
            </w:r>
          </w:p>
        </w:tc>
        <w:tc>
          <w:tcPr>
            <w:tcW w:w="624" w:type="dxa"/>
            <w:tcBorders/>
            <w:shd w:fill="CCEEFF" w:val="clear"/>
            <w:vAlign w:val="bottom"/>
          </w:tcPr>
          <w:p>
            <w:pPr>
              <w:pStyle w:val="TableContents"/>
              <w:bidi w:val="0"/>
              <w:spacing w:before="0" w:after="283"/>
              <w:jc w:val="left"/>
              <w:rPr/>
            </w:pPr>
            <w:r>
              <w:rPr/>
              <w:t>) 3(e)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liabilities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w:t>
            </w:r>
          </w:p>
        </w:tc>
        <w:tc>
          <w:tcPr>
            <w:tcW w:w="6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142</w:t>
            </w:r>
          </w:p>
        </w:tc>
        <w:tc>
          <w:tcPr>
            <w:tcW w:w="159"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2,551</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12,020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(3,519</w:t>
            </w:r>
          </w:p>
        </w:tc>
        <w:tc>
          <w:tcPr>
            <w:tcW w:w="6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11,052</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127,256</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135,051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(249,453</w:t>
            </w:r>
          </w:p>
        </w:tc>
        <w:tc>
          <w:tcPr>
            <w:tcW w:w="6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12,854</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attributable to equity holders of the parent</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sz w:val="4"/>
                <w:szCs w:val="4"/>
              </w:rPr>
            </w:pPr>
            <w:r>
              <w:rPr>
                <w:sz w:val="4"/>
                <w:szCs w:val="4"/>
              </w:rPr>
            </w:r>
          </w:p>
        </w:tc>
        <w:tc>
          <w:tcPr>
            <w:tcW w:w="157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297"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(340</w:t>
            </w:r>
          </w:p>
        </w:tc>
        <w:tc>
          <w:tcPr>
            <w:tcW w:w="624" w:type="dxa"/>
            <w:tcBorders/>
            <w:vAlign w:val="bottom"/>
          </w:tcPr>
          <w:p>
            <w:pPr>
              <w:pStyle w:val="TableContents"/>
              <w:bidi w:val="0"/>
              <w:spacing w:before="0" w:after="283"/>
              <w:jc w:val="left"/>
              <w:rPr/>
            </w:pPr>
            <w:r>
              <w:rPr/>
              <w:t>) 3(i)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10,540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65,666</w:t>
            </w:r>
          </w:p>
        </w:tc>
        <w:tc>
          <w:tcPr>
            <w:tcW w:w="624" w:type="dxa"/>
            <w:tcBorders/>
            <w:shd w:fill="CCEEFF" w:val="clear"/>
            <w:vAlign w:val="bottom"/>
          </w:tcPr>
          <w:p>
            <w:pPr>
              <w:pStyle w:val="TableContents"/>
              <w:bidi w:val="0"/>
              <w:spacing w:before="0" w:after="283"/>
              <w:jc w:val="left"/>
              <w:rPr/>
            </w:pPr>
            <w:r>
              <w:rPr/>
              <w:t> </w:t>
            </w:r>
            <w:r>
              <w:rPr/>
              <w:t>3(g)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248,352</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18,143</w:t>
            </w:r>
          </w:p>
        </w:tc>
        <w:tc>
          <w:tcPr>
            <w:tcW w:w="624" w:type="dxa"/>
            <w:tcBorders/>
            <w:vAlign w:val="bottom"/>
          </w:tcPr>
          <w:p>
            <w:pPr>
              <w:pStyle w:val="TableContents"/>
              <w:bidi w:val="0"/>
              <w:spacing w:before="0" w:after="283"/>
              <w:jc w:val="left"/>
              <w:rPr/>
            </w:pPr>
            <w:r>
              <w:rPr/>
              <w:t> </w:t>
            </w:r>
            <w:r>
              <w:rPr/>
              <w:t>3(g)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1,075</w:t>
            </w:r>
          </w:p>
        </w:tc>
        <w:tc>
          <w:tcPr>
            <w:tcW w:w="624" w:type="dxa"/>
            <w:tcBorders/>
            <w:shd w:fill="CCEEFF" w:val="clear"/>
            <w:vAlign w:val="bottom"/>
          </w:tcPr>
          <w:p>
            <w:pPr>
              <w:pStyle w:val="TableContents"/>
              <w:bidi w:val="0"/>
              <w:spacing w:before="0" w:after="283"/>
              <w:jc w:val="left"/>
              <w:rPr/>
            </w:pPr>
            <w:r>
              <w:rPr/>
              <w:t> </w:t>
            </w:r>
            <w:r>
              <w:rPr/>
              <w:t>3(c)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(3,817</w:t>
            </w:r>
          </w:p>
        </w:tc>
        <w:tc>
          <w:tcPr>
            <w:tcW w:w="624" w:type="dxa"/>
            <w:tcBorders/>
            <w:vAlign w:val="bottom"/>
          </w:tcPr>
          <w:p>
            <w:pPr>
              <w:pStyle w:val="TableContents"/>
              <w:bidi w:val="0"/>
              <w:spacing w:before="0" w:after="283"/>
              <w:jc w:val="left"/>
              <w:rPr/>
            </w:pPr>
            <w:r>
              <w:rPr/>
              <w:t>) 3(g)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112,140</w:t>
            </w:r>
          </w:p>
        </w:tc>
        <w:tc>
          <w:tcPr>
            <w:tcW w:w="624" w:type="dxa"/>
            <w:tcBorders/>
            <w:shd w:fill="CCEEFF" w:val="clear"/>
            <w:vAlign w:val="bottom"/>
          </w:tcPr>
          <w:p>
            <w:pPr>
              <w:pStyle w:val="TableContents"/>
              <w:bidi w:val="0"/>
              <w:spacing w:before="0" w:after="283"/>
              <w:jc w:val="left"/>
              <w:rPr/>
            </w:pPr>
            <w:r>
              <w:rPr/>
              <w:t> </w:t>
            </w:r>
            <w:r>
              <w:rPr/>
              <w:t>3(i)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34,732</w:t>
            </w:r>
          </w:p>
        </w:tc>
        <w:tc>
          <w:tcPr>
            <w:tcW w:w="624" w:type="dxa"/>
            <w:tcBorders/>
            <w:vAlign w:val="bottom"/>
          </w:tcPr>
          <w:p>
            <w:pPr>
              <w:pStyle w:val="TableContents"/>
              <w:bidi w:val="0"/>
              <w:spacing w:before="0" w:after="283"/>
              <w:jc w:val="left"/>
              <w:rPr/>
            </w:pPr>
            <w:r>
              <w:rPr/>
              <w:t> </w:t>
            </w:r>
            <w:r>
              <w:rPr/>
              <w:t>3(j)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(570</w:t>
            </w:r>
          </w:p>
        </w:tc>
        <w:tc>
          <w:tcPr>
            <w:tcW w:w="624" w:type="dxa"/>
            <w:tcBorders/>
            <w:shd w:fill="CCEEFF" w:val="clear"/>
            <w:vAlign w:val="bottom"/>
          </w:tcPr>
          <w:p>
            <w:pPr>
              <w:pStyle w:val="TableContents"/>
              <w:bidi w:val="0"/>
              <w:spacing w:before="0" w:after="283"/>
              <w:jc w:val="left"/>
              <w:rPr/>
            </w:pPr>
            <w:r>
              <w:rPr/>
              <w:t>) 3(k)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10,863</w:t>
            </w:r>
          </w:p>
        </w:tc>
        <w:tc>
          <w:tcPr>
            <w:tcW w:w="624" w:type="dxa"/>
            <w:tcBorders/>
            <w:vAlign w:val="bottom"/>
          </w:tcPr>
          <w:p>
            <w:pPr>
              <w:pStyle w:val="TableContents"/>
              <w:bidi w:val="0"/>
              <w:spacing w:before="0" w:after="283"/>
              <w:jc w:val="left"/>
              <w:rPr/>
            </w:pPr>
            <w:r>
              <w:rPr/>
              <w:t> </w:t>
            </w:r>
            <w:r>
              <w:rPr/>
              <w:t>3(f)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15</w:t>
            </w:r>
          </w:p>
        </w:tc>
        <w:tc>
          <w:tcPr>
            <w:tcW w:w="624" w:type="dxa"/>
            <w:tcBorders/>
            <w:shd w:fill="CCEEFF" w:val="clear"/>
            <w:vAlign w:val="bottom"/>
          </w:tcPr>
          <w:p>
            <w:pPr>
              <w:pStyle w:val="TableContents"/>
              <w:bidi w:val="0"/>
              <w:spacing w:before="0" w:after="283"/>
              <w:jc w:val="left"/>
              <w:rPr/>
            </w:pPr>
            <w:r>
              <w:rPr/>
              <w:t> </w:t>
            </w:r>
            <w:r>
              <w:rPr/>
              <w:t>3(a)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(399</w:t>
            </w:r>
          </w:p>
        </w:tc>
        <w:tc>
          <w:tcPr>
            <w:tcW w:w="624" w:type="dxa"/>
            <w:tcBorders/>
            <w:vAlign w:val="bottom"/>
          </w:tcPr>
          <w:p>
            <w:pPr>
              <w:pStyle w:val="TableContents"/>
              <w:bidi w:val="0"/>
              <w:spacing w:before="0" w:after="283"/>
              <w:jc w:val="left"/>
              <w:rPr/>
            </w:pPr>
            <w:r>
              <w:rPr/>
              <w:t>) 3(k)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(36</w:t>
            </w:r>
          </w:p>
        </w:tc>
        <w:tc>
          <w:tcPr>
            <w:tcW w:w="624" w:type="dxa"/>
            <w:tcBorders/>
            <w:shd w:fill="CCEEFF" w:val="clear"/>
            <w:vAlign w:val="bottom"/>
          </w:tcPr>
          <w:p>
            <w:pPr>
              <w:pStyle w:val="TableContents"/>
              <w:bidi w:val="0"/>
              <w:spacing w:before="0" w:after="283"/>
              <w:jc w:val="left"/>
              <w:rPr/>
            </w:pPr>
            <w:r>
              <w:rPr/>
              <w:t>) 3(b)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Reserve for share-based payment</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2,771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w:t>
            </w:r>
          </w:p>
        </w:tc>
        <w:tc>
          <w:tcPr>
            <w:tcW w:w="6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2,771</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loss on post employment benefit obligations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6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(264</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100</w:t>
            </w:r>
          </w:p>
        </w:tc>
        <w:tc>
          <w:tcPr>
            <w:tcW w:w="624" w:type="dxa"/>
            <w:tcBorders/>
            <w:vAlign w:val="bottom"/>
          </w:tcPr>
          <w:p>
            <w:pPr>
              <w:pStyle w:val="TableContents"/>
              <w:bidi w:val="0"/>
              <w:spacing w:before="0" w:after="283"/>
              <w:jc w:val="left"/>
              <w:rPr/>
            </w:pPr>
            <w:r>
              <w:rPr/>
              <w:t> </w:t>
            </w:r>
            <w:r>
              <w:rPr/>
              <w:t>3(i)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Cumulative translation adjustments</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6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(300</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(7,442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(110,978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10,346</w:t>
            </w:r>
          </w:p>
        </w:tc>
        <w:tc>
          <w:tcPr>
            <w:tcW w:w="624" w:type="dxa"/>
            <w:tcBorders/>
            <w:vAlign w:val="bottom"/>
          </w:tcPr>
          <w:p>
            <w:pPr>
              <w:pStyle w:val="TableContents"/>
              <w:bidi w:val="0"/>
              <w:spacing w:before="0" w:after="283"/>
              <w:jc w:val="left"/>
              <w:rPr/>
            </w:pPr>
            <w:r>
              <w:rPr/>
              <w:t> </w:t>
            </w:r>
            <w:r>
              <w:rPr/>
              <w:t>3(i)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(146,361</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(34,732</w:t>
            </w:r>
          </w:p>
        </w:tc>
        <w:tc>
          <w:tcPr>
            <w:tcW w:w="624" w:type="dxa"/>
            <w:tcBorders/>
            <w:shd w:fill="CCEEFF" w:val="clear"/>
            <w:vAlign w:val="bottom"/>
          </w:tcPr>
          <w:p>
            <w:pPr>
              <w:pStyle w:val="TableContents"/>
              <w:bidi w:val="0"/>
              <w:spacing w:before="0" w:after="283"/>
              <w:jc w:val="left"/>
              <w:rPr/>
            </w:pPr>
            <w:r>
              <w:rPr/>
              <w:t>) 3(j)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(44</w:t>
            </w:r>
          </w:p>
        </w:tc>
        <w:tc>
          <w:tcPr>
            <w:tcW w:w="624" w:type="dxa"/>
            <w:tcBorders/>
            <w:vAlign w:val="bottom"/>
          </w:tcPr>
          <w:p>
            <w:pPr>
              <w:pStyle w:val="TableContents"/>
              <w:bidi w:val="0"/>
              <w:spacing w:before="0" w:after="283"/>
              <w:jc w:val="left"/>
              <w:rPr/>
            </w:pPr>
            <w:r>
              <w:rPr/>
              <w:t>) 3(e)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(2,860</w:t>
            </w:r>
          </w:p>
        </w:tc>
        <w:tc>
          <w:tcPr>
            <w:tcW w:w="624" w:type="dxa"/>
            <w:tcBorders/>
            <w:shd w:fill="CCEEFF" w:val="clear"/>
            <w:vAlign w:val="bottom"/>
          </w:tcPr>
          <w:p>
            <w:pPr>
              <w:pStyle w:val="TableContents"/>
              <w:bidi w:val="0"/>
              <w:spacing w:before="0" w:after="283"/>
              <w:jc w:val="left"/>
              <w:rPr/>
            </w:pPr>
            <w:r>
              <w:rPr/>
              <w:t>) 3(l)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(651</w:t>
            </w:r>
          </w:p>
        </w:tc>
        <w:tc>
          <w:tcPr>
            <w:tcW w:w="624" w:type="dxa"/>
            <w:tcBorders/>
            <w:vAlign w:val="bottom"/>
          </w:tcPr>
          <w:p>
            <w:pPr>
              <w:pStyle w:val="TableContents"/>
              <w:bidi w:val="0"/>
              <w:spacing w:before="0" w:after="283"/>
              <w:jc w:val="left"/>
              <w:rPr/>
            </w:pPr>
            <w:r>
              <w:rPr/>
              <w:t>) 3(k)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1,000,000 shares authorized</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62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200,000,000 shares authorized</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3</w:t>
            </w:r>
          </w:p>
        </w:tc>
        <w:tc>
          <w:tcPr>
            <w:tcW w:w="624" w:type="dxa"/>
            <w:tcBorders/>
            <w:vAlign w:val="bottom"/>
          </w:tcPr>
          <w:p>
            <w:pPr>
              <w:pStyle w:val="TableContents"/>
              <w:bidi w:val="0"/>
              <w:spacing w:before="0" w:after="283"/>
              <w:jc w:val="left"/>
              <w:rPr/>
            </w:pPr>
            <w:r>
              <w:rPr/>
              <w:t>(b)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20,000,000 shares authorized</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3</w:t>
            </w:r>
          </w:p>
        </w:tc>
        <w:tc>
          <w:tcPr>
            <w:tcW w:w="624" w:type="dxa"/>
            <w:tcBorders/>
            <w:shd w:fill="CCEEFF" w:val="clear"/>
            <w:vAlign w:val="bottom"/>
          </w:tcPr>
          <w:p>
            <w:pPr>
              <w:pStyle w:val="TableContents"/>
              <w:bidi w:val="0"/>
              <w:spacing w:before="0" w:after="283"/>
              <w:jc w:val="left"/>
              <w:rPr/>
            </w:pPr>
            <w:r>
              <w:rPr/>
              <w:t>(b)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 of Oculis</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36</w:t>
            </w:r>
          </w:p>
        </w:tc>
        <w:tc>
          <w:tcPr>
            <w:tcW w:w="624" w:type="dxa"/>
            <w:tcBorders/>
            <w:vAlign w:val="bottom"/>
          </w:tcPr>
          <w:p>
            <w:pPr>
              <w:pStyle w:val="TableContents"/>
              <w:bidi w:val="0"/>
              <w:spacing w:before="0" w:after="283"/>
              <w:jc w:val="left"/>
              <w:rPr/>
            </w:pPr>
            <w:r>
              <w:rPr/>
              <w:t> </w:t>
            </w:r>
            <w:r>
              <w:rPr/>
              <w:t>3(b)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327</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12</w:t>
            </w:r>
          </w:p>
        </w:tc>
        <w:tc>
          <w:tcPr>
            <w:tcW w:w="624" w:type="dxa"/>
            <w:tcBorders/>
            <w:shd w:fill="CCEEFF" w:val="clear"/>
            <w:vAlign w:val="bottom"/>
          </w:tcPr>
          <w:p>
            <w:pPr>
              <w:pStyle w:val="TableContents"/>
              <w:bidi w:val="0"/>
              <w:spacing w:before="0" w:after="283"/>
              <w:jc w:val="left"/>
              <w:rPr/>
            </w:pPr>
            <w:r>
              <w:rPr/>
              <w:t>3(f)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71</w:t>
            </w:r>
          </w:p>
        </w:tc>
        <w:tc>
          <w:tcPr>
            <w:tcW w:w="624" w:type="dxa"/>
            <w:tcBorders/>
            <w:vAlign w:val="bottom"/>
          </w:tcPr>
          <w:p>
            <w:pPr>
              <w:pStyle w:val="TableContents"/>
              <w:bidi w:val="0"/>
              <w:spacing w:before="0" w:after="283"/>
              <w:jc w:val="left"/>
              <w:rPr/>
            </w:pPr>
            <w:r>
              <w:rPr/>
              <w:t>3(g)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20</w:t>
            </w:r>
          </w:p>
        </w:tc>
        <w:tc>
          <w:tcPr>
            <w:tcW w:w="624" w:type="dxa"/>
            <w:tcBorders/>
            <w:shd w:fill="CCEEFF" w:val="clear"/>
            <w:vAlign w:val="bottom"/>
          </w:tcPr>
          <w:p>
            <w:pPr>
              <w:pStyle w:val="TableContents"/>
              <w:bidi w:val="0"/>
              <w:spacing w:before="0" w:after="283"/>
              <w:jc w:val="left"/>
              <w:rPr/>
            </w:pPr>
            <w:r>
              <w:rPr/>
              <w:t>3(g)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203</w:t>
            </w:r>
          </w:p>
        </w:tc>
        <w:tc>
          <w:tcPr>
            <w:tcW w:w="624" w:type="dxa"/>
            <w:tcBorders/>
            <w:vAlign w:val="bottom"/>
          </w:tcPr>
          <w:p>
            <w:pPr>
              <w:pStyle w:val="TableContents"/>
              <w:bidi w:val="0"/>
              <w:spacing w:before="0" w:after="283"/>
              <w:jc w:val="left"/>
              <w:rPr/>
            </w:pPr>
            <w:r>
              <w:rPr/>
              <w:t>3(i)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(15</w:t>
            </w:r>
          </w:p>
        </w:tc>
        <w:tc>
          <w:tcPr>
            <w:tcW w:w="624" w:type="dxa"/>
            <w:tcBorders/>
            <w:shd w:fill="CCEEFF" w:val="clear"/>
            <w:vAlign w:val="bottom"/>
          </w:tcPr>
          <w:p>
            <w:pPr>
              <w:pStyle w:val="TableContents"/>
              <w:bidi w:val="0"/>
              <w:spacing w:before="0" w:after="283"/>
              <w:jc w:val="left"/>
              <w:rPr/>
            </w:pPr>
            <w:r>
              <w:rPr/>
              <w:t>) 3(a)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24"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 (deficit)</w:t>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(7,442</w:t>
            </w:r>
          </w:p>
        </w:tc>
        <w:tc>
          <w:tcPr>
            <w:tcW w:w="15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(97,991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209,958</w:t>
            </w:r>
          </w:p>
        </w:tc>
        <w:tc>
          <w:tcPr>
            <w:tcW w:w="62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104,525</w:t>
            </w:r>
          </w:p>
        </w:tc>
        <w:tc>
          <w:tcPr>
            <w:tcW w:w="159"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single" w:sz="2" w:space="1" w:color="000000"/>
              </w:pBdr>
              <w:bidi w:val="0"/>
              <w:spacing w:before="0" w:after="0"/>
              <w:jc w:val="left"/>
              <w:rPr/>
            </w:pPr>
            <w:r>
              <w:rPr/>
              <w:t> </w:t>
            </w:r>
          </w:p>
        </w:tc>
        <w:tc>
          <w:tcPr>
            <w:tcW w:w="1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24"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50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(deficit)</w:t>
            </w:r>
          </w:p>
        </w:tc>
        <w:tc>
          <w:tcPr>
            <w:tcW w:w="177"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b/>
              </w:rPr>
            </w:pPr>
            <w:r>
              <w:rPr>
                <w:b/>
              </w:rPr>
              <w:t>119,814</w:t>
            </w:r>
          </w:p>
        </w:tc>
        <w:tc>
          <w:tcPr>
            <w:tcW w:w="15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b/>
              </w:rPr>
            </w:pPr>
            <w:r>
              <w:rPr>
                <w:b/>
              </w:rPr>
              <w:t>37,060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b/>
              </w:rPr>
            </w:pPr>
            <w:r>
              <w:rPr>
                <w:b/>
              </w:rPr>
              <w:t>(39,495</w:t>
            </w:r>
          </w:p>
        </w:tc>
        <w:tc>
          <w:tcPr>
            <w:tcW w:w="624" w:type="dxa"/>
            <w:tcBorders/>
            <w:shd w:fill="CCEEFF" w:val="clear"/>
            <w:vAlign w:val="bottom"/>
          </w:tcPr>
          <w:p>
            <w:pPr>
              <w:pStyle w:val="TableContents"/>
              <w:bidi w:val="0"/>
              <w:spacing w:before="0" w:after="283"/>
              <w:jc w:val="left"/>
              <w:rPr>
                <w:b/>
              </w:rPr>
            </w:pPr>
            <w:r>
              <w:rPr>
                <w:b/>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b/>
              </w:rPr>
            </w:pPr>
            <w:r>
              <w:rPr>
                <w:b/>
              </w:rPr>
              <w:t>117,379</w:t>
            </w:r>
          </w:p>
        </w:tc>
        <w:tc>
          <w:tcPr>
            <w:tcW w:w="159"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16" w:type="dxa"/>
            <w:tcBorders/>
            <w:vAlign w:val="bottom"/>
          </w:tcPr>
          <w:p>
            <w:pPr>
              <w:pStyle w:val="TableContents"/>
              <w:pBdr>
                <w:top w:val="double" w:sz="6" w:space="1" w:color="000000"/>
              </w:pBdr>
              <w:bidi w:val="0"/>
              <w:spacing w:before="0" w:after="0"/>
              <w:jc w:val="left"/>
              <w:rPr/>
            </w:pPr>
            <w:r>
              <w:rPr/>
              <w:t> </w:t>
            </w:r>
          </w:p>
        </w:tc>
        <w:tc>
          <w:tcPr>
            <w:tcW w:w="1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24"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0" w:after="0"/>
        <w:jc w:val="center"/>
        <w:rPr>
          <w:rFonts w:ascii="Times New Roman" w:hAnsi="Times New Roman"/>
          <w:b/>
          <w:sz w:val="20"/>
        </w:rPr>
      </w:pPr>
      <w:r>
        <w:rPr>
          <w:rFonts w:ascii="Times New Roman" w:hAnsi="Times New Roman"/>
          <w:b/>
          <w:sz w:val="20"/>
        </w:rPr>
        <w:t xml:space="preserve">(in CHF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10"/>
        <w:gridCol w:w="243"/>
        <w:gridCol w:w="144"/>
        <w:gridCol w:w="1582"/>
        <w:gridCol w:w="155"/>
        <w:gridCol w:w="186"/>
        <w:gridCol w:w="73"/>
        <w:gridCol w:w="955"/>
        <w:gridCol w:w="155"/>
        <w:gridCol w:w="186"/>
        <w:gridCol w:w="96"/>
        <w:gridCol w:w="1259"/>
        <w:gridCol w:w="626"/>
        <w:gridCol w:w="186"/>
        <w:gridCol w:w="60"/>
        <w:gridCol w:w="1150"/>
        <w:gridCol w:w="539"/>
      </w:tblGrid>
      <w:tr>
        <w:trPr/>
        <w:tc>
          <w:tcPr>
            <w:tcW w:w="261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61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 Historical</w:t>
              <w:br/>
              <w:t>as converted</w:t>
              <w:br/>
              <w:t>and translated</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IFRS,</w:t>
              <w:br/>
              <w:t>Historical</w:t>
            </w:r>
          </w:p>
        </w:tc>
        <w:tc>
          <w:tcPr>
            <w:tcW w:w="155" w:type="dxa"/>
            <w:tcBorders/>
            <w:vAlign w:val="bottom"/>
          </w:tcPr>
          <w:p>
            <w:pPr>
              <w:pStyle w:val="TableContents"/>
              <w:bidi w:val="0"/>
              <w:spacing w:before="0" w:after="283"/>
              <w:jc w:val="left"/>
              <w:rPr/>
            </w:pPr>
            <w:r>
              <w:rPr/>
              <w:t> </w:t>
            </w:r>
          </w:p>
        </w:tc>
        <w:tc>
          <w:tcPr>
            <w:tcW w:w="186" w:type="dxa"/>
            <w:vMerge w:val="restart"/>
            <w:tcBorders/>
            <w:vAlign w:val="bottom"/>
          </w:tcPr>
          <w:p>
            <w:pPr>
              <w:pStyle w:val="TableContents"/>
              <w:bidi w:val="0"/>
              <w:spacing w:before="0" w:after="283"/>
              <w:jc w:val="left"/>
              <w:rPr/>
            </w:pPr>
            <w:r>
              <w:rPr/>
              <w:t> </w:t>
            </w:r>
          </w:p>
        </w:tc>
        <w:tc>
          <w:tcPr>
            <w:tcW w:w="135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26" w:type="dxa"/>
            <w:vMerge w:val="restart"/>
            <w:tcBorders/>
            <w:vAlign w:val="bottom"/>
          </w:tcPr>
          <w:p>
            <w:pPr>
              <w:pStyle w:val="TableContents"/>
              <w:bidi w:val="0"/>
              <w:spacing w:before="0" w:after="283"/>
              <w:jc w:val="left"/>
              <w:rPr/>
            </w:pPr>
            <w:r>
              <w:rPr/>
              <w:t> </w:t>
            </w:r>
          </w:p>
        </w:tc>
        <w:tc>
          <w:tcPr>
            <w:tcW w:w="186" w:type="dxa"/>
            <w:vMerge w:val="restart"/>
            <w:tcBorders/>
            <w:vAlign w:val="bottom"/>
          </w:tcPr>
          <w:p>
            <w:pPr>
              <w:pStyle w:val="TableContents"/>
              <w:bidi w:val="0"/>
              <w:spacing w:before="0" w:after="283"/>
              <w:jc w:val="left"/>
              <w:rPr/>
            </w:pPr>
            <w:r>
              <w:rPr/>
              <w:t> </w:t>
            </w:r>
          </w:p>
        </w:tc>
        <w:tc>
          <w:tcPr>
            <w:tcW w:w="12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Pro Forma</w:t>
              <w:br/>
              <w:t>Statement of</w:t>
              <w:br/>
              <w:t>Operations</w:t>
            </w:r>
          </w:p>
        </w:tc>
        <w:tc>
          <w:tcPr>
            <w:tcW w:w="539" w:type="dxa"/>
            <w:vMerge w:val="restart"/>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26" w:type="dxa"/>
            <w:gridSpan w:val="2"/>
            <w:tcBorders>
              <w:bottom w:val="single" w:sz="8" w:space="0" w:color="000000"/>
            </w:tcBorders>
            <w:tcMar>
              <w:bottom w:w="28" w:type="dxa"/>
            </w:tcMar>
            <w:vAlign w:val="bottom"/>
          </w:tcPr>
          <w:p>
            <w:pPr>
              <w:pStyle w:val="TableContents"/>
              <w:bidi w:val="0"/>
              <w:spacing w:before="0" w:after="283"/>
              <w:jc w:val="center"/>
              <w:rPr/>
            </w:pPr>
            <w:r>
              <w:rPr>
                <w:b/>
              </w:rPr>
              <w:t>4(A)</w:t>
            </w:r>
            <w:r>
              <w:rPr/>
              <w:br/>
            </w:r>
            <w:r>
              <w:rPr>
                <w:b/>
              </w:rPr>
              <w:t>EBAC</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4(B)</w:t>
            </w:r>
            <w:r>
              <w:rPr/>
              <w:br/>
            </w:r>
            <w:r>
              <w:rPr>
                <w:b/>
              </w:rPr>
              <w:t>Oculis</w:t>
            </w:r>
          </w:p>
        </w:tc>
        <w:tc>
          <w:tcPr>
            <w:tcW w:w="155" w:type="dxa"/>
            <w:tcBorders/>
            <w:vAlign w:val="bottom"/>
          </w:tcPr>
          <w:p>
            <w:pPr>
              <w:pStyle w:val="TableContents"/>
              <w:bidi w:val="0"/>
              <w:spacing w:before="0" w:after="283"/>
              <w:jc w:val="left"/>
              <w:rPr/>
            </w:pPr>
            <w:r>
              <w:rPr/>
              <w:t> </w:t>
            </w:r>
          </w:p>
        </w:tc>
        <w:tc>
          <w:tcPr>
            <w:tcW w:w="186" w:type="dxa"/>
            <w:vMerge w:val="continue"/>
            <w:tcBorders/>
            <w:vAlign w:val="bottom"/>
          </w:tcPr>
          <w:p>
            <w:pPr>
              <w:pStyle w:val="Normal"/>
              <w:bidi w:val="0"/>
              <w:jc w:val="left"/>
              <w:rPr/>
            </w:pPr>
            <w:r>
              <w:rPr/>
            </w:r>
          </w:p>
        </w:tc>
        <w:tc>
          <w:tcPr>
            <w:tcW w:w="1355" w:type="dxa"/>
            <w:gridSpan w:val="2"/>
            <w:vMerge w:val="continue"/>
            <w:tcBorders>
              <w:bottom w:val="single" w:sz="8" w:space="0" w:color="000000"/>
            </w:tcBorders>
            <w:tcMar>
              <w:bottom w:w="28" w:type="dxa"/>
            </w:tcMar>
            <w:vAlign w:val="bottom"/>
          </w:tcPr>
          <w:p>
            <w:pPr>
              <w:pStyle w:val="Normal"/>
              <w:bidi w:val="0"/>
              <w:jc w:val="left"/>
              <w:rPr/>
            </w:pPr>
            <w:r>
              <w:rPr/>
            </w:r>
          </w:p>
        </w:tc>
        <w:tc>
          <w:tcPr>
            <w:tcW w:w="626" w:type="dxa"/>
            <w:vMerge w:val="continue"/>
            <w:tcBorders/>
            <w:vAlign w:val="bottom"/>
          </w:tcPr>
          <w:p>
            <w:pPr>
              <w:pStyle w:val="Normal"/>
              <w:bidi w:val="0"/>
              <w:jc w:val="left"/>
              <w:rPr/>
            </w:pPr>
            <w:r>
              <w:rPr/>
            </w:r>
          </w:p>
        </w:tc>
        <w:tc>
          <w:tcPr>
            <w:tcW w:w="186" w:type="dxa"/>
            <w:vMerge w:val="continue"/>
            <w:tcBorders>
              <w:bottom w:val="single" w:sz="8" w:space="0" w:color="000000"/>
            </w:tcBorders>
            <w:tcMar>
              <w:bottom w:w="28" w:type="dxa"/>
            </w:tcMar>
            <w:vAlign w:val="bottom"/>
          </w:tcPr>
          <w:p>
            <w:pPr>
              <w:pStyle w:val="Normal"/>
              <w:bidi w:val="0"/>
              <w:jc w:val="left"/>
              <w:rPr/>
            </w:pPr>
            <w:r>
              <w:rPr/>
            </w:r>
          </w:p>
        </w:tc>
        <w:tc>
          <w:tcPr>
            <w:tcW w:w="1210" w:type="dxa"/>
            <w:gridSpan w:val="2"/>
            <w:vMerge w:val="continue"/>
            <w:tcBorders/>
            <w:vAlign w:val="bottom"/>
          </w:tcPr>
          <w:p>
            <w:pPr>
              <w:pStyle w:val="Normal"/>
              <w:bidi w:val="0"/>
              <w:jc w:val="left"/>
              <w:rPr/>
            </w:pPr>
            <w:r>
              <w:rPr/>
            </w:r>
          </w:p>
        </w:tc>
        <w:tc>
          <w:tcPr>
            <w:tcW w:w="539" w:type="dxa"/>
            <w:vMerge w:val="continue"/>
            <w:tcBorders/>
            <w:vAlign w:val="bottom"/>
          </w:tcPr>
          <w:p>
            <w:pPr>
              <w:pStyle w:val="Normal"/>
              <w:bidi w:val="0"/>
              <w:jc w:val="left"/>
              <w:rPr/>
            </w:pPr>
            <w:r>
              <w:rPr/>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income</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912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912</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912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912</w:t>
            </w:r>
          </w:p>
        </w:tc>
        <w:tc>
          <w:tcPr>
            <w:tcW w:w="539"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(22,224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(22,224</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(2,477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(11,064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(34,732</w:t>
            </w:r>
          </w:p>
        </w:tc>
        <w:tc>
          <w:tcPr>
            <w:tcW w:w="626" w:type="dxa"/>
            <w:tcBorders/>
            <w:vAlign w:val="bottom"/>
          </w:tcPr>
          <w:p>
            <w:pPr>
              <w:pStyle w:val="TableContents"/>
              <w:bidi w:val="0"/>
              <w:spacing w:before="0" w:after="283"/>
              <w:jc w:val="left"/>
              <w:rPr/>
            </w:pPr>
            <w:r>
              <w:rPr/>
              <w:t>) 4(c)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(48,924</w:t>
            </w:r>
          </w:p>
        </w:tc>
        <w:tc>
          <w:tcPr>
            <w:tcW w:w="539"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(651</w:t>
            </w:r>
          </w:p>
        </w:tc>
        <w:tc>
          <w:tcPr>
            <w:tcW w:w="626" w:type="dxa"/>
            <w:tcBorders/>
            <w:shd w:fill="CCEEFF" w:val="clear"/>
            <w:vAlign w:val="bottom"/>
          </w:tcPr>
          <w:p>
            <w:pPr>
              <w:pStyle w:val="TableContents"/>
              <w:bidi w:val="0"/>
              <w:spacing w:before="0" w:after="283"/>
              <w:jc w:val="left"/>
              <w:rPr/>
            </w:pPr>
            <w:r>
              <w:rPr/>
              <w:t>) 4(e)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 related party</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182</w:t>
            </w:r>
          </w:p>
        </w:tc>
        <w:tc>
          <w:tcPr>
            <w:tcW w:w="626" w:type="dxa"/>
            <w:tcBorders/>
            <w:vAlign w:val="bottom"/>
          </w:tcPr>
          <w:p>
            <w:pPr>
              <w:pStyle w:val="TableContents"/>
              <w:bidi w:val="0"/>
              <w:spacing w:before="0" w:after="283"/>
              <w:jc w:val="left"/>
              <w:rPr/>
            </w:pPr>
            <w:r>
              <w:rPr/>
              <w:t> </w:t>
            </w:r>
            <w:r>
              <w:rPr/>
              <w:t>4(a)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539"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tax expense</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(32</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(2,691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(33,288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(35,201</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(71,180</w:t>
            </w:r>
          </w:p>
        </w:tc>
        <w:tc>
          <w:tcPr>
            <w:tcW w:w="539"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(2,691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(32,376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(35,201</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(70,268</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126</w:t>
            </w:r>
          </w:p>
        </w:tc>
        <w:tc>
          <w:tcPr>
            <w:tcW w:w="539"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(6,442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6,343</w:t>
            </w:r>
          </w:p>
        </w:tc>
        <w:tc>
          <w:tcPr>
            <w:tcW w:w="626" w:type="dxa"/>
            <w:tcBorders/>
            <w:shd w:fill="CCEEFF" w:val="clear"/>
            <w:vAlign w:val="bottom"/>
          </w:tcPr>
          <w:p>
            <w:pPr>
              <w:pStyle w:val="TableContents"/>
              <w:bidi w:val="0"/>
              <w:spacing w:before="0" w:after="283"/>
              <w:jc w:val="left"/>
              <w:rPr/>
            </w:pPr>
            <w:r>
              <w:rPr/>
              <w:t> </w:t>
            </w:r>
            <w:r>
              <w:rPr/>
              <w:t>4(d)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(99</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628</w:t>
            </w:r>
          </w:p>
        </w:tc>
        <w:tc>
          <w:tcPr>
            <w:tcW w:w="626" w:type="dxa"/>
            <w:tcBorders/>
            <w:vAlign w:val="bottom"/>
          </w:tcPr>
          <w:p>
            <w:pPr>
              <w:pStyle w:val="TableContents"/>
              <w:bidi w:val="0"/>
              <w:spacing w:before="0" w:after="283"/>
              <w:jc w:val="left"/>
              <w:rPr/>
            </w:pPr>
            <w:r>
              <w:rPr/>
              <w:t> </w:t>
            </w:r>
            <w:r>
              <w:rPr/>
              <w:t>4(f)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677</w:t>
            </w:r>
          </w:p>
        </w:tc>
        <w:tc>
          <w:tcPr>
            <w:tcW w:w="539"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1,261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1,261</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investments held in trust</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1,757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(1,757</w:t>
            </w:r>
          </w:p>
        </w:tc>
        <w:tc>
          <w:tcPr>
            <w:tcW w:w="626" w:type="dxa"/>
            <w:tcBorders/>
            <w:vAlign w:val="bottom"/>
          </w:tcPr>
          <w:p>
            <w:pPr>
              <w:pStyle w:val="TableContents"/>
              <w:bidi w:val="0"/>
              <w:spacing w:before="0" w:after="283"/>
              <w:jc w:val="left"/>
              <w:rPr/>
            </w:pPr>
            <w:r>
              <w:rPr/>
              <w:t>) 4(b)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  </w:t>
            </w:r>
          </w:p>
        </w:tc>
        <w:tc>
          <w:tcPr>
            <w:tcW w:w="539"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result, net</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3,018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(6,267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5,214</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1,965</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before tax</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(38,643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(29,987</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(68,303</w:t>
            </w:r>
          </w:p>
        </w:tc>
        <w:tc>
          <w:tcPr>
            <w:tcW w:w="539"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(55</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5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(38,698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(29,987</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(68,358</w:t>
            </w:r>
          </w:p>
        </w:tc>
        <w:tc>
          <w:tcPr>
            <w:tcW w:w="539" w:type="dxa"/>
            <w:tcBorders/>
            <w:vAlign w:val="bottom"/>
          </w:tcPr>
          <w:p>
            <w:pPr>
              <w:pStyle w:val="TableContents"/>
              <w:bidi w:val="0"/>
              <w:spacing w:before="0" w:after="283"/>
              <w:jc w:val="left"/>
              <w:rPr/>
            </w:pPr>
            <w:r>
              <w:rPr/>
              <w:t>) </w:t>
            </w:r>
          </w:p>
        </w:tc>
      </w:tr>
      <w:tr>
        <w:trPr/>
        <w:tc>
          <w:tcPr>
            <w:tcW w:w="261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5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626"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50" w:type="dxa"/>
            <w:tcBorders/>
            <w:vAlign w:val="bottom"/>
          </w:tcPr>
          <w:p>
            <w:pPr>
              <w:pStyle w:val="TableContents"/>
              <w:pBdr>
                <w:top w:val="double" w:sz="6" w:space="1" w:color="000000"/>
              </w:pBdr>
              <w:bidi w:val="0"/>
              <w:spacing w:before="0" w:after="0"/>
              <w:jc w:val="left"/>
              <w:rPr/>
            </w:pPr>
            <w:r>
              <w:rPr/>
              <w:t> </w:t>
            </w:r>
          </w:p>
        </w:tc>
        <w:tc>
          <w:tcPr>
            <w:tcW w:w="539" w:type="dxa"/>
            <w:tcBorders/>
            <w:vAlign w:val="center"/>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loss for the period attributable to equity holders</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(12.94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62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  </w:t>
            </w:r>
          </w:p>
        </w:tc>
        <w:tc>
          <w:tcPr>
            <w:tcW w:w="539" w:type="dxa"/>
            <w:tcBorders/>
            <w:shd w:fill="CCEEFF" w:val="clear"/>
            <w:vAlign w:val="bottom"/>
          </w:tcPr>
          <w:p>
            <w:pPr>
              <w:pStyle w:val="TableContents"/>
              <w:bidi w:val="0"/>
              <w:spacing w:before="0" w:after="283"/>
              <w:jc w:val="left"/>
              <w:rPr/>
            </w:pPr>
            <w:r>
              <w:rPr/>
              <w:t> </w:t>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loss per share, Class A Ordinary Shares</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(2.09</w:t>
            </w:r>
          </w:p>
        </w:tc>
        <w:tc>
          <w:tcPr>
            <w:tcW w:w="539" w:type="dxa"/>
            <w:tcBorders/>
            <w:vAlign w:val="bottom"/>
          </w:tcPr>
          <w:p>
            <w:pPr>
              <w:pStyle w:val="TableContents"/>
              <w:bidi w:val="0"/>
              <w:spacing w:before="0" w:after="283"/>
              <w:jc w:val="left"/>
              <w:rPr/>
            </w:pPr>
            <w:r>
              <w:rPr/>
              <w:t>) </w:t>
            </w:r>
          </w:p>
        </w:tc>
      </w:tr>
      <w:tr>
        <w:trPr/>
        <w:tc>
          <w:tcPr>
            <w:tcW w:w="26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w:t>
            </w:r>
          </w:p>
        </w:tc>
        <w:tc>
          <w:tcPr>
            <w:tcW w:w="243"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5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9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0" w:type="dxa"/>
            <w:tcBorders/>
            <w:shd w:fill="CCEEFF" w:val="clear"/>
            <w:vAlign w:val="bottom"/>
          </w:tcPr>
          <w:p>
            <w:pPr>
              <w:pStyle w:val="TableContents"/>
              <w:bidi w:val="0"/>
              <w:spacing w:before="0" w:after="283"/>
              <w:jc w:val="left"/>
              <w:rPr>
                <w:sz w:val="4"/>
                <w:szCs w:val="4"/>
              </w:rPr>
            </w:pPr>
            <w:r>
              <w:rPr>
                <w:sz w:val="4"/>
                <w:szCs w:val="4"/>
              </w:rPr>
            </w:r>
          </w:p>
        </w:tc>
        <w:tc>
          <w:tcPr>
            <w:tcW w:w="539" w:type="dxa"/>
            <w:tcBorders/>
            <w:shd w:fill="CCEEFF" w:val="clear"/>
            <w:vAlign w:val="bottom"/>
          </w:tcPr>
          <w:p>
            <w:pPr>
              <w:pStyle w:val="TableContents"/>
              <w:bidi w:val="0"/>
              <w:spacing w:before="0" w:after="283"/>
              <w:jc w:val="left"/>
              <w:rPr>
                <w:sz w:val="4"/>
                <w:szCs w:val="4"/>
              </w:rPr>
            </w:pPr>
            <w:r>
              <w:rPr>
                <w:sz w:val="4"/>
                <w:szCs w:val="4"/>
              </w:rPr>
            </w:r>
          </w:p>
        </w:tc>
      </w:tr>
      <w:tr>
        <w:trPr/>
        <w:tc>
          <w:tcPr>
            <w:tcW w:w="2610"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basic and diluted</w:t>
            </w:r>
          </w:p>
        </w:tc>
        <w:tc>
          <w:tcPr>
            <w:tcW w:w="243"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62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32,733,373</w:t>
            </w:r>
          </w:p>
        </w:tc>
        <w:tc>
          <w:tcPr>
            <w:tcW w:w="539" w:type="dxa"/>
            <w:tcBorders/>
            <w:vAlign w:val="bottom"/>
          </w:tcPr>
          <w:p>
            <w:pPr>
              <w:pStyle w:val="TableContents"/>
              <w:bidi w:val="0"/>
              <w:spacing w:before="0" w:after="283"/>
              <w:jc w:val="left"/>
              <w:rPr/>
            </w:pPr>
            <w:r>
              <w:rPr/>
              <w:t> </w:t>
            </w:r>
            <w:r>
              <w:rPr/>
              <w:t>4(g)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Pro Forma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were prepared in accordance with Article 11 of SEC Regulation S-X. The adjustments presented in the unaudited pro forma condensed combined financial statements have been identified and presented to provide relevant information necessary for an understanding of Oculis Holding AG reflecting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are derived from the EBAC historical financial statements, and the Oculis historical consolidated financial statements as adjusted to give effect to the Transactions. The unaudited pro forma condensed combined statement of financial position gives pro forma effect to the Transactions as if they had been consummated on December 31, 2022. The unaudited pro forma condensed combined statement of operations for the year ended December 31, 2022 gives effect to the Transactions as if they had occurred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adjustments. The pro forma adjustments reflecting the Transactions are based on information currently available and certain assumptions and methodologies that management believes are reasonable under the circumstances. The pro forma adjustments, which are described in the accompanying notes, may be revised as additional information becomes available and is evaluated. Therefore, the actual adjustments may materially differ from the pro forma adjustments, and it is possible the difference may be material. Management believes that its assumptions and methodologies provide a reasonable basis for presenting all of the significant effects of the Transactions based on information available at this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Transactions. EBAC and Oculis have not had any historical relationship prior to the Transactions. Accordingly, no pro forma adjustments were required to eliminate activities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consolidated financial statements of Oculis have been prepared in accordance with IFRS and in its presentation currency of CHF. The historical financial statements of EBAC have been prepared in accordance with U.S. GAAP in its presentation currency U.S. dollars. The historical financial information of EBAC has been adjusted to give effect to the differences between U.S. GAAP and IFRS for the purposes of the combined pro forma financial information, which included the only adjustment to reclassify the carrying value of EBACs Class A Common Stock subject to possible redemption classified as mezzanine equity under U.S. GAAP to non-current liabilities under IFRS. IFRS differs from U.S. GAAP in certain material respects and thus may not be comparable to financial information presented by U.S. companies. </w:t>
      </w:r>
    </w:p>
    <w:p>
      <w:pPr>
        <w:pStyle w:val="TextBody"/>
        <w:bidi w:val="0"/>
        <w:spacing w:before="240" w:after="0"/>
        <w:jc w:val="left"/>
        <w:rPr>
          <w:rFonts w:ascii="Times New Roman" w:hAnsi="Times New Roman"/>
          <w:sz w:val="20"/>
        </w:rPr>
      </w:pPr>
      <w:r>
        <w:rPr>
          <w:rFonts w:ascii="Times New Roman" w:hAnsi="Times New Roman"/>
          <w:sz w:val="20"/>
        </w:rPr>
        <w:t>The historical financial information of EBAC has been translated into CHF for the purposes of presentation in the unaudited pro forma condensed combined financial statements (</w:t>
      </w:r>
      <w:r>
        <w:rPr>
          <w:rFonts w:ascii="Times New Roman" w:hAnsi="Times New Roman"/>
          <w:i/>
          <w:sz w:val="20"/>
        </w:rPr>
        <w:t>As Converted</w:t>
      </w:r>
      <w:r>
        <w:rPr>
          <w:rFonts w:ascii="Times New Roman" w:hAnsi="Times New Roman"/>
          <w:sz w:val="20"/>
        </w:rPr>
        <w:t xml:space="preserve">) using the following exchange rates: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period end exchange rate as of December 31, 2022 of $1.00 to CHF 0.92341 for the unaudited pro forma condensed combined statement of financial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exchange rate for the period from January 1, 2022 through December 31, 2022 of $1.00 to CHF 0.95474 for the unaudited pro forma condensed combined statement of operations for the year ended December 31,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legal form, the Business Combination will be accounted for as a capital reorganization. Under this method of accounting, EBAC will be treated as the acquired company for financial reporting purposes, whereas Oculis will be treated as the accounting acquiror. In accordance with this accounting method, the Business Combination will be treated as the equivalent of Oculis issuing stock for the net assets of EBAC, accompanied by a recapitalization. The net assets of Oculis will be stated at historical cost, with no goodwill or other intangible assets recorded, and operations prior to the Business Combination will be those of Oculis. Oculis has been determined to be the accounting acquiror for purposes of the Business Combination based on an evaluation of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affiliated with Legacy Oculis control a majority of the Oculis Holding AG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Oculis Shareholders have the largest voting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Oculis is the largest entity based on the entitys operations and number of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Oculis operations prior to the Business Combination comprise the ongoing operations of Oculis Holding AG;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Legacy Oculis existing executive officers and senior management team comprise the executive officers and senior management team of Oculis Holding AG.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Combination, which is not within the scope of IFRS 3 since EBAC does not meet the definition of a business in accordance with IFRS 3, is accounted for within the scope of IFRS 2. Any excess of fair value of ordinary shares issued over the fair value of EBACs identifiable net assets acquired represents compensation for the service of a stock exchange listing for its shares and is expensed as incurred.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Financial Position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financial position as of December 31, 2022 of EBAC (after applying an adjustment to convert to IFRS and translate into CHF as noted above). The US GAAP to IFRS adjustment was to reclassify the carrying value of EBACs Class A Common Stock subject to possible redemption to non-current liabilities under IFRS.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financial position of Legacy Oculis as of December 31, 2022.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 forma 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forfeiture of 727,096 Sponsor shares upon signing the Business Combination Agreement and an additional forfeiture of 795,316 Sponsor as a result of the level of redemptions by EBAC Public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exchange of EBAC Common Stock and warrants for ordinary shares and Warrants. Ordinary Shares were recorded at par value of CHF 0.01 as increase to share capital of CHF 36 thousand and a decrease to share premium in amount of CHF 36 thousand.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EBACs deferred underwriting fee payable as of December 31, 2022 of CHF 3.0 million incurred in connection with the EBAC initial public offering, which was payable upon completion of the Business Combination. The payment of CHF 3.0 million has been recorded as a reduction of CHF 4.1 million of deferred underwriting fee payable and a corresponding CHF 1.1 million increase to share premium as a result of a concession agreed with the underwriters.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investments from the trust account to cash and cash equivalents, before reflecting the actual redemptions by EBAC public shareholders to exchange their EBAC Class A Common Stock redeemed for their pro rata share of the Trust Account (see (h)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e)</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payment of EBACs accrued expenses and other payables of CHF 0.7 million, deferred legal fees of CHF 1.8 million and a reclassification of deferred transaction cost of CHF 44 thousand that are deemed to be direct and incremental costs of the Business Combination from prepaid expenses to accumulated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3"/>
        <w:gridCol w:w="509"/>
        <w:gridCol w:w="9293"/>
      </w:tblGrid>
      <w:tr>
        <w:trPr/>
        <w:tc>
          <w:tcPr>
            <w:tcW w:w="4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reclassification of 1,249,100 shares of EBAC Class A Common Stock that were not redeemed to share capital of CHF 12 thousand and share premium of CHF 10.9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issuance of 7,118,891 ordinary shares related to the PIPE Financing and 1,967,000 ordinary shares related to the Convertible Loan Agreement at a price of CHF 9.23 or $10.00 per share, for total gross proceeds of CHF 83.9 million or $90.9 million, and to record the fees associated with the consummation of the PIPE Financing in the amount of CHF 3.8 million or $4.1 million. The issuance is recorded as an increase of CHF 83.9 million to cash and cash equivalents, an increase to share capital of CHF 91.0 thousand and an increase to share premium in amount of CHF 83.8 million. The PIPE fees are recorded as a decrease to cash and cash equivalents and a decrease to share premium.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actual redemption of 11,505,684 shares of EBAC Class A Common Stock resulting in a reduction of CHF 108.5 million or $117.5 million in cash and cash equivalents prior to the consummation of the Transactions at a redemption price of approximately CHF 9.43 or $10.21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7"/>
        <w:gridCol w:w="9294"/>
      </w:tblGrid>
      <w:tr>
        <w:trPr/>
        <w:tc>
          <w:tcPr>
            <w:tcW w:w="404"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recapitalization of Oculis through the exchange of all outstanding common and preferred stock of Oculis for the issuance of 20,277,002 ordinary shares and the elimination of the accumulated losses of EBAC, the accounting acquiree. As a result of the recapitalization, Legacy Oculis share capital of CHF 0.3 million, EBAC accumulated deficit of CHF 10.3 million and Oculis treasury stock of CHF 0.1 million were derecognized. The ordinary shares issued in exchange for the common and preferred shares of Legacy Oculis was recorded as increase to share capital of CHF 203 thousand and increase to share premium of CHF 112.1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7"/>
        <w:gridCol w:w="9294"/>
      </w:tblGrid>
      <w:tr>
        <w:trPr/>
        <w:tc>
          <w:tcPr>
            <w:tcW w:w="404"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j)</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To record the cost of Oculis share listing service. As described in Note 2 above, Oculis was determined to be the accounting acquirer and EBAC is not considered to be a business under IFRS 3. Therefore, Business Combination will be accounted for as the equivalent of Oculis issuing shares at the closing of the Business Combination for the net assets of EBAC as of the Acquisition Closing Date, accompanied by a recapitalization. This deemed issuance of shares by Oculis, in effect, was an equity-settled share- based payment transaction in accordance with IFRS 2 Share-based Payment (</w:t>
            </w:r>
            <w:r>
              <w:rPr>
                <w:rFonts w:ascii="Times New Roman" w:hAnsi="Times New Roman"/>
                <w:i/>
                <w:sz w:val="20"/>
              </w:rPr>
              <w:t>IFRS 2</w:t>
            </w:r>
            <w:r>
              <w:rPr>
                <w:rFonts w:ascii="Times New Roman" w:hAnsi="Times New Roman"/>
                <w:sz w:val="20"/>
              </w:rPr>
              <w:t xml:space="preserve">) whereby Oculis received the net assets of the EBAC together with the listing status of EBAC.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the ordinary shares deemed to be issued in excess of the fair value of identifiable net assets of EBAC represents a service received by Oculis for the listing of ordinary shares in accordance with IFRS 2. As shown in the table below, the cost of the services, which is a non-cash expense, is estimated to be CHF 34.7 million. The Company has determined that the fair value of the Earnout Shares should be accounted for as a component of the deemed cost of the listing services upon consummation of the Business Combination. However, the Company also determined that no separate adjustment is necessary as the fair value of the Earnout Shares is inherently reflected within the quoted price of EBACs shares used in valuing the consideration given to Oculis Holding AG shareholders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deriving the deemed cost of listing services. The fair value of shares issued was based on the closing market price of CHF 10.51 or $11.19 per share as of March 2,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56"/>
        <w:gridCol w:w="310"/>
        <w:gridCol w:w="151"/>
        <w:gridCol w:w="1398"/>
        <w:gridCol w:w="60"/>
        <w:gridCol w:w="310"/>
        <w:gridCol w:w="60"/>
        <w:gridCol w:w="1182"/>
        <w:gridCol w:w="159"/>
        <w:gridCol w:w="310"/>
        <w:gridCol w:w="67"/>
        <w:gridCol w:w="1043"/>
        <w:gridCol w:w="166"/>
      </w:tblGrid>
      <w:tr>
        <w:trPr/>
        <w:tc>
          <w:tcPr>
            <w:tcW w:w="3356"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br/>
              <w:t>Value, in</w:t>
              <w:br/>
              <w:t>CHF* (as of</w:t>
              <w:br/>
              <w:t>March 2, 2023)</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1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br/>
              <w:t>(in CHF</w:t>
              <w:br/>
              <w:t>thousands)</w:t>
            </w:r>
          </w:p>
        </w:tc>
        <w:tc>
          <w:tcPr>
            <w:tcW w:w="166"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EBAC Public Shareholders</w:t>
            </w:r>
          </w:p>
        </w:tc>
        <w:tc>
          <w:tcPr>
            <w:tcW w:w="3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12,754,784</w:t>
            </w:r>
          </w:p>
        </w:tc>
        <w:tc>
          <w:tcPr>
            <w:tcW w:w="15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134,063</w:t>
            </w:r>
          </w:p>
        </w:tc>
        <w:tc>
          <w:tcPr>
            <w:tcW w:w="166"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EBAC Sponsor Class B</w:t>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10.51</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3,188,696</w:t>
            </w:r>
          </w:p>
        </w:tc>
        <w:tc>
          <w:tcPr>
            <w:tcW w:w="15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33,516</w:t>
            </w:r>
          </w:p>
        </w:tc>
        <w:tc>
          <w:tcPr>
            <w:tcW w:w="166"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EBAC Sponsor Class A</w:t>
            </w:r>
          </w:p>
        </w:tc>
        <w:tc>
          <w:tcPr>
            <w:tcW w:w="3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455,096</w:t>
            </w:r>
          </w:p>
        </w:tc>
        <w:tc>
          <w:tcPr>
            <w:tcW w:w="15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4,783</w:t>
            </w:r>
          </w:p>
        </w:tc>
        <w:tc>
          <w:tcPr>
            <w:tcW w:w="166"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EBAC Private Warrants</w:t>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0.48</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151,699</w:t>
            </w:r>
          </w:p>
        </w:tc>
        <w:tc>
          <w:tcPr>
            <w:tcW w:w="15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73</w:t>
            </w:r>
          </w:p>
        </w:tc>
        <w:tc>
          <w:tcPr>
            <w:tcW w:w="166"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EBAC Public Warrants</w:t>
            </w:r>
          </w:p>
        </w:tc>
        <w:tc>
          <w:tcPr>
            <w:tcW w:w="3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0.48</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4,251,595</w:t>
            </w:r>
          </w:p>
        </w:tc>
        <w:tc>
          <w:tcPr>
            <w:tcW w:w="15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2,057</w:t>
            </w:r>
          </w:p>
        </w:tc>
        <w:tc>
          <w:tcPr>
            <w:tcW w:w="166"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Redemptions of EBAC Class A ordinary shares</w:t>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10.51</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(11,505,684</w:t>
            </w:r>
          </w:p>
        </w:tc>
        <w:tc>
          <w:tcPr>
            <w:tcW w:w="15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(120,934</w:t>
            </w:r>
          </w:p>
        </w:tc>
        <w:tc>
          <w:tcPr>
            <w:tcW w:w="166"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Sponsors shares forfeiture</w:t>
            </w:r>
          </w:p>
        </w:tc>
        <w:tc>
          <w:tcPr>
            <w:tcW w:w="3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398" w:type="dxa"/>
            <w:tcBorders/>
            <w:shd w:fill="CCEEFF" w:val="clear"/>
            <w:vAlign w:val="bottom"/>
          </w:tcPr>
          <w:p>
            <w:pPr>
              <w:pStyle w:val="TableContents"/>
              <w:bidi w:val="0"/>
              <w:spacing w:before="0" w:after="283"/>
              <w:jc w:val="right"/>
              <w:rPr/>
            </w:pPr>
            <w:r>
              <w:rPr/>
              <w:t>10.51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(1,522,412</w:t>
            </w:r>
          </w:p>
        </w:tc>
        <w:tc>
          <w:tcPr>
            <w:tcW w:w="15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(16,002</w:t>
            </w:r>
          </w:p>
        </w:tc>
        <w:tc>
          <w:tcPr>
            <w:tcW w:w="166"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consideration transferred</w:t>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7,773,773</w:t>
            </w:r>
          </w:p>
        </w:tc>
        <w:tc>
          <w:tcPr>
            <w:tcW w:w="15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b/>
              </w:rPr>
            </w:pPr>
            <w:r>
              <w:rPr>
                <w:b/>
              </w:rPr>
              <w:t>37,556</w:t>
            </w:r>
          </w:p>
        </w:tc>
        <w:tc>
          <w:tcPr>
            <w:tcW w:w="166"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assets of EBAC</w:t>
            </w:r>
          </w:p>
        </w:tc>
        <w:tc>
          <w:tcPr>
            <w:tcW w:w="31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(2,824</w:t>
            </w:r>
          </w:p>
        </w:tc>
        <w:tc>
          <w:tcPr>
            <w:tcW w:w="166"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Excess of net assets</w:t>
            </w:r>
          </w:p>
        </w:tc>
        <w:tc>
          <w:tcPr>
            <w:tcW w:w="31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b/>
              </w:rPr>
            </w:pPr>
            <w:r>
              <w:rPr>
                <w:b/>
              </w:rPr>
              <w:t>34,732</w:t>
            </w:r>
          </w:p>
        </w:tc>
        <w:tc>
          <w:tcPr>
            <w:tcW w:w="1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2"/>
        <w:gridCol w:w="299"/>
        <w:gridCol w:w="60"/>
        <w:gridCol w:w="1077"/>
        <w:gridCol w:w="161"/>
      </w:tblGrid>
      <w:tr>
        <w:trPr/>
        <w:tc>
          <w:tcPr>
            <w:tcW w:w="5342"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 of December 31, 2022</w:t>
            </w:r>
          </w:p>
        </w:tc>
        <w:tc>
          <w:tcPr>
            <w:tcW w:w="2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119,814</w:t>
            </w:r>
          </w:p>
        </w:tc>
        <w:tc>
          <w:tcPr>
            <w:tcW w:w="161"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Actual redemption for cash</w:t>
            </w:r>
          </w:p>
        </w:tc>
        <w:tc>
          <w:tcPr>
            <w:tcW w:w="2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(108,488</w:t>
            </w:r>
          </w:p>
        </w:tc>
        <w:tc>
          <w:tcPr>
            <w:tcW w:w="161" w:type="dxa"/>
            <w:tcBorders/>
            <w:shd w:fill="CCEEFF" w:val="clear"/>
            <w:vAlign w:val="bottom"/>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(2,551</w:t>
            </w:r>
          </w:p>
        </w:tc>
        <w:tc>
          <w:tcPr>
            <w:tcW w:w="161"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fee payable</w:t>
            </w:r>
          </w:p>
        </w:tc>
        <w:tc>
          <w:tcPr>
            <w:tcW w:w="2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(3,047</w:t>
            </w:r>
          </w:p>
        </w:tc>
        <w:tc>
          <w:tcPr>
            <w:tcW w:w="161" w:type="dxa"/>
            <w:tcBorders/>
            <w:shd w:fill="CCEEFF" w:val="clear"/>
            <w:vAlign w:val="bottom"/>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sz w:val="20"/>
              </w:rPr>
            </w:pPr>
            <w:r>
              <w:rPr>
                <w:rFonts w:ascii="Times New Roman" w:hAnsi="Times New Roman"/>
                <w:sz w:val="20"/>
              </w:rPr>
              <w:t>Direct and incremental transaction costs</w:t>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(2,860</w:t>
            </w:r>
          </w:p>
        </w:tc>
        <w:tc>
          <w:tcPr>
            <w:tcW w:w="161" w:type="dxa"/>
            <w:tcBorders/>
            <w:vAlign w:val="bottom"/>
          </w:tcPr>
          <w:p>
            <w:pPr>
              <w:pStyle w:val="TableContents"/>
              <w:bidi w:val="0"/>
              <w:spacing w:before="0" w:after="283"/>
              <w:jc w:val="left"/>
              <w:rPr/>
            </w:pPr>
            <w:r>
              <w:rPr/>
              <w:t>) </w:t>
            </w:r>
          </w:p>
        </w:tc>
      </w:tr>
      <w:tr>
        <w:trPr/>
        <w:tc>
          <w:tcPr>
            <w:tcW w:w="5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 expensed to accumulated losses in connection with Business Combination</w:t>
            </w:r>
          </w:p>
        </w:tc>
        <w:tc>
          <w:tcPr>
            <w:tcW w:w="29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(44</w:t>
            </w:r>
          </w:p>
        </w:tc>
        <w:tc>
          <w:tcPr>
            <w:tcW w:w="161" w:type="dxa"/>
            <w:tcBorders/>
            <w:shd w:fill="CCEEFF" w:val="clear"/>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42"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of EBAC**</w:t>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b/>
              </w:rPr>
            </w:pPr>
            <w:r>
              <w:rPr>
                <w:b/>
              </w:rPr>
              <w:t>2,824</w:t>
            </w:r>
          </w:p>
        </w:tc>
        <w:tc>
          <w:tcPr>
            <w:tcW w:w="161" w:type="dxa"/>
            <w:tcBorders/>
            <w:vAlign w:val="bottom"/>
          </w:tcPr>
          <w:p>
            <w:pPr>
              <w:pStyle w:val="TableContents"/>
              <w:bidi w:val="0"/>
              <w:spacing w:before="0" w:after="283"/>
              <w:jc w:val="left"/>
              <w:rPr/>
            </w:pPr>
            <w:r>
              <w:rPr/>
              <w:t> </w:t>
            </w:r>
          </w:p>
        </w:tc>
      </w:tr>
      <w:tr>
        <w:trPr/>
        <w:tc>
          <w:tcPr>
            <w:tcW w:w="5342"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7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value at closing for EBAC Common Stock and EBAC Public Warrants were CHF 10.51 or $11.19 and CHF 0.48 or $0.52 per security, respectively. Although both public and private warrants are linked to shares of EBAC Common Stock, the warrants will remain outstanding while the EBAC Common Stock will be redeemed.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exchange rate as of December 31, 2022 of $1.00 to CHF 0.92341. On the basis of the foreign exchange rate of $1.00 to CHF 0.93930 as of March 2, 2023, the net assets of EBAC as of December 31, 2022 translated into CHF is approximately CHF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total costs related to the Business Combination incurred by Oculis of CHF 4.8 million for advisory, legal, research and accounting fees incurred. As of December 31, 2022, CHF 3.2 million have been recorded as expenses, of which CHF 1.0 million are accrued in accrued expenses and other payables. CHF 0.6 million was deferred and capitalized to other current assets and has been reclassified to share premium.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transaction costs incurred after December 31, 2022 are CHF 1.1 million, of which CHF 0.4 million are recognized through share premium and CHF 0.7 million are recognized as an expense through accumulated loss (Note 4e).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incremental transaction costs incurred by EBAC of CHF 2.9 million for advisory, legal, research and accounting expenses incurred as part of the Business Combination. These incremental transaction costs are assumed to be cash settled and are recognized as an expense through accumulated losses as of December 31, 2022.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to Unaudited Pro Forma Condensed Combined Statement of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notes and adjustments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 forma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operations of EBAC for the year ended December 31, 2022 (after translating from USD into CHF).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Derived from the audited consolidated statement of loss of Legacy Oculis for the year ended </w:t>
            </w:r>
          </w:p>
        </w:tc>
      </w:tr>
    </w:tbl>
    <w:p>
      <w:pPr>
        <w:pStyle w:val="TextBody"/>
        <w:bidi w:val="0"/>
        <w:spacing w:before="0" w:after="0"/>
        <w:jc w:val="left"/>
        <w:rPr>
          <w:rFonts w:ascii="Times New Roman" w:hAnsi="Times New Roman"/>
          <w:sz w:val="20"/>
        </w:rPr>
      </w:pPr>
      <w:r>
        <w:rPr>
          <w:rFonts w:ascii="Times New Roman" w:hAnsi="Times New Roman"/>
          <w:sz w:val="20"/>
        </w:rPr>
        <w:t xml:space="preserve">December 31,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 forma 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an adjustment to eliminate general and administrative expensesrelated party which represent reimbursement to the Sponsor for the office space, administrative and support services provided to EBAC. The service agreement between the Sponsor and EBAC terminated in October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an adjustment to eliminate interest and dividend income earned on investments held in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an adjustment to record the IFRS 2 Oculis share listing service cost described in Note 3j of CHF 34.7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an adjustment to eliminate finance expense on accrued dividends for Series B and C preferred shares assuming that preferred shares were exchanged for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e)</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estimated Oculis transaction costs of CHF 0.7 million expensed as part of the Business Combination (Note 3k). These costs are a nonrecurring item.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an adjustment to derecognize the currency exchange gain and loss from revaluation of the Series C long-term liability assuming the preferred shares were exchanged for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basic and diluted net loss per share amounts presented in the unaudited pro forma condensed combined statements of operations are based upon the number of ordinary shares outstanding as if the Transactions occurred on January 1, 2022. The calculation of weighted-average shares outstanding for pro forma basic and diluted net loss per share assumes that the ordinary shares issued in connection with the Transactions have been outstanding for the entirety of the statements of operations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 forma weighted-average common shares outstandingbasic and diluted is calculated as: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32"/>
        <w:gridCol w:w="285"/>
        <w:gridCol w:w="60"/>
        <w:gridCol w:w="1163"/>
        <w:gridCol w:w="157"/>
        <w:gridCol w:w="285"/>
        <w:gridCol w:w="60"/>
        <w:gridCol w:w="588"/>
        <w:gridCol w:w="325"/>
      </w:tblGrid>
      <w:tr>
        <w:trPr/>
        <w:tc>
          <w:tcPr>
            <w:tcW w:w="4832"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832"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48" w:type="dxa"/>
            <w:gridSpan w:val="2"/>
            <w:tcBorders/>
            <w:vAlign w:val="bottom"/>
          </w:tcPr>
          <w:p>
            <w:pPr>
              <w:pStyle w:val="TableContents"/>
              <w:bidi w:val="0"/>
              <w:spacing w:before="0" w:after="283"/>
              <w:jc w:val="center"/>
              <w:rPr>
                <w:b/>
              </w:rPr>
            </w:pPr>
            <w:r>
              <w:rPr>
                <w:b/>
              </w:rPr>
              <w:t>%</w:t>
            </w:r>
          </w:p>
        </w:tc>
        <w:tc>
          <w:tcPr>
            <w:tcW w:w="325"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Weighted-average shares calculationbasic and diluted</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owned by Sponsors</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2,047,302</w:t>
            </w:r>
          </w:p>
        </w:tc>
        <w:tc>
          <w:tcPr>
            <w:tcW w:w="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6.3</w:t>
            </w:r>
          </w:p>
        </w:tc>
        <w:tc>
          <w:tcPr>
            <w:tcW w:w="325"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 owned by EBAC Public Shareholders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1,323,178</w:t>
            </w:r>
          </w:p>
        </w:tc>
        <w:tc>
          <w:tcPr>
            <w:tcW w:w="157"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4.1</w:t>
            </w:r>
          </w:p>
        </w:tc>
        <w:tc>
          <w:tcPr>
            <w:tcW w:w="325"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PIPE Financing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7,118,891</w:t>
            </w:r>
          </w:p>
        </w:tc>
        <w:tc>
          <w:tcPr>
            <w:tcW w:w="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21.7</w:t>
            </w:r>
          </w:p>
        </w:tc>
        <w:tc>
          <w:tcPr>
            <w:tcW w:w="325" w:type="dxa"/>
            <w:tcBorders/>
            <w:vAlign w:val="bottom"/>
          </w:tcPr>
          <w:p>
            <w:pPr>
              <w:pStyle w:val="TableContents"/>
              <w:bidi w:val="0"/>
              <w:spacing w:before="0" w:after="283"/>
              <w:jc w:val="left"/>
              <w:rPr/>
            </w:pPr>
            <w:r>
              <w:rPr/>
              <w:t>% </w:t>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ordinary shares in connection with closing of the Convertible Loan Agreement</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1,967,000</w:t>
            </w:r>
          </w:p>
        </w:tc>
        <w:tc>
          <w:tcPr>
            <w:tcW w:w="157"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6.0</w:t>
            </w:r>
          </w:p>
        </w:tc>
        <w:tc>
          <w:tcPr>
            <w:tcW w:w="325" w:type="dxa"/>
            <w:tcBorders/>
            <w:shd w:fill="CCEEFF" w:val="clear"/>
            <w:vAlign w:val="bottom"/>
          </w:tcPr>
          <w:p>
            <w:pPr>
              <w:pStyle w:val="TableContents"/>
              <w:bidi w:val="0"/>
              <w:spacing w:before="0" w:after="283"/>
              <w:jc w:val="left"/>
              <w:rPr/>
            </w:pPr>
            <w:r>
              <w:rPr/>
              <w:t>% </w:t>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ordinary shares to Legacy Oculis stockholders in connection with Business Combination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20,277,002</w:t>
            </w:r>
          </w:p>
        </w:tc>
        <w:tc>
          <w:tcPr>
            <w:tcW w:w="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61.9</w:t>
            </w:r>
          </w:p>
        </w:tc>
        <w:tc>
          <w:tcPr>
            <w:tcW w:w="325" w:type="dxa"/>
            <w:tcBorders/>
            <w:vAlign w:val="bottom"/>
          </w:tcPr>
          <w:p>
            <w:pPr>
              <w:pStyle w:val="TableContents"/>
              <w:bidi w:val="0"/>
              <w:spacing w:before="0" w:after="283"/>
              <w:jc w:val="left"/>
              <w:rPr/>
            </w:pPr>
            <w:r>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r>
      <w:tr>
        <w:trPr/>
        <w:tc>
          <w:tcPr>
            <w:tcW w:w="48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weighted-average shares outstandingbasic and diluted</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b/>
              </w:rPr>
            </w:pPr>
            <w:r>
              <w:rPr>
                <w:b/>
              </w:rPr>
              <w:t>32,733,373</w:t>
            </w:r>
          </w:p>
        </w:tc>
        <w:tc>
          <w:tcPr>
            <w:tcW w:w="157"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b/>
              </w:rPr>
            </w:pPr>
            <w:r>
              <w:rPr>
                <w:b/>
              </w:rPr>
              <w:t>100.0</w:t>
            </w:r>
          </w:p>
        </w:tc>
        <w:tc>
          <w:tcPr>
            <w:tcW w:w="325" w:type="dxa"/>
            <w:tcBorders/>
            <w:shd w:fill="CCEEFF" w:val="clear"/>
            <w:vAlign w:val="bottom"/>
          </w:tcPr>
          <w:p>
            <w:pPr>
              <w:pStyle w:val="TableContents"/>
              <w:bidi w:val="0"/>
              <w:spacing w:before="0" w:after="283"/>
              <w:jc w:val="left"/>
              <w:rPr>
                <w:b/>
              </w:rPr>
            </w:pPr>
            <w:r>
              <w:rPr>
                <w:b/>
              </w:rPr>
              <w:t>% </w:t>
            </w:r>
          </w:p>
        </w:tc>
      </w:tr>
      <w:tr>
        <w:trPr/>
        <w:tc>
          <w:tcPr>
            <w:tcW w:w="4832"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r>
      <w:tr>
        <w:trPr/>
        <w:tc>
          <w:tcPr>
            <w:tcW w:w="483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for the year ended December 31, 2022 (in CHF thousands)</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(68,358</w:t>
            </w:r>
          </w:p>
        </w:tc>
        <w:tc>
          <w:tcPr>
            <w:tcW w:w="157"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8"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r>
      <w:tr>
        <w:trPr/>
        <w:tc>
          <w:tcPr>
            <w:tcW w:w="48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basic and diluted net loss per share for the year ended December 31, 2022, Class A common stock (1)</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(2.09</w:t>
            </w:r>
          </w:p>
        </w:tc>
        <w:tc>
          <w:tcPr>
            <w:tcW w:w="157"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32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3,793,995 Earnout Shares are excluded from the table above because the shares are contingently forfeitable if the price targets are not achieved during the Earnout Period. 370,103 Earnout Options, 982,004 shares of vested Conversion Options, 782,681 shares of unvested Conversion Options, 4,251,595 EBAC Public Warrants and 151,699 EBAC Private Warrants were excluded as they are anti-dilutive.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394147_10"/>
      <w:bookmarkEnd w:id="12"/>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our audited financial condition and results of operations together with our consolidated financial statements appearing elsewhere in this prospectus. This prospectus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prospectus are based on information available to us on the date hereof, and we assume no obligation to update any such forward-looking statements. In evaluating our business, you should carefully consider the information provided under Risk Factors. Actual results could differ materially from those projected in the forward- looking statements. The terms Company, Oculis, we, our or us as used herein refer to Oculis and its consolidated subsidiaries unless otherwise stated or indicated by context. </w:t>
      </w:r>
    </w:p>
    <w:p>
      <w:pPr>
        <w:pStyle w:val="TextBody"/>
        <w:bidi w:val="0"/>
        <w:spacing w:before="240" w:after="0"/>
        <w:jc w:val="left"/>
        <w:rPr>
          <w:rFonts w:ascii="Times New Roman" w:hAnsi="Times New Roman"/>
          <w:i/>
          <w:sz w:val="20"/>
        </w:rPr>
      </w:pPr>
      <w:r>
        <w:rPr>
          <w:rFonts w:ascii="Times New Roman" w:hAnsi="Times New Roman"/>
          <w:i/>
          <w:sz w:val="20"/>
        </w:rPr>
        <w:t xml:space="preserve">All amounts discussed are in Swiss francs, unless otherwise indicated.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We are a clinical-stage biopharmaceutical company, based in Switzerland, with substantial expertise in therapeutics used to treat ocular diseases, engaged in the development of innovative drug candidates which embrace the potential to address many currently eye-related conditions. Our focus is on advancing therapeutic candidates intended to treat significant and growing ophthalmic diseases which result in vision loss, blindness or reduced quality of life, for which there are currently limited or no treatment options. Our clinical portfolio currently consists of OCS-01, our lead development candidate which is currently in two ongoing Phase 3 clinical trials, one involving its use as a treatment for diabetic macular edema (</w:t>
      </w:r>
      <w:r>
        <w:rPr>
          <w:rFonts w:ascii="Times New Roman" w:hAnsi="Times New Roman"/>
          <w:i/>
          <w:sz w:val="20"/>
        </w:rPr>
        <w:t>DME</w:t>
      </w:r>
      <w:r>
        <w:rPr>
          <w:rFonts w:ascii="Times New Roman" w:hAnsi="Times New Roman"/>
          <w:sz w:val="20"/>
        </w:rPr>
        <w:t>), and the other assessing its utility to treat inflammation and pain following ocular surgery. Our second clinical initiative involves OCS-02, which we anticipate entering into Phase 2b clinical stage in the second half of 2023, the first for use as a potential treatment for keratoconjunctivitis sicca, or dry eye disease (</w:t>
      </w:r>
      <w:r>
        <w:rPr>
          <w:rFonts w:ascii="Times New Roman" w:hAnsi="Times New Roman"/>
          <w:i/>
          <w:sz w:val="20"/>
        </w:rPr>
        <w:t>DED</w:t>
      </w:r>
      <w:r>
        <w:rPr>
          <w:rFonts w:ascii="Times New Roman" w:hAnsi="Times New Roman"/>
          <w:sz w:val="20"/>
        </w:rPr>
        <w:t>), and the second trial designed to evaluate its potential as a therapy for the treatment of non-infectious anterior uveitis. Our third clinical candidate is OCS-05, which is a novel neuroprotective agent with potential application in multiple indications, including glaucoma, dry age-related macular degeneration (</w:t>
      </w:r>
      <w:r>
        <w:rPr>
          <w:rFonts w:ascii="Times New Roman" w:hAnsi="Times New Roman"/>
          <w:i/>
          <w:sz w:val="20"/>
        </w:rPr>
        <w:t>AMD</w:t>
      </w:r>
      <w:r>
        <w:rPr>
          <w:rFonts w:ascii="Times New Roman" w:hAnsi="Times New Roman"/>
          <w:sz w:val="20"/>
        </w:rPr>
        <w:t>) and diabetic retinopathy (</w:t>
      </w:r>
      <w:r>
        <w:rPr>
          <w:rFonts w:ascii="Times New Roman" w:hAnsi="Times New Roman"/>
          <w:i/>
          <w:sz w:val="20"/>
        </w:rPr>
        <w:t>DR</w:t>
      </w:r>
      <w:r>
        <w:rPr>
          <w:rFonts w:ascii="Times New Roman" w:hAnsi="Times New Roman"/>
          <w:sz w:val="20"/>
        </w:rPr>
        <w:t xml:space="preserve">). We are initially evaluating OCS-05 as a potential treatment for acute optic neuropathy, or AON, for which there is no currently approved therapeutic treatment. </w:t>
      </w:r>
    </w:p>
    <w:p>
      <w:pPr>
        <w:pStyle w:val="TextBody"/>
        <w:bidi w:val="0"/>
        <w:spacing w:before="240" w:after="0"/>
        <w:jc w:val="left"/>
        <w:rPr>
          <w:rFonts w:ascii="Times New Roman" w:hAnsi="Times New Roman"/>
          <w:sz w:val="20"/>
        </w:rPr>
      </w:pPr>
      <w:r>
        <w:rPr>
          <w:rFonts w:ascii="Times New Roman" w:hAnsi="Times New Roman"/>
          <w:sz w:val="20"/>
        </w:rPr>
        <w:t>Numerous diseases and disorders, many of which represent significant medical needs, are associated with the human eye. The National Eye Institute, a part of the U.S. National Institutes of Health, estimates that in the United States, blindness or significant visual impairment impacts more than four million people, including those with vision loss resulting from retinal diseases such as DME, macular degeneration, DR, and retinal vein occlusion (</w:t>
      </w:r>
      <w:r>
        <w:rPr>
          <w:rFonts w:ascii="Times New Roman" w:hAnsi="Times New Roman"/>
          <w:i/>
          <w:sz w:val="20"/>
        </w:rPr>
        <w:t>RVO</w:t>
      </w:r>
      <w:r>
        <w:rPr>
          <w:rFonts w:ascii="Times New Roman" w:hAnsi="Times New Roman"/>
          <w:sz w:val="20"/>
        </w:rPr>
        <w:t xml:space="preserve">); disorders caused by swelling and inflammation such as DED, corneal keratitis and uveitis; and glaucoma, among other disease states. The global market for therapeutics used to treat eye disease is estimated to have exceeded $22 billion in 2020, according to industry sources.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primarily financed our operations through the proceeds from share issuances and grants. We have no products approved for commercialization and have never generated any revenues from product sales. Pharmaceutical and biopharmaceutical product development is a highly speculative undertaking and involves a substantial degree of risk. It may be several years, if ever, before we have a product candidate approved for commercialization, and we begin to generate revenue and royalties from product sales. We have also incurred significant operating losses. We incurred net losses of CHF 38.7 million and accumulated losses balance of CHF 111.0 million for the fiscal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Factors Affecting Our Performance </w:t>
      </w:r>
    </w:p>
    <w:p>
      <w:pPr>
        <w:pStyle w:val="TextBody"/>
        <w:bidi w:val="0"/>
        <w:spacing w:before="120" w:after="0"/>
        <w:jc w:val="left"/>
        <w:rPr>
          <w:rFonts w:ascii="Times New Roman" w:hAnsi="Times New Roman"/>
          <w:b/>
          <w:sz w:val="20"/>
        </w:rPr>
      </w:pPr>
      <w:r>
        <w:rPr>
          <w:rFonts w:ascii="Times New Roman" w:hAnsi="Times New Roman"/>
          <w:b/>
          <w:sz w:val="20"/>
        </w:rPr>
        <w:t xml:space="preserve">Business Environment </w:t>
      </w:r>
    </w:p>
    <w:p>
      <w:pPr>
        <w:pStyle w:val="TextBody"/>
        <w:bidi w:val="0"/>
        <w:spacing w:before="120" w:after="0"/>
        <w:jc w:val="left"/>
        <w:rPr>
          <w:rFonts w:ascii="Times New Roman" w:hAnsi="Times New Roman"/>
          <w:sz w:val="20"/>
        </w:rPr>
      </w:pPr>
      <w:r>
        <w:rPr>
          <w:rFonts w:ascii="Times New Roman" w:hAnsi="Times New Roman"/>
          <w:sz w:val="20"/>
        </w:rPr>
        <w:t>The biopharmaceutical industry is extremely competitive. We are subject to risks and uncertainties common to any early-stage biopharmaceutical company. These risks include, but are not limited to, the introduction of new products, therapies, standards of care or technological innovations, our ability to obtain, maintain, protect and enforce our licensed technology, data and other intellectual property and proprietary rights and compliance with extensive government regulation and oversight. Please see the section entitled </w:t>
      </w:r>
      <w:r>
        <w:rPr>
          <w:rFonts w:ascii="Times New Roman" w:hAnsi="Times New Roman"/>
          <w:i/>
          <w:sz w:val="20"/>
        </w:rPr>
        <w:t>Risk Factors</w:t>
      </w:r>
      <w:r>
        <w:rPr>
          <w:rFonts w:ascii="Times New Roman" w:hAnsi="Times New Roman"/>
          <w:sz w:val="20"/>
        </w:rPr>
        <w:t xml:space="preserve"> for more information. We are also dependent upon the services of key personnel, including our Chief Executive Officer, executive team and other highly skilled employees. Demand for experienced personnel in the pharmaceutical and biotechnology industries is high and competition for talent is intense. </w:t>
      </w:r>
    </w:p>
    <w:p>
      <w:pPr>
        <w:pStyle w:val="TextBody"/>
        <w:bidi w:val="0"/>
        <w:spacing w:before="240" w:after="0"/>
        <w:jc w:val="left"/>
        <w:rPr>
          <w:rFonts w:ascii="Times New Roman" w:hAnsi="Times New Roman"/>
          <w:sz w:val="20"/>
        </w:rPr>
      </w:pPr>
      <w:r>
        <w:rPr>
          <w:rFonts w:ascii="Times New Roman" w:hAnsi="Times New Roman"/>
          <w:sz w:val="20"/>
        </w:rPr>
        <w:t xml:space="preserve">We face potential competition from many different sources, including pharmaceutical and biotechnology companies, academic institutions and governmental agencies as well as public and private research institutions. Many of our competitors are working to develop or have commercialized products similar to those we are developing and have considerable experience in undertaking clinical trials and in obtaining regulatory approval to market pharmaceutical products. Our competitors may also have significantly greater financial resources, established presence in the markets in which we hope to compete, expertise in research and development, manufacturing, preclinical and clinical testing, obtaining regulatory approvals and reimbursement and marketing approved products. Smaller or early-stage companies may also prove to be significant competitors, particularly through collaborative arrangements with large and established companies. These third parties also compete with us in recruiting and retaining qualified scientific and management personnel, establishing clinical trial sites and registering patients for clinical trials, entering into agreements with CMOs for the manufacture of our product candidates, as well as in acquiring technologies complementary to, or necessary for, our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The Business Combination, PIPE Financing and the CLA </w:t>
      </w:r>
    </w:p>
    <w:p>
      <w:pPr>
        <w:pStyle w:val="TextBody"/>
        <w:bidi w:val="0"/>
        <w:spacing w:before="120" w:after="0"/>
        <w:jc w:val="left"/>
        <w:rPr>
          <w:rFonts w:ascii="Times New Roman" w:hAnsi="Times New Roman"/>
          <w:sz w:val="20"/>
        </w:rPr>
      </w:pPr>
      <w:r>
        <w:rPr>
          <w:rFonts w:ascii="Times New Roman" w:hAnsi="Times New Roman"/>
          <w:sz w:val="20"/>
        </w:rPr>
        <w:t xml:space="preserve">On March 2, 2023, we consummated the Business Combination with Legacy Oculis and EBAC pursuant to the Business Combination Agreement dated October 17, 2022 (the BCA). The Business Combination was accounted for as a capital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BCA, EBAC and Oculis entered into Subscription Agreements with certain investors (the PIPE Financing). On March 2, 2023, immediately prior to the closing of the Business Combination, the PIPE Financing was closed, pursuant to the Subscription Agreements, in which subscribers collectively subscribed for 7,118,891 ordinary shares at approximately CHF 9.39 ($10.00) per share for an aggregate subscription price equal to approximately CHF 66.9 million (or approximately $71.2 million). </w:t>
      </w:r>
    </w:p>
    <w:p>
      <w:pPr>
        <w:pStyle w:val="TextBody"/>
        <w:bidi w:val="0"/>
        <w:spacing w:before="360" w:after="0"/>
        <w:jc w:val="left"/>
        <w:rPr>
          <w:rFonts w:ascii="Times New Roman" w:hAnsi="Times New Roman"/>
          <w:sz w:val="20"/>
        </w:rPr>
      </w:pPr>
      <w:r>
        <w:rPr>
          <w:rFonts w:ascii="Times New Roman" w:hAnsi="Times New Roman"/>
          <w:sz w:val="20"/>
        </w:rPr>
        <w:t xml:space="preserve">Concurrently with the execution of the BCA, Legacy Oculis and the Lenders party thereto entered into convertible loan agreements pursuant to which the Lenders granted Legacy Oculis a right to receive a convertible loan with certain conversion rights in an aggregate amount of approximately CHF 18.5 million (or approximately $19.7 million). Following the Second Merger Effective Time on March 2, 2023, Oculis assumed the Convertible Loan Agreements, and immediately after such assumption but before the Oculis Share Contribution, the Lenders exercised their conversion rights in exchange for ordinary shares at CHF 9.39 ($10.00) per share, on substantially the same terms as the PIPE Investors.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Business Combination, the PIPE Financing and the conversion of the CLA provided the Group with gross proceeds of approximately CHF 97.4 million (or approximately $103.7 million) that was used to finance the continuing development of our clinical stage portfolio. The Company also incurred an estimated CHF 16.7 million (or approximately $17.5 million) of transaction costs, which represent legal, financial advisory, and other professional fees in connection with the Business Combination and PIPE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our Warrants, which we assumed from EBAC in connection with the Business Combination, is $11.50 per share, which exceeds the trading price of our ordinary shares as of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If the trading price of our ordinary shares remains below the exercise price of the warrants, the warrants may never be exercised and we may never receive the cash proceeds of such exercises. </w:t>
      </w:r>
    </w:p>
    <w:p>
      <w:pPr>
        <w:pStyle w:val="TextBody"/>
        <w:bidi w:val="0"/>
        <w:spacing w:before="360" w:after="0"/>
        <w:jc w:val="left"/>
        <w:rPr>
          <w:rFonts w:ascii="Times New Roman" w:hAnsi="Times New Roman"/>
          <w:b/>
          <w:sz w:val="20"/>
        </w:rPr>
      </w:pPr>
      <w:r>
        <w:rPr>
          <w:rFonts w:ascii="Times New Roman" w:hAnsi="Times New Roman"/>
          <w:b/>
          <w:sz w:val="20"/>
        </w:rPr>
        <w:t xml:space="preserve">Licensing agreement with Accure Therapeutics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entered into strategic collaboration agreements with a range of partners covering a number of our product candidates in our strategy to diversify our product portfolio and become a global ophthalmology company.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2022, Legacy Oculis entered into a License Agreement with Accure Therapeutics for the exclusive global licensing of its OCS-05 technology. Under this agreement, Oculis licensed a small molecule in development as a potential disease modifying neuroprotective agent designed to address neurological damage to the optic nerve.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Legacy Oculis has paid the full contractual non-refundable up-front fee and reimbursed costs of CHF 3.5 million increasing our licenses intangible asset up to CHF 12.2 million as of December 31, 2022. Legacy Oculis has not reached any milestones or royalties thresholds according to the agreement. If all predefined milestones will be reached, Oculis will be obligated to pay additional CHF 103.6 million. In case of a commercialization, sublicense revenues will be subject to further royalty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COVID-19, the Russia and Ukraine Conflict, and Global 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spread of the COVID-19 pandemic, economic uncertainties have arisen which may negatively affect our financial position, results of operations and cash flows. We have assessed that the COVID-19 pandemic has not so far had a material or direct impact on our operations or financial position. Nevertheless, in light of the ongoing COVID-19 pandemic, we have implemented measures to protect employees and take social responsibilities while at the same time attempting to limit any negative effects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duration of uncertainties and the ultimate financial effects resulting from the ongoing COVID-19 pandemic cannot be reasonably estimated at this time. We will continue to monitor these situations closely and implement further measures if we believe they are required. </w:t>
      </w:r>
    </w:p>
    <w:p>
      <w:pPr>
        <w:pStyle w:val="TextBody"/>
        <w:bidi w:val="0"/>
        <w:spacing w:before="240" w:after="0"/>
        <w:jc w:val="left"/>
        <w:rPr>
          <w:rFonts w:ascii="Times New Roman" w:hAnsi="Times New Roman"/>
          <w:sz w:val="20"/>
        </w:rPr>
      </w:pPr>
      <w:r>
        <w:rPr>
          <w:rFonts w:ascii="Times New Roman" w:hAnsi="Times New Roman"/>
          <w:sz w:val="20"/>
        </w:rPr>
        <w:t>The conflict between Russia and Ukraine has caused major macroeconomic disruptions that have impacted the global trade and economies. As such increasing inflation around the globe has forced national banks to increase their interest rates, consequently impacting interest yields around the globe. We have assessed the impact of these measures and concluded that these impacted primarily the estimates in relation to the pension plan obligations, as noted below under Item 4.C </w:t>
      </w:r>
      <w:r>
        <w:rPr>
          <w:rFonts w:ascii="Times New Roman" w:hAnsi="Times New Roman"/>
          <w:i/>
          <w:sz w:val="20"/>
        </w:rPr>
        <w:t>Pension Benefits</w:t>
      </w:r>
      <w:r>
        <w:rPr>
          <w:rFonts w:ascii="Times New Roman" w:hAnsi="Times New Roman"/>
          <w:sz w:val="20"/>
        </w:rPr>
        <w:t xml:space="preserve"> of the consolidated financial statements. As of today, no further material impact has been identified on our business or our ability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not generated any revenue from the sale of products since our inception and do not expect to generate any revenue from the sale of products in the near future. If our development efforts for our product candidates are successful and result in regulatory approval or if we enter into collaboration or licensing agreements with third parties, we may generate revenue in the future from a combination of product sales or payments from such collaboration or licensing agreements. However, there can be no assurance as to when we will generate such revenue, if at all. </w:t>
      </w:r>
    </w:p>
    <w:p>
      <w:pPr>
        <w:pStyle w:val="TextBody"/>
        <w:bidi w:val="0"/>
        <w:spacing w:before="360" w:after="0"/>
        <w:jc w:val="left"/>
        <w:rPr>
          <w:rFonts w:ascii="Times New Roman" w:hAnsi="Times New Roman"/>
          <w:i/>
          <w:sz w:val="20"/>
        </w:rPr>
      </w:pPr>
      <w:r>
        <w:rPr>
          <w:rFonts w:ascii="Times New Roman" w:hAnsi="Times New Roman"/>
          <w:i/>
          <w:sz w:val="20"/>
        </w:rPr>
        <w:t xml:space="preserve">Grant Income </w:t>
      </w:r>
    </w:p>
    <w:p>
      <w:pPr>
        <w:pStyle w:val="TextBody"/>
        <w:bidi w:val="0"/>
        <w:spacing w:before="120" w:after="0"/>
        <w:jc w:val="left"/>
        <w:rPr>
          <w:rFonts w:ascii="Times New Roman" w:hAnsi="Times New Roman"/>
          <w:sz w:val="20"/>
        </w:rPr>
      </w:pPr>
      <w:r>
        <w:rPr>
          <w:rFonts w:ascii="Times New Roman" w:hAnsi="Times New Roman"/>
          <w:sz w:val="20"/>
        </w:rPr>
        <w:t xml:space="preserve">Grant income reflects reimbursement of research and development expenses and income from certain research projects managed by Icelandic governmental institutions. We maintain a subsidiary in Iceland that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for our product candidates. Certain expenses qualify for incentives from the Icelandic government in the form of tax credits or cash reimbursements. We do not anticipate generating significant grant income in the future. </w:t>
      </w:r>
    </w:p>
    <w:p>
      <w:pPr>
        <w:pStyle w:val="TextBody"/>
        <w:bidi w:val="0"/>
        <w:spacing w:before="360" w:after="0"/>
        <w:jc w:val="left"/>
        <w:rPr>
          <w:rFonts w:ascii="Times New Roman" w:hAnsi="Times New Roman"/>
          <w:i/>
          <w:sz w:val="20"/>
        </w:rPr>
      </w:pPr>
      <w:r>
        <w:rPr>
          <w:rFonts w:ascii="Times New Roman" w:hAnsi="Times New Roman"/>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Research and development expenses consist primarily of costs incurred in connection with the research and development of our product candidates and programs. We expense research and development costs and the cost of acquired intangible assets used in research and development activities as incurred. Research and development expenditures are capitalized only if they meet the recognition criteria of IAS 38 (</w:t>
      </w:r>
      <w:r>
        <w:rPr>
          <w:rFonts w:ascii="Times New Roman" w:hAnsi="Times New Roman"/>
          <w:i/>
          <w:sz w:val="20"/>
        </w:rPr>
        <w:t>Intangible Assets</w:t>
      </w:r>
      <w:r>
        <w:rPr>
          <w:rFonts w:ascii="Times New Roman" w:hAnsi="Times New Roman"/>
          <w:sz w:val="20"/>
        </w:rPr>
        <w:t xml:space="preserve">) and are recognized over the useful economic life on a straight-line basis.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related benefits and equity-based compensation expense,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expenses incurred in connection with the preclinical and clinical development of our product candidates and programs, including under agreements with Clinical Research Organizations (</w:t>
            </w:r>
            <w:r>
              <w:rPr>
                <w:rFonts w:ascii="Times New Roman" w:hAnsi="Times New Roman"/>
                <w:i/>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costs related to Contract Manufacturing Organizations (</w:t>
            </w:r>
            <w:r>
              <w:rPr>
                <w:rFonts w:ascii="Times New Roman" w:hAnsi="Times New Roman"/>
                <w:i/>
                <w:sz w:val="20"/>
              </w:rPr>
              <w:t>CMOs</w:t>
            </w:r>
            <w:r>
              <w:rPr>
                <w:rFonts w:ascii="Times New Roman" w:hAnsi="Times New Roman"/>
                <w:sz w:val="20"/>
              </w:rPr>
              <w:t xml:space="preserve">) that are primarily engaged to provide drug substance and product for our clinical trials, research and development programs, as well as investigative sites and consultants that conduct our clinical trials, nonclinical studies and other scientific development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acquiring and manufacturing nonclinical and clinical trial materials, including manufacturing registration and validation batches;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quality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development-related payments made under third-party licensing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formulation research, IP expenses, facilities, overhead, depreciation and amortization of laboratory equipment and other expenses.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historically did not track our research and development costs by project category, primarily because we use our employee and infrastructure resources across multiple research and development programs that we are advancing in parallel, and therefore do not allocate salaries, stock-based compensation, employee benefit expenses or other indirect costs related to our research and development to specific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current or future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We historically did not track our research and development costs by project category, primarily because our clinical development costs may vary significantly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that participate in the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doses that patients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or other studies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manufacturing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or other supply interruptions in clinical trial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product candidates we are developing.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successful development and commercialization of product candidates is highly uncertain. This is due to the numerous risks and uncertainties associated with product development and commercialization,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nonclinical and clinical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scope of nonclinical and clinical programs we decide to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necessary additional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of the development efforts of parties with whom we may enter into collaboration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our current development programs and to establish new ones;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new licensing or collaboration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successful initiation and completion of clinical trials with safety, tolerability and efficacy profiles that are satisfactory to the FDA or any comparable foreign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and related terms of regulatory approvals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drug substance and drug product for use in the production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third-party manufacturers for clinical supply for our clinical trials and commercial manufacturing, if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patents, trade secret protection and regulatory exclusivity, both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and enforce our rights in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commercialization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third-party insurance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acceptance of our product candidates, if approved, by patients, the medical community and third- 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with other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continued acceptable safety profile of our therapies following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 or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salaries and related costs for personnel in executive management, finance, corporate and business development, and administrative functions. General and administrative expenses also include legal fees relating to patent and corporate matters; professional fees for accounting, auditing, tax, and administrative consulting services; insurance costs; marketing and communications expenses; and other operating costs. </w:t>
      </w:r>
    </w:p>
    <w:p>
      <w:pPr>
        <w:pStyle w:val="TextBody"/>
        <w:bidi w:val="0"/>
        <w:spacing w:before="240" w:after="0"/>
        <w:jc w:val="left"/>
        <w:rPr>
          <w:rFonts w:ascii="Times New Roman" w:hAnsi="Times New Roman"/>
          <w:sz w:val="20"/>
        </w:rPr>
      </w:pPr>
      <w:r>
        <w:rPr>
          <w:rFonts w:ascii="Times New Roman" w:hAnsi="Times New Roman"/>
          <w:sz w:val="20"/>
        </w:rPr>
        <w:t xml:space="preserve">Beginning in 2022, we incurred increased accounting, audit, legal and other professional services costs associated with the Business Combination and preparing to become a public company. We anticipate that our general and administrative expenses will increase in the future in relation with costs associated with being a public company such as increased costs for fees to members of the board of directors, increased employee-related expenses, increased director and officer insurance premiums, audit and legal fees, investor relations fees and expenses for compliance with public company reporting requirements under the Exchange Act and Nasdaq rules. </w:t>
      </w:r>
    </w:p>
    <w:p>
      <w:pPr>
        <w:pStyle w:val="TextBody"/>
        <w:bidi w:val="0"/>
        <w:spacing w:before="360" w:after="0"/>
        <w:jc w:val="left"/>
        <w:rPr>
          <w:rFonts w:ascii="Times New Roman" w:hAnsi="Times New Roman"/>
          <w:i/>
          <w:sz w:val="20"/>
        </w:rPr>
      </w:pPr>
      <w:r>
        <w:rPr>
          <w:rFonts w:ascii="Times New Roman" w:hAnsi="Times New Roman"/>
          <w:i/>
          <w:sz w:val="20"/>
        </w:rPr>
        <w:t xml:space="preserve">Finance expense </w:t>
      </w:r>
    </w:p>
    <w:p>
      <w:pPr>
        <w:pStyle w:val="TextBody"/>
        <w:bidi w:val="0"/>
        <w:spacing w:before="120" w:after="0"/>
        <w:jc w:val="left"/>
        <w:rPr>
          <w:rFonts w:ascii="Times New Roman" w:hAnsi="Times New Roman"/>
          <w:sz w:val="20"/>
        </w:rPr>
      </w:pPr>
      <w:r>
        <w:rPr>
          <w:rFonts w:ascii="Times New Roman" w:hAnsi="Times New Roman"/>
          <w:sz w:val="20"/>
        </w:rPr>
        <w:t xml:space="preserve">Finance expense consists primarily of accrued interest costs associated with the preferred dividend payment of 6.00% to the holders of preferred Series B and C shares. The preferred Series B and C shares are classified as liabilities under IAS 32 and the associated accrued dividend is recognized as interest expense. </w:t>
      </w:r>
    </w:p>
    <w:p>
      <w:pPr>
        <w:pStyle w:val="TextBody"/>
        <w:bidi w:val="0"/>
        <w:spacing w:before="360" w:after="0"/>
        <w:jc w:val="left"/>
        <w:rPr>
          <w:rFonts w:ascii="Times New Roman" w:hAnsi="Times New Roman"/>
          <w:i/>
          <w:sz w:val="20"/>
        </w:rPr>
      </w:pPr>
      <w:r>
        <w:rPr>
          <w:rFonts w:ascii="Times New Roman" w:hAnsi="Times New Roman"/>
          <w:i/>
          <w:sz w:val="20"/>
        </w:rPr>
        <w:t xml:space="preserve">Exchange rate differences </w:t>
      </w:r>
    </w:p>
    <w:p>
      <w:pPr>
        <w:pStyle w:val="TextBody"/>
        <w:bidi w:val="0"/>
        <w:spacing w:before="120" w:after="0"/>
        <w:jc w:val="left"/>
        <w:rPr>
          <w:rFonts w:ascii="Times New Roman" w:hAnsi="Times New Roman"/>
          <w:sz w:val="20"/>
        </w:rPr>
      </w:pPr>
      <w:r>
        <w:rPr>
          <w:rFonts w:ascii="Times New Roman" w:hAnsi="Times New Roman"/>
          <w:sz w:val="20"/>
        </w:rPr>
        <w:t xml:space="preserve">Exchange differences consists of currency exchange gains and losses that arise from transaction denominated in currencies other than Swiss Francs. </w:t>
      </w:r>
    </w:p>
    <w:p>
      <w:pPr>
        <w:pStyle w:val="TextBody"/>
        <w:bidi w:val="0"/>
        <w:spacing w:before="360" w:after="0"/>
        <w:jc w:val="left"/>
        <w:rPr>
          <w:rFonts w:ascii="Times New Roman" w:hAnsi="Times New Roman"/>
          <w:i/>
          <w:sz w:val="20"/>
        </w:rPr>
      </w:pPr>
      <w:r>
        <w:rPr>
          <w:rFonts w:ascii="Times New Roman" w:hAnsi="Times New Roman"/>
          <w:i/>
          <w:sz w:val="20"/>
        </w:rPr>
        <w:t xml:space="preserve">Taxation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corporate Swiss federal, cantonal and communal taxation, respectively, in Switzerland, Canton of Vaud, Commune of Ecublens, near Lausanne after it moved its seat to Ecublens. We are also subject to taxation in other jurisdictions in which we operate, in particular, the United States, France, China and Iceland where our wholly- owned subsidiaries are incorporated. </w:t>
      </w:r>
    </w:p>
    <w:p>
      <w:pPr>
        <w:pStyle w:val="TextBody"/>
        <w:bidi w:val="0"/>
        <w:spacing w:before="240" w:after="0"/>
        <w:jc w:val="left"/>
        <w:rPr>
          <w:rFonts w:ascii="Times New Roman" w:hAnsi="Times New Roman"/>
          <w:sz w:val="20"/>
        </w:rPr>
      </w:pPr>
      <w:r>
        <w:rPr>
          <w:rFonts w:ascii="Times New Roman" w:hAnsi="Times New Roman"/>
          <w:sz w:val="20"/>
        </w:rPr>
        <w:t xml:space="preserve">We are entitled under Swiss laws to carry forward any losses incurred for a period of 7 years and can offset our losses carried forward against future taxes. As of December 31, 2022, we had tax loss carry-forwards totaling CHF 88.9 million. There is no certainty that we will make sufficient profits to be able to utilize these tax loss carry-forwards in full and no deferred tax assets have been recognized in the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information below is presented in thousands of CHF. The totals are calculated with the original unit amounts, which could lead to rounding differences. These differences in thousands of units are not changed in order to keep the accuracy of the original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our results of operations for the periods presented: </w:t>
      </w:r>
    </w:p>
    <w:p>
      <w:pPr>
        <w:pStyle w:val="TextBody"/>
        <w:bidi w:val="0"/>
        <w:spacing w:before="0" w:after="0"/>
        <w:jc w:val="left"/>
        <w:rPr/>
      </w:pPr>
      <w:r>
        <w:rPr/>
        <w:t> </w:t>
      </w:r>
    </w:p>
    <w:tbl>
      <w:tblPr>
        <w:tblW w:w="10910" w:type="dxa"/>
        <w:jc w:val="center"/>
        <w:tblInd w:w="0" w:type="dxa"/>
        <w:tblLayout w:type="fixed"/>
        <w:tblCellMar>
          <w:top w:w="0" w:type="dxa"/>
          <w:left w:w="0" w:type="dxa"/>
          <w:bottom w:w="0" w:type="dxa"/>
          <w:right w:w="0" w:type="dxa"/>
        </w:tblCellMar>
      </w:tblPr>
      <w:tblGrid>
        <w:gridCol w:w="1190"/>
        <w:gridCol w:w="60"/>
        <w:gridCol w:w="67"/>
        <w:gridCol w:w="855"/>
        <w:gridCol w:w="175"/>
        <w:gridCol w:w="67"/>
        <w:gridCol w:w="67"/>
        <w:gridCol w:w="859"/>
        <w:gridCol w:w="155"/>
        <w:gridCol w:w="60"/>
        <w:gridCol w:w="60"/>
        <w:gridCol w:w="755"/>
        <w:gridCol w:w="155"/>
        <w:gridCol w:w="60"/>
        <w:gridCol w:w="129"/>
        <w:gridCol w:w="986"/>
        <w:gridCol w:w="350"/>
        <w:gridCol w:w="60"/>
        <w:gridCol w:w="67"/>
        <w:gridCol w:w="855"/>
        <w:gridCol w:w="175"/>
        <w:gridCol w:w="67"/>
        <w:gridCol w:w="67"/>
        <w:gridCol w:w="859"/>
        <w:gridCol w:w="155"/>
        <w:gridCol w:w="60"/>
        <w:gridCol w:w="70"/>
        <w:gridCol w:w="745"/>
        <w:gridCol w:w="155"/>
        <w:gridCol w:w="60"/>
        <w:gridCol w:w="129"/>
        <w:gridCol w:w="986"/>
        <w:gridCol w:w="35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i/>
              </w:rPr>
            </w:pPr>
            <w:r>
              <w:rPr>
                <w:i/>
              </w:rPr>
              <w:t>In CHF thousands</w:t>
            </w:r>
          </w:p>
        </w:tc>
        <w:tc>
          <w:tcPr>
            <w:tcW w:w="60"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income</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912</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960</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960</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993</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912</w:t>
            </w:r>
          </w:p>
        </w:tc>
        <w:tc>
          <w:tcPr>
            <w:tcW w:w="1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960</w:t>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960</w:t>
            </w:r>
          </w:p>
        </w:tc>
        <w:tc>
          <w:tcPr>
            <w:tcW w:w="1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993</w:t>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(22,224</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(9,568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(12,656</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(9,568</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(9,337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(231</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(11,064</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(4,624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(6,440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139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(4,624</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(3,992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(33,288</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(14,192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(19,096</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135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(14,192</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(13,329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(863</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(32,376</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(13,232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(19,144</w:t>
            </w:r>
          </w:p>
        </w:tc>
        <w:tc>
          <w:tcPr>
            <w:tcW w:w="15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145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(13,232</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(12,336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(896</w:t>
            </w:r>
          </w:p>
        </w:tc>
        <w:tc>
          <w:tcPr>
            <w:tcW w:w="15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7</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126</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21</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110</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(6,442</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(5,120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(5,120</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(2,628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(2,492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w:t>
            </w:r>
          </w:p>
        </w:tc>
        <w:tc>
          <w:tcPr>
            <w:tcW w:w="35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49</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(193</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(218</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Finance result, net</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(6,267</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(5,292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(975</w:t>
            </w:r>
          </w:p>
        </w:tc>
        <w:tc>
          <w:tcPr>
            <w:tcW w:w="15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(5,292</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(2,837</w:t>
            </w:r>
          </w:p>
        </w:tc>
        <w:tc>
          <w:tcPr>
            <w:tcW w:w="15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116</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tax for the period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(38,643</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(18,524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(20,119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(18,524</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(14,790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(3,734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(55</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104</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(27</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(67</w:t>
            </w:r>
          </w:p>
        </w:tc>
        <w:tc>
          <w:tcPr>
            <w:tcW w:w="35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for the period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(38,698</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(18,552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(20,146</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(18,552</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(14,873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(3,679</w:t>
            </w:r>
          </w:p>
        </w:tc>
        <w:tc>
          <w:tcPr>
            <w:tcW w:w="15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25</w:t>
            </w:r>
          </w:p>
        </w:tc>
        <w:tc>
          <w:tcPr>
            <w:tcW w:w="35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Year Ended December 31, 2022 and 2021 </w:t>
      </w:r>
    </w:p>
    <w:p>
      <w:pPr>
        <w:pStyle w:val="TextBody"/>
        <w:bidi w:val="0"/>
        <w:spacing w:before="120" w:after="0"/>
        <w:jc w:val="left"/>
        <w:rPr>
          <w:rFonts w:ascii="Times New Roman" w:hAnsi="Times New Roman"/>
          <w:b/>
          <w:i/>
          <w:sz w:val="20"/>
        </w:rPr>
      </w:pPr>
      <w:r>
        <w:rPr>
          <w:rFonts w:ascii="Times New Roman" w:hAnsi="Times New Roman"/>
          <w:b/>
          <w:i/>
          <w:sz w:val="20"/>
        </w:rPr>
        <w:t xml:space="preserve">Grant Income </w:t>
      </w:r>
    </w:p>
    <w:p>
      <w:pPr>
        <w:pStyle w:val="TextBody"/>
        <w:bidi w:val="0"/>
        <w:spacing w:before="120" w:after="0"/>
        <w:jc w:val="left"/>
        <w:rPr>
          <w:rFonts w:ascii="Times New Roman" w:hAnsi="Times New Roman"/>
          <w:sz w:val="20"/>
        </w:rPr>
      </w:pPr>
      <w:r>
        <w:rPr>
          <w:rFonts w:ascii="Times New Roman" w:hAnsi="Times New Roman"/>
          <w:sz w:val="20"/>
        </w:rPr>
        <w:t xml:space="preserve">Grant income for the year ended December 31, 2022 and 2021 was CHF 0.9 million and CHF 1.0 million, respectively.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19"/>
        <w:gridCol w:w="272"/>
        <w:gridCol w:w="70"/>
        <w:gridCol w:w="948"/>
        <w:gridCol w:w="181"/>
        <w:gridCol w:w="290"/>
        <w:gridCol w:w="70"/>
        <w:gridCol w:w="825"/>
        <w:gridCol w:w="155"/>
        <w:gridCol w:w="272"/>
        <w:gridCol w:w="59"/>
        <w:gridCol w:w="792"/>
        <w:gridCol w:w="95"/>
        <w:gridCol w:w="272"/>
        <w:gridCol w:w="152"/>
        <w:gridCol w:w="1059"/>
        <w:gridCol w:w="357"/>
      </w:tblGrid>
      <w:tr>
        <w:trPr/>
        <w:tc>
          <w:tcPr>
            <w:tcW w:w="3519"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3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1" w:type="dxa"/>
            <w:gridSpan w:val="2"/>
            <w:tcBorders/>
            <w:vAlign w:val="bottom"/>
          </w:tcPr>
          <w:p>
            <w:pPr>
              <w:pStyle w:val="TableContents"/>
              <w:pBdr>
                <w:bottom w:val="single" w:sz="8" w:space="1" w:color="000000"/>
              </w:pBdr>
              <w:bidi w:val="0"/>
              <w:spacing w:before="0" w:after="0"/>
              <w:jc w:val="left"/>
              <w:rPr/>
            </w:pPr>
            <w:r>
              <w:rPr/>
              <w:t> </w:t>
            </w:r>
          </w:p>
        </w:tc>
        <w:tc>
          <w:tcPr>
            <w:tcW w:w="9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pBdr>
                <w:bottom w:val="single" w:sz="8" w:space="1" w:color="000000"/>
              </w:pBdr>
              <w:bidi w:val="0"/>
              <w:spacing w:before="0" w:after="0"/>
              <w:jc w:val="left"/>
              <w:rPr/>
            </w:pPr>
            <w:r>
              <w:rPr/>
              <w:t> </w:t>
            </w:r>
          </w:p>
        </w:tc>
        <w:tc>
          <w:tcPr>
            <w:tcW w:w="357"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i/>
              </w:rPr>
            </w:pPr>
            <w:r>
              <w:rPr>
                <w:i/>
              </w:rPr>
              <w:t>In CHF thousands</w:t>
            </w:r>
          </w:p>
        </w:tc>
        <w:tc>
          <w:tcPr>
            <w:tcW w:w="272"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2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(4,608</w:t>
            </w:r>
          </w:p>
        </w:tc>
        <w:tc>
          <w:tcPr>
            <w:tcW w:w="181" w:type="dxa"/>
            <w:tcBorders/>
            <w:shd w:fill="CCEEFF" w:val="clear"/>
            <w:vAlign w:val="bottom"/>
          </w:tcPr>
          <w:p>
            <w:pPr>
              <w:pStyle w:val="TableContents"/>
              <w:bidi w:val="0"/>
              <w:spacing w:before="0" w:after="283"/>
              <w:jc w:val="left"/>
              <w:rPr/>
            </w:pPr>
            <w:r>
              <w:rPr/>
              <w:t>)</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(4,407</w:t>
            </w:r>
          </w:p>
        </w:tc>
        <w:tc>
          <w:tcPr>
            <w:tcW w:w="15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(201</w:t>
            </w:r>
          </w:p>
        </w:tc>
        <w:tc>
          <w:tcPr>
            <w:tcW w:w="9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5</w:t>
            </w:r>
          </w:p>
        </w:tc>
        <w:tc>
          <w:tcPr>
            <w:tcW w:w="357"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Payroll</w:t>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(4,313</w:t>
            </w:r>
          </w:p>
        </w:tc>
        <w:tc>
          <w:tcPr>
            <w:tcW w:w="181" w:type="dxa"/>
            <w:tcBorders/>
            <w:vAlign w:val="bottom"/>
          </w:tcPr>
          <w:p>
            <w:pPr>
              <w:pStyle w:val="TableContents"/>
              <w:bidi w:val="0"/>
              <w:spacing w:before="0" w:after="283"/>
              <w:jc w:val="left"/>
              <w:rPr/>
            </w:pPr>
            <w:r>
              <w:rPr/>
              <w:t>)</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(4,189</w:t>
            </w:r>
          </w:p>
        </w:tc>
        <w:tc>
          <w:tcPr>
            <w:tcW w:w="155" w:type="dxa"/>
            <w:tcBorders/>
            <w:vAlign w:val="bottom"/>
          </w:tcPr>
          <w:p>
            <w:pPr>
              <w:pStyle w:val="TableContents"/>
              <w:bidi w:val="0"/>
              <w:spacing w:before="0" w:after="283"/>
              <w:jc w:val="left"/>
              <w:rPr/>
            </w:pPr>
            <w:r>
              <w:rPr/>
              <w:t>)</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(124</w:t>
            </w:r>
          </w:p>
        </w:tc>
        <w:tc>
          <w:tcPr>
            <w:tcW w:w="95" w:type="dxa"/>
            <w:tcBorders/>
            <w:vAlign w:val="bottom"/>
          </w:tcPr>
          <w:p>
            <w:pPr>
              <w:pStyle w:val="TableContents"/>
              <w:bidi w:val="0"/>
              <w:spacing w:before="0" w:after="283"/>
              <w:jc w:val="left"/>
              <w:rPr/>
            </w:pPr>
            <w:r>
              <w:rPr/>
              <w:t>)</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w:t>
            </w:r>
          </w:p>
        </w:tc>
        <w:tc>
          <w:tcPr>
            <w:tcW w:w="357"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(295</w:t>
            </w:r>
          </w:p>
        </w:tc>
        <w:tc>
          <w:tcPr>
            <w:tcW w:w="18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(77</w:t>
            </w:r>
          </w:p>
        </w:tc>
        <w:tc>
          <w:tcPr>
            <w:tcW w:w="9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35</w:t>
            </w:r>
          </w:p>
        </w:tc>
        <w:tc>
          <w:tcPr>
            <w:tcW w:w="357"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(17,616</w:t>
            </w:r>
          </w:p>
        </w:tc>
        <w:tc>
          <w:tcPr>
            <w:tcW w:w="181" w:type="dxa"/>
            <w:tcBorders/>
            <w:vAlign w:val="bottom"/>
          </w:tcPr>
          <w:p>
            <w:pPr>
              <w:pStyle w:val="TableContents"/>
              <w:bidi w:val="0"/>
              <w:spacing w:before="0" w:after="283"/>
              <w:jc w:val="left"/>
              <w:rPr/>
            </w:pPr>
            <w:r>
              <w:rPr/>
              <w:t>)</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(5,161</w:t>
            </w:r>
          </w:p>
        </w:tc>
        <w:tc>
          <w:tcPr>
            <w:tcW w:w="155" w:type="dxa"/>
            <w:tcBorders/>
            <w:vAlign w:val="bottom"/>
          </w:tcPr>
          <w:p>
            <w:pPr>
              <w:pStyle w:val="TableContents"/>
              <w:bidi w:val="0"/>
              <w:spacing w:before="0" w:after="283"/>
              <w:jc w:val="left"/>
              <w:rPr/>
            </w:pPr>
            <w:r>
              <w:rPr/>
              <w:t>)</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(12,455</w:t>
            </w:r>
          </w:p>
        </w:tc>
        <w:tc>
          <w:tcPr>
            <w:tcW w:w="95" w:type="dxa"/>
            <w:tcBorders/>
            <w:vAlign w:val="bottom"/>
          </w:tcPr>
          <w:p>
            <w:pPr>
              <w:pStyle w:val="TableContents"/>
              <w:bidi w:val="0"/>
              <w:spacing w:before="0" w:after="283"/>
              <w:jc w:val="left"/>
              <w:rPr/>
            </w:pPr>
            <w:r>
              <w:rPr/>
              <w:t>)</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241</w:t>
            </w:r>
          </w:p>
        </w:tc>
        <w:tc>
          <w:tcPr>
            <w:tcW w:w="357"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 providers</w:t>
            </w:r>
          </w:p>
        </w:tc>
        <w:tc>
          <w:tcPr>
            <w:tcW w:w="2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(17,205</w:t>
            </w:r>
          </w:p>
        </w:tc>
        <w:tc>
          <w:tcPr>
            <w:tcW w:w="181" w:type="dxa"/>
            <w:tcBorders/>
            <w:shd w:fill="CCEEFF" w:val="clear"/>
            <w:vAlign w:val="bottom"/>
          </w:tcPr>
          <w:p>
            <w:pPr>
              <w:pStyle w:val="TableContents"/>
              <w:bidi w:val="0"/>
              <w:spacing w:before="0" w:after="283"/>
              <w:jc w:val="left"/>
              <w:rPr/>
            </w:pPr>
            <w:r>
              <w:rPr/>
              <w:t>)</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(4,786</w:t>
            </w:r>
          </w:p>
        </w:tc>
        <w:tc>
          <w:tcPr>
            <w:tcW w:w="15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(12,419</w:t>
            </w:r>
          </w:p>
        </w:tc>
        <w:tc>
          <w:tcPr>
            <w:tcW w:w="9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259</w:t>
            </w:r>
          </w:p>
        </w:tc>
        <w:tc>
          <w:tcPr>
            <w:tcW w:w="357"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(184</w:t>
            </w:r>
          </w:p>
        </w:tc>
        <w:tc>
          <w:tcPr>
            <w:tcW w:w="18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w:t>
            </w:r>
          </w:p>
        </w:tc>
        <w:tc>
          <w:tcPr>
            <w:tcW w:w="95"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(3</w:t>
            </w:r>
          </w:p>
        </w:tc>
        <w:tc>
          <w:tcPr>
            <w:tcW w:w="357"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PPE</w:t>
            </w:r>
          </w:p>
        </w:tc>
        <w:tc>
          <w:tcPr>
            <w:tcW w:w="2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(111</w:t>
            </w:r>
          </w:p>
        </w:tc>
        <w:tc>
          <w:tcPr>
            <w:tcW w:w="181"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(33</w:t>
            </w:r>
          </w:p>
        </w:tc>
        <w:tc>
          <w:tcPr>
            <w:tcW w:w="9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42</w:t>
            </w:r>
          </w:p>
        </w:tc>
        <w:tc>
          <w:tcPr>
            <w:tcW w:w="357"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(116</w:t>
            </w:r>
          </w:p>
        </w:tc>
        <w:tc>
          <w:tcPr>
            <w:tcW w:w="181"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(8</w:t>
            </w:r>
          </w:p>
        </w:tc>
        <w:tc>
          <w:tcPr>
            <w:tcW w:w="95" w:type="dxa"/>
            <w:tcBorders/>
            <w:vAlign w:val="bottom"/>
          </w:tcPr>
          <w:p>
            <w:pPr>
              <w:pStyle w:val="TableContents"/>
              <w:bidi w:val="0"/>
              <w:spacing w:before="0" w:after="283"/>
              <w:jc w:val="left"/>
              <w:rPr/>
            </w:pPr>
            <w:r>
              <w:rPr/>
              <w:t>)</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7</w:t>
            </w:r>
          </w:p>
        </w:tc>
        <w:tc>
          <w:tcPr>
            <w:tcW w:w="357"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w:t>
            </w:r>
          </w:p>
        </w:tc>
        <w:tc>
          <w:tcPr>
            <w:tcW w:w="27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(22,224</w:t>
            </w:r>
          </w:p>
        </w:tc>
        <w:tc>
          <w:tcPr>
            <w:tcW w:w="181" w:type="dxa"/>
            <w:tcBorders/>
            <w:shd w:fill="CCEEFF" w:val="clear"/>
            <w:vAlign w:val="bottom"/>
          </w:tcPr>
          <w:p>
            <w:pPr>
              <w:pStyle w:val="TableContents"/>
              <w:bidi w:val="0"/>
              <w:spacing w:before="0" w:after="283"/>
              <w:jc w:val="left"/>
              <w:rPr/>
            </w:pPr>
            <w:r>
              <w:rPr/>
              <w:t>)</w:t>
            </w:r>
          </w:p>
        </w:tc>
        <w:tc>
          <w:tcPr>
            <w:tcW w:w="29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(9,568</w:t>
            </w:r>
          </w:p>
        </w:tc>
        <w:tc>
          <w:tcPr>
            <w:tcW w:w="15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(12,656</w:t>
            </w:r>
          </w:p>
        </w:tc>
        <w:tc>
          <w:tcPr>
            <w:tcW w:w="95" w:type="dxa"/>
            <w:tcBorders/>
            <w:shd w:fill="CCEEFF" w:val="clear"/>
            <w:vAlign w:val="bottom"/>
          </w:tcPr>
          <w:p>
            <w:pPr>
              <w:pStyle w:val="TableContents"/>
              <w:bidi w:val="0"/>
              <w:spacing w:before="0" w:after="283"/>
              <w:jc w:val="left"/>
              <w:rPr/>
            </w:pPr>
            <w:r>
              <w:rPr/>
              <w:t>)</w:t>
            </w:r>
          </w:p>
        </w:tc>
        <w:tc>
          <w:tcPr>
            <w:tcW w:w="272"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132</w:t>
            </w:r>
          </w:p>
        </w:tc>
        <w:tc>
          <w:tcPr>
            <w:tcW w:w="357"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59"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CHF 22.2 million for the year ended December 31, 2022 compared to CHF 9.6 million for the year ended December 31, 2021. The net increase of CHF 12.7 million, or 132%,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primarily due to increased development expenses related to two ongoing Phase 3 clinical trials for OCS-01 and other research and development activities for our active product candidates, as well as the Proof-of-Concept study related to OCS-05. The two ongoing OCS-01 Phase 3 clinical trials are for DME and Post Ocular Surgery indications. We utilize external CROs to conduct these clinical trials. Personnel costs increased by CHF 0.2 million, which was primarily due to additional headcount for internal research and development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09"/>
        <w:gridCol w:w="280"/>
        <w:gridCol w:w="70"/>
        <w:gridCol w:w="924"/>
        <w:gridCol w:w="181"/>
        <w:gridCol w:w="297"/>
        <w:gridCol w:w="70"/>
        <w:gridCol w:w="807"/>
        <w:gridCol w:w="95"/>
        <w:gridCol w:w="280"/>
        <w:gridCol w:w="70"/>
        <w:gridCol w:w="762"/>
        <w:gridCol w:w="95"/>
        <w:gridCol w:w="280"/>
        <w:gridCol w:w="152"/>
        <w:gridCol w:w="1035"/>
        <w:gridCol w:w="281"/>
      </w:tblGrid>
      <w:tr>
        <w:trPr/>
        <w:tc>
          <w:tcPr>
            <w:tcW w:w="3709"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0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3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3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i/>
              </w:rPr>
            </w:pPr>
            <w:r>
              <w:rPr>
                <w:i/>
              </w:rPr>
              <w:t>In CHF thousands</w:t>
            </w:r>
          </w:p>
        </w:tc>
        <w:tc>
          <w:tcPr>
            <w:tcW w:w="280"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1" w:type="dxa"/>
            <w:tcBorders/>
            <w:vAlign w:val="bottom"/>
          </w:tcPr>
          <w:p>
            <w:pPr>
              <w:pStyle w:val="TableContents"/>
              <w:bidi w:val="0"/>
              <w:spacing w:before="0" w:after="283"/>
              <w:jc w:val="left"/>
              <w:rPr/>
            </w:pPr>
            <w:r>
              <w:rPr/>
              <w:t> </w:t>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(4,449</w:t>
            </w:r>
          </w:p>
        </w:tc>
        <w:tc>
          <w:tcPr>
            <w:tcW w:w="181" w:type="dxa"/>
            <w:tcBorders/>
            <w:shd w:fill="CCEEFF" w:val="clear"/>
            <w:vAlign w:val="bottom"/>
          </w:tcPr>
          <w:p>
            <w:pPr>
              <w:pStyle w:val="TableContents"/>
              <w:bidi w:val="0"/>
              <w:spacing w:before="0" w:after="283"/>
              <w:jc w:val="left"/>
              <w:rPr/>
            </w:pPr>
            <w:r>
              <w:rPr/>
              <w:t>)</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(2,416</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(2,033</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84</w:t>
            </w:r>
          </w:p>
        </w:tc>
        <w:tc>
          <w:tcPr>
            <w:tcW w:w="281" w:type="dxa"/>
            <w:tcBorders/>
            <w:shd w:fill="CCEEFF" w:val="clear"/>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Payroll</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(3,939</w:t>
            </w:r>
          </w:p>
        </w:tc>
        <w:tc>
          <w:tcPr>
            <w:tcW w:w="181" w:type="dxa"/>
            <w:tcBorders/>
            <w:vAlign w:val="bottom"/>
          </w:tcPr>
          <w:p>
            <w:pPr>
              <w:pStyle w:val="TableContents"/>
              <w:bidi w:val="0"/>
              <w:spacing w:before="0" w:after="283"/>
              <w:jc w:val="left"/>
              <w:rPr/>
            </w:pPr>
            <w:r>
              <w:rPr/>
              <w:t>)</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(2,306</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(1,633</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71</w:t>
            </w:r>
          </w:p>
        </w:tc>
        <w:tc>
          <w:tcPr>
            <w:tcW w:w="281" w:type="dxa"/>
            <w:tcBorders/>
            <w:vAlign w:val="bottom"/>
          </w:tcPr>
          <w:p>
            <w:pPr>
              <w:pStyle w:val="TableContents"/>
              <w:bidi w:val="0"/>
              <w:spacing w:before="0" w:after="283"/>
              <w:jc w:val="left"/>
              <w:rPr/>
            </w:pPr>
            <w:r>
              <w:rPr/>
              <w:t>% </w:t>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(510</w:t>
            </w:r>
          </w:p>
        </w:tc>
        <w:tc>
          <w:tcPr>
            <w:tcW w:w="1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364</w:t>
            </w:r>
          </w:p>
        </w:tc>
        <w:tc>
          <w:tcPr>
            <w:tcW w:w="281" w:type="dxa"/>
            <w:tcBorders/>
            <w:shd w:fill="CCEEFF" w:val="clear"/>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(6,615</w:t>
            </w:r>
          </w:p>
        </w:tc>
        <w:tc>
          <w:tcPr>
            <w:tcW w:w="181" w:type="dxa"/>
            <w:tcBorders/>
            <w:vAlign w:val="bottom"/>
          </w:tcPr>
          <w:p>
            <w:pPr>
              <w:pStyle w:val="TableContents"/>
              <w:bidi w:val="0"/>
              <w:spacing w:before="0" w:after="283"/>
              <w:jc w:val="left"/>
              <w:rPr/>
            </w:pPr>
            <w:r>
              <w:rPr/>
              <w:t>)</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(2,208</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(4,407</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200</w:t>
            </w:r>
          </w:p>
        </w:tc>
        <w:tc>
          <w:tcPr>
            <w:tcW w:w="281" w:type="dxa"/>
            <w:tcBorders/>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 providers</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(2,294</w:t>
            </w:r>
          </w:p>
        </w:tc>
        <w:tc>
          <w:tcPr>
            <w:tcW w:w="181" w:type="dxa"/>
            <w:tcBorders/>
            <w:shd w:fill="CCEEFF" w:val="clear"/>
            <w:vAlign w:val="bottom"/>
          </w:tcPr>
          <w:p>
            <w:pPr>
              <w:pStyle w:val="TableContents"/>
              <w:bidi w:val="0"/>
              <w:spacing w:before="0" w:after="283"/>
              <w:jc w:val="left"/>
              <w:rPr/>
            </w:pPr>
            <w:r>
              <w:rPr/>
              <w:t>)</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(1,681</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(613</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36</w:t>
            </w:r>
          </w:p>
        </w:tc>
        <w:tc>
          <w:tcPr>
            <w:tcW w:w="281" w:type="dxa"/>
            <w:tcBorders/>
            <w:shd w:fill="CCEEFF" w:val="clear"/>
            <w:vAlign w:val="bottom"/>
          </w:tcPr>
          <w:p>
            <w:pPr>
              <w:pStyle w:val="TableContents"/>
              <w:bidi w:val="0"/>
              <w:spacing w:before="0" w:after="283"/>
              <w:jc w:val="left"/>
              <w:rPr/>
            </w:pPr>
            <w:r>
              <w:rPr/>
              <w:t>% </w:t>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(4,249</w:t>
            </w:r>
          </w:p>
        </w:tc>
        <w:tc>
          <w:tcPr>
            <w:tcW w:w="1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(478</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(3,771</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789</w:t>
            </w:r>
          </w:p>
        </w:tc>
        <w:tc>
          <w:tcPr>
            <w:tcW w:w="281" w:type="dxa"/>
            <w:tcBorders/>
            <w:vAlign w:val="bottom"/>
          </w:tcPr>
          <w:p>
            <w:pPr>
              <w:pStyle w:val="TableContents"/>
              <w:bidi w:val="0"/>
              <w:spacing w:before="0" w:after="283"/>
              <w:jc w:val="left"/>
              <w:rPr/>
            </w:pPr>
            <w:r>
              <w:rPr/>
              <w:t>% </w:t>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PPE</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(20</w:t>
            </w:r>
          </w:p>
        </w:tc>
        <w:tc>
          <w:tcPr>
            <w:tcW w:w="1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370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(52</w:t>
            </w:r>
          </w:p>
        </w:tc>
        <w:tc>
          <w:tcPr>
            <w:tcW w:w="1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(39</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(13</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33</w:t>
            </w:r>
          </w:p>
        </w:tc>
        <w:tc>
          <w:tcPr>
            <w:tcW w:w="281" w:type="dxa"/>
            <w:tcBorders/>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24" w:type="dxa"/>
            <w:tcBorders/>
            <w:shd w:fill="CCEEFF" w:val="clear"/>
            <w:vAlign w:val="bottom"/>
          </w:tcPr>
          <w:p>
            <w:pPr>
              <w:pStyle w:val="TableContents"/>
              <w:bidi w:val="0"/>
              <w:spacing w:before="0" w:after="283"/>
              <w:jc w:val="right"/>
              <w:rPr/>
            </w:pPr>
            <w:r>
              <w:rPr/>
              <w:t>(11,064</w:t>
            </w:r>
          </w:p>
        </w:tc>
        <w:tc>
          <w:tcPr>
            <w:tcW w:w="181" w:type="dxa"/>
            <w:tcBorders/>
            <w:shd w:fill="CCEEFF" w:val="clear"/>
            <w:vAlign w:val="bottom"/>
          </w:tcPr>
          <w:p>
            <w:pPr>
              <w:pStyle w:val="TableContents"/>
              <w:bidi w:val="0"/>
              <w:spacing w:before="0" w:after="283"/>
              <w:jc w:val="left"/>
              <w:rPr/>
            </w:pPr>
            <w:r>
              <w:rPr/>
              <w:t>)</w:t>
            </w:r>
          </w:p>
        </w:tc>
        <w:tc>
          <w:tcPr>
            <w:tcW w:w="29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(4,624</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(6,440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139</w:t>
            </w:r>
          </w:p>
        </w:tc>
        <w:tc>
          <w:tcPr>
            <w:tcW w:w="281" w:type="dxa"/>
            <w:tcBorders/>
            <w:shd w:fill="CCEEFF" w:val="clear"/>
            <w:vAlign w:val="bottom"/>
          </w:tcPr>
          <w:p>
            <w:pPr>
              <w:pStyle w:val="TableContents"/>
              <w:bidi w:val="0"/>
              <w:spacing w:before="0" w:after="283"/>
              <w:jc w:val="left"/>
              <w:rPr/>
            </w:pPr>
            <w:r>
              <w:rPr/>
              <w:t>% </w:t>
            </w:r>
          </w:p>
        </w:tc>
      </w:tr>
      <w:tr>
        <w:trPr/>
        <w:tc>
          <w:tcPr>
            <w:tcW w:w="3709"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924"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were CHF 11.1 million for the year ended December 31, 2022 compared to CHF 4.6 million for the year ended December 31, 2021. The increase of CHF 6.4 million, or 139%, was primarily due to a CHF 3.8 million increase in other operating expenses mainly associated with the planning and preparation of the Business Combination and Nasdaq listing-related activities. Personnel costs increased by CHF 2.0 million, which was primarily due to additional headcount in general management and finance for public company readiness.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60"/>
        <w:gridCol w:w="278"/>
        <w:gridCol w:w="75"/>
        <w:gridCol w:w="833"/>
        <w:gridCol w:w="194"/>
        <w:gridCol w:w="304"/>
        <w:gridCol w:w="75"/>
        <w:gridCol w:w="834"/>
        <w:gridCol w:w="95"/>
        <w:gridCol w:w="278"/>
        <w:gridCol w:w="70"/>
        <w:gridCol w:w="787"/>
        <w:gridCol w:w="95"/>
        <w:gridCol w:w="278"/>
        <w:gridCol w:w="168"/>
        <w:gridCol w:w="1007"/>
        <w:gridCol w:w="357"/>
      </w:tblGrid>
      <w:tr>
        <w:trPr/>
        <w:tc>
          <w:tcPr>
            <w:tcW w:w="3660"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6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3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9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i/>
              </w:rPr>
            </w:pPr>
            <w:r>
              <w:rPr>
                <w:i/>
              </w:rPr>
              <w:t>In CHF thousands</w:t>
            </w:r>
          </w:p>
        </w:tc>
        <w:tc>
          <w:tcPr>
            <w:tcW w:w="278"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9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accrued on Series B and C shares</w:t>
            </w:r>
          </w:p>
        </w:tc>
        <w:tc>
          <w:tcPr>
            <w:tcW w:w="27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(6,343</w:t>
            </w:r>
          </w:p>
        </w:tc>
        <w:tc>
          <w:tcPr>
            <w:tcW w:w="194" w:type="dxa"/>
            <w:tcBorders/>
            <w:shd w:fill="CCEEFF" w:val="clear"/>
            <w:vAlign w:val="bottom"/>
          </w:tcPr>
          <w:p>
            <w:pPr>
              <w:pStyle w:val="TableContents"/>
              <w:bidi w:val="0"/>
              <w:spacing w:before="0" w:after="283"/>
              <w:jc w:val="left"/>
              <w:rPr/>
            </w:pPr>
            <w:r>
              <w:rPr/>
              <w:t>)</w:t>
            </w:r>
          </w:p>
        </w:tc>
        <w:tc>
          <w:tcPr>
            <w:tcW w:w="30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(4,996</w:t>
            </w:r>
          </w:p>
        </w:tc>
        <w:tc>
          <w:tcPr>
            <w:tcW w:w="95" w:type="dxa"/>
            <w:tcBorders/>
            <w:shd w:fill="CCEEFF" w:val="clear"/>
            <w:vAlign w:val="bottom"/>
          </w:tcPr>
          <w:p>
            <w:pPr>
              <w:pStyle w:val="TableContents"/>
              <w:bidi w:val="0"/>
              <w:spacing w:before="0" w:after="283"/>
              <w:jc w:val="left"/>
              <w:rPr/>
            </w:pPr>
            <w:r>
              <w:rPr/>
              <w:t>)</w:t>
            </w:r>
          </w:p>
        </w:tc>
        <w:tc>
          <w:tcPr>
            <w:tcW w:w="27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(1,347</w:t>
            </w:r>
          </w:p>
        </w:tc>
        <w:tc>
          <w:tcPr>
            <w:tcW w:w="95" w:type="dxa"/>
            <w:tcBorders/>
            <w:shd w:fill="CCEEFF" w:val="clear"/>
            <w:vAlign w:val="bottom"/>
          </w:tcPr>
          <w:p>
            <w:pPr>
              <w:pStyle w:val="TableContents"/>
              <w:bidi w:val="0"/>
              <w:spacing w:before="0" w:after="283"/>
              <w:jc w:val="left"/>
              <w:rPr/>
            </w:pPr>
            <w:r>
              <w:rPr/>
              <w:t>)</w:t>
            </w:r>
          </w:p>
        </w:tc>
        <w:tc>
          <w:tcPr>
            <w:tcW w:w="27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27</w:t>
            </w:r>
          </w:p>
        </w:tc>
        <w:tc>
          <w:tcPr>
            <w:tcW w:w="357" w:type="dxa"/>
            <w:tcBorders/>
            <w:shd w:fill="CCEEFF" w:val="clear"/>
            <w:vAlign w:val="bottom"/>
          </w:tcPr>
          <w:p>
            <w:pPr>
              <w:pStyle w:val="TableContents"/>
              <w:bidi w:val="0"/>
              <w:spacing w:before="0" w:after="283"/>
              <w:jc w:val="left"/>
              <w:rPr/>
            </w:pPr>
            <w:r>
              <w:rPr/>
              <w:t>% </w:t>
            </w:r>
          </w:p>
        </w:tc>
      </w:tr>
      <w:tr>
        <w:trPr/>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7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(45</w:t>
            </w:r>
          </w:p>
        </w:tc>
        <w:tc>
          <w:tcPr>
            <w:tcW w:w="194"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(49</w:t>
            </w:r>
          </w:p>
        </w:tc>
        <w:tc>
          <w:tcPr>
            <w:tcW w:w="95"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4</w:t>
            </w:r>
          </w:p>
        </w:tc>
        <w:tc>
          <w:tcPr>
            <w:tcW w:w="9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(8</w:t>
            </w:r>
          </w:p>
        </w:tc>
        <w:tc>
          <w:tcPr>
            <w:tcW w:w="357" w:type="dxa"/>
            <w:tcBorders/>
            <w:vAlign w:val="bottom"/>
          </w:tcPr>
          <w:p>
            <w:pPr>
              <w:pStyle w:val="TableContents"/>
              <w:bidi w:val="0"/>
              <w:spacing w:before="0" w:after="283"/>
              <w:jc w:val="left"/>
              <w:rPr/>
            </w:pPr>
            <w:r>
              <w:rPr/>
              <w:t>%) </w:t>
            </w:r>
          </w:p>
        </w:tc>
      </w:tr>
      <w:tr>
        <w:trPr/>
        <w:tc>
          <w:tcPr>
            <w:tcW w:w="3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8"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(54</w:t>
            </w:r>
          </w:p>
        </w:tc>
        <w:tc>
          <w:tcPr>
            <w:tcW w:w="19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(75</w:t>
            </w:r>
          </w:p>
        </w:tc>
        <w:tc>
          <w:tcPr>
            <w:tcW w:w="95" w:type="dxa"/>
            <w:tcBorders/>
            <w:shd w:fill="CCEEFF" w:val="clear"/>
            <w:vAlign w:val="bottom"/>
          </w:tcPr>
          <w:p>
            <w:pPr>
              <w:pStyle w:val="TableContents"/>
              <w:bidi w:val="0"/>
              <w:spacing w:before="0" w:after="283"/>
              <w:jc w:val="left"/>
              <w:rPr/>
            </w:pPr>
            <w:r>
              <w:rPr/>
              <w:t>)</w:t>
            </w:r>
          </w:p>
        </w:tc>
        <w:tc>
          <w:tcPr>
            <w:tcW w:w="278"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21</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(28</w:t>
            </w:r>
          </w:p>
        </w:tc>
        <w:tc>
          <w:tcPr>
            <w:tcW w:w="357" w:type="dxa"/>
            <w:tcBorders/>
            <w:shd w:fill="CCEEFF" w:val="clear"/>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finance expense</w:t>
            </w:r>
          </w:p>
        </w:tc>
        <w:tc>
          <w:tcPr>
            <w:tcW w:w="278"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(6,442</w:t>
            </w:r>
          </w:p>
        </w:tc>
        <w:tc>
          <w:tcPr>
            <w:tcW w:w="194" w:type="dxa"/>
            <w:tcBorders/>
            <w:vAlign w:val="bottom"/>
          </w:tcPr>
          <w:p>
            <w:pPr>
              <w:pStyle w:val="TableContents"/>
              <w:bidi w:val="0"/>
              <w:spacing w:before="0" w:after="283"/>
              <w:jc w:val="left"/>
              <w:rPr/>
            </w:pPr>
            <w:r>
              <w:rPr/>
              <w:t>)</w:t>
            </w:r>
          </w:p>
        </w:tc>
        <w:tc>
          <w:tcPr>
            <w:tcW w:w="30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(5,120</w:t>
            </w:r>
          </w:p>
        </w:tc>
        <w:tc>
          <w:tcPr>
            <w:tcW w:w="95"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(1,322</w:t>
            </w:r>
          </w:p>
        </w:tc>
        <w:tc>
          <w:tcPr>
            <w:tcW w:w="95" w:type="dxa"/>
            <w:tcBorders/>
            <w:vAlign w:val="bottom"/>
          </w:tcPr>
          <w:p>
            <w:pPr>
              <w:pStyle w:val="TableContents"/>
              <w:bidi w:val="0"/>
              <w:spacing w:before="0" w:after="283"/>
              <w:jc w:val="left"/>
              <w:rPr/>
            </w:pPr>
            <w:r>
              <w:rPr/>
              <w:t>)</w:t>
            </w:r>
          </w:p>
        </w:tc>
        <w:tc>
          <w:tcPr>
            <w:tcW w:w="27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26</w:t>
            </w:r>
          </w:p>
        </w:tc>
        <w:tc>
          <w:tcPr>
            <w:tcW w:w="357" w:type="dxa"/>
            <w:tcBorders/>
            <w:vAlign w:val="bottom"/>
          </w:tcPr>
          <w:p>
            <w:pPr>
              <w:pStyle w:val="TableContents"/>
              <w:bidi w:val="0"/>
              <w:spacing w:before="0" w:after="283"/>
              <w:jc w:val="left"/>
              <w:rPr/>
            </w:pPr>
            <w:r>
              <w:rPr/>
              <w:t>% </w:t>
            </w:r>
          </w:p>
        </w:tc>
      </w:tr>
      <w:tr>
        <w:trPr/>
        <w:tc>
          <w:tcPr>
            <w:tcW w:w="36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33" w:type="dxa"/>
            <w:tcBorders/>
            <w:vAlign w:val="bottom"/>
          </w:tcPr>
          <w:p>
            <w:pPr>
              <w:pStyle w:val="TableContents"/>
              <w:pBdr>
                <w:top w:val="double" w:sz="6"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07"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Finance expenses were CHF 6.4 million for the year ended December 31, 2022 and CHF 5.1 million for the year ended December 31, 2021. The increase of CHF 1.3 million, or 26%, was due to a full year of accrued interest expense associated with preferred shares dividends while only 8 months were accrued in 2021. The main preferred Series C round in 2021 for an amount of CHF 52.5 million was raised in April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Differences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87"/>
        <w:gridCol w:w="351"/>
        <w:gridCol w:w="123"/>
        <w:gridCol w:w="535"/>
        <w:gridCol w:w="123"/>
        <w:gridCol w:w="468"/>
        <w:gridCol w:w="123"/>
        <w:gridCol w:w="989"/>
        <w:gridCol w:w="155"/>
        <w:gridCol w:w="351"/>
        <w:gridCol w:w="111"/>
        <w:gridCol w:w="731"/>
        <w:gridCol w:w="60"/>
        <w:gridCol w:w="351"/>
        <w:gridCol w:w="128"/>
        <w:gridCol w:w="1032"/>
        <w:gridCol w:w="370"/>
      </w:tblGrid>
      <w:tr>
        <w:trPr/>
        <w:tc>
          <w:tcPr>
            <w:tcW w:w="3387"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387"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3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4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r>
      <w:tr>
        <w:trPr/>
        <w:tc>
          <w:tcPr>
            <w:tcW w:w="3387" w:type="dxa"/>
            <w:tcBorders/>
            <w:vAlign w:val="bottom"/>
          </w:tcPr>
          <w:p>
            <w:pPr>
              <w:pStyle w:val="TableContents"/>
              <w:bidi w:val="0"/>
              <w:spacing w:before="0" w:after="283"/>
              <w:jc w:val="left"/>
              <w:rPr>
                <w:i/>
              </w:rPr>
            </w:pPr>
            <w:r>
              <w:rPr>
                <w:i/>
              </w:rPr>
              <w:t>In CHF thousands</w:t>
            </w:r>
          </w:p>
        </w:tc>
        <w:tc>
          <w:tcPr>
            <w:tcW w:w="351"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23"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70" w:type="dxa"/>
            <w:tcBorders/>
            <w:vAlign w:val="bottom"/>
          </w:tcPr>
          <w:p>
            <w:pPr>
              <w:pStyle w:val="TableContents"/>
              <w:bidi w:val="0"/>
              <w:spacing w:before="0" w:after="283"/>
              <w:jc w:val="left"/>
              <w:rPr/>
            </w:pPr>
            <w:r>
              <w:rPr/>
              <w:t> </w:t>
            </w:r>
          </w:p>
        </w:tc>
      </w:tr>
      <w:tr>
        <w:trPr/>
        <w:tc>
          <w:tcPr>
            <w:tcW w:w="3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w:t>
            </w:r>
          </w:p>
        </w:tc>
        <w:tc>
          <w:tcPr>
            <w:tcW w:w="35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49</w:t>
            </w:r>
          </w:p>
        </w:tc>
        <w:tc>
          <w:tcPr>
            <w:tcW w:w="123"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242</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(125</w:t>
            </w:r>
          </w:p>
        </w:tc>
        <w:tc>
          <w:tcPr>
            <w:tcW w:w="370" w:type="dxa"/>
            <w:tcBorders/>
            <w:shd w:fill="CCEEFF" w:val="clear"/>
            <w:vAlign w:val="bottom"/>
          </w:tcPr>
          <w:p>
            <w:pPr>
              <w:pStyle w:val="TableContents"/>
              <w:bidi w:val="0"/>
              <w:spacing w:before="0" w:after="283"/>
              <w:jc w:val="left"/>
              <w:rPr/>
            </w:pPr>
            <w:r>
              <w:rPr/>
              <w:t>%) </w:t>
            </w:r>
          </w:p>
        </w:tc>
      </w:tr>
      <w:tr>
        <w:trPr/>
        <w:tc>
          <w:tcPr>
            <w:tcW w:w="338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3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differences were a gain of CHF 49 thousand for the year ended December 31, 2022, compared to a loss of CHF 0.2 million for the year ended December 31, 2021. For the year ended December 31, 2022, favorable currency exchange was mainly due to revaluation of U.S. dollar impacting both the Series C long-term liability, bank cash balances and realized gains, whereas the U.S. dollar trend was less favorable for the year ended December 21,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Years Ended December 31, 2021 and 2020 </w:t>
      </w:r>
    </w:p>
    <w:p>
      <w:pPr>
        <w:pStyle w:val="TextBody"/>
        <w:bidi w:val="0"/>
        <w:spacing w:before="120" w:after="0"/>
        <w:jc w:val="left"/>
        <w:rPr>
          <w:rFonts w:ascii="Times New Roman" w:hAnsi="Times New Roman"/>
          <w:b/>
          <w:i/>
          <w:sz w:val="20"/>
        </w:rPr>
      </w:pPr>
      <w:r>
        <w:rPr>
          <w:rFonts w:ascii="Times New Roman" w:hAnsi="Times New Roman"/>
          <w:b/>
          <w:i/>
          <w:sz w:val="20"/>
        </w:rPr>
        <w:t xml:space="preserve">Grant Income </w:t>
      </w:r>
    </w:p>
    <w:p>
      <w:pPr>
        <w:pStyle w:val="TextBody"/>
        <w:bidi w:val="0"/>
        <w:spacing w:before="120" w:after="0"/>
        <w:jc w:val="left"/>
        <w:rPr>
          <w:rFonts w:ascii="Times New Roman" w:hAnsi="Times New Roman"/>
          <w:sz w:val="20"/>
        </w:rPr>
      </w:pPr>
      <w:r>
        <w:rPr>
          <w:rFonts w:ascii="Times New Roman" w:hAnsi="Times New Roman"/>
          <w:sz w:val="20"/>
        </w:rPr>
        <w:t xml:space="preserve">Grant income for both the years ended December 31, 2021 and 2020 was CHF 1.0 million. The grant income is dependent upon the Icelandic government making such reimbursement available for research and development activities. While certain of our research and development expenses have historically qualified for reimbursement and we anticipate incurring a similar level of costs in the future, there is no assurance that the Icelandic government will continue with the tax reimbursement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93"/>
        <w:gridCol w:w="313"/>
        <w:gridCol w:w="75"/>
        <w:gridCol w:w="834"/>
        <w:gridCol w:w="194"/>
        <w:gridCol w:w="340"/>
        <w:gridCol w:w="75"/>
        <w:gridCol w:w="836"/>
        <w:gridCol w:w="95"/>
        <w:gridCol w:w="313"/>
        <w:gridCol w:w="94"/>
        <w:gridCol w:w="725"/>
        <w:gridCol w:w="95"/>
        <w:gridCol w:w="313"/>
        <w:gridCol w:w="169"/>
        <w:gridCol w:w="966"/>
        <w:gridCol w:w="358"/>
      </w:tblGrid>
      <w:tr>
        <w:trPr/>
        <w:tc>
          <w:tcPr>
            <w:tcW w:w="3593"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i/>
              </w:rPr>
            </w:pPr>
            <w:r>
              <w:rPr>
                <w:i/>
              </w:rPr>
              <w:t>In CHF thousands</w:t>
            </w:r>
          </w:p>
        </w:tc>
        <w:tc>
          <w:tcPr>
            <w:tcW w:w="313"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(4,407</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(3,826</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(581</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15</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Payroll</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(4,189</w:t>
            </w:r>
          </w:p>
        </w:tc>
        <w:tc>
          <w:tcPr>
            <w:tcW w:w="194" w:type="dxa"/>
            <w:tcBorders/>
            <w:vAlign w:val="bottom"/>
          </w:tcPr>
          <w:p>
            <w:pPr>
              <w:pStyle w:val="TableContents"/>
              <w:bidi w:val="0"/>
              <w:spacing w:before="0" w:after="283"/>
              <w:jc w:val="left"/>
              <w:rPr/>
            </w:pPr>
            <w:r>
              <w:rPr/>
              <w:t>)</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(3,612</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(577</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16</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(218</w:t>
            </w:r>
          </w:p>
        </w:tc>
        <w:tc>
          <w:tcPr>
            <w:tcW w:w="194"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(214</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(5,161</w:t>
            </w:r>
          </w:p>
        </w:tc>
        <w:tc>
          <w:tcPr>
            <w:tcW w:w="194" w:type="dxa"/>
            <w:tcBorders/>
            <w:vAlign w:val="bottom"/>
          </w:tcPr>
          <w:p>
            <w:pPr>
              <w:pStyle w:val="TableContents"/>
              <w:bidi w:val="0"/>
              <w:spacing w:before="0" w:after="283"/>
              <w:jc w:val="left"/>
              <w:rPr/>
            </w:pPr>
            <w:r>
              <w:rPr/>
              <w:t>)</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(5,510</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349</w:t>
            </w:r>
          </w:p>
        </w:tc>
        <w:tc>
          <w:tcPr>
            <w:tcW w:w="95"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 providers</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(4,786</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(5,154</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368</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(7</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(189</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(167</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(22</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13</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PPE</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(78</w:t>
            </w:r>
          </w:p>
        </w:tc>
        <w:tc>
          <w:tcPr>
            <w:tcW w:w="194"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(89</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11</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(12</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(108</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(99</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(9</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9</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(9,568</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(9,337</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(231</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were CHF 9.6 million for the year ended December 31, 2021 compared to CHF 9.3 million for the year ended December 31, 2020. The net increase of CHF 0.2 million, or 2%, was primarily due to the increase in personnel costs by CHF 0.6 million year over year, as additional personnel was hired for internal research and development. The increase was partially offset by a decrease of CHF 0.4 million related to fewer external services providers and consultants.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93"/>
        <w:gridCol w:w="313"/>
        <w:gridCol w:w="75"/>
        <w:gridCol w:w="834"/>
        <w:gridCol w:w="194"/>
        <w:gridCol w:w="340"/>
        <w:gridCol w:w="75"/>
        <w:gridCol w:w="836"/>
        <w:gridCol w:w="95"/>
        <w:gridCol w:w="313"/>
        <w:gridCol w:w="94"/>
        <w:gridCol w:w="725"/>
        <w:gridCol w:w="95"/>
        <w:gridCol w:w="313"/>
        <w:gridCol w:w="169"/>
        <w:gridCol w:w="966"/>
        <w:gridCol w:w="358"/>
      </w:tblGrid>
      <w:tr>
        <w:trPr/>
        <w:tc>
          <w:tcPr>
            <w:tcW w:w="3593"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3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i/>
              </w:rPr>
            </w:pPr>
            <w:r>
              <w:rPr>
                <w:i/>
              </w:rPr>
              <w:t>In CHF thousands</w:t>
            </w:r>
          </w:p>
        </w:tc>
        <w:tc>
          <w:tcPr>
            <w:tcW w:w="313"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Personnel expenses</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(2,416</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(1,771</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(645</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36</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Payroll</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(2,306</w:t>
            </w:r>
          </w:p>
        </w:tc>
        <w:tc>
          <w:tcPr>
            <w:tcW w:w="194" w:type="dxa"/>
            <w:tcBorders/>
            <w:vAlign w:val="bottom"/>
          </w:tcPr>
          <w:p>
            <w:pPr>
              <w:pStyle w:val="TableContents"/>
              <w:bidi w:val="0"/>
              <w:spacing w:before="0" w:after="283"/>
              <w:jc w:val="left"/>
              <w:rPr/>
            </w:pPr>
            <w:r>
              <w:rPr/>
              <w:t>)</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(1,657</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(649</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39</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(110</w:t>
            </w:r>
          </w:p>
        </w:tc>
        <w:tc>
          <w:tcPr>
            <w:tcW w:w="194"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(114</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w:t>
            </w:r>
          </w:p>
        </w:tc>
        <w:tc>
          <w:tcPr>
            <w:tcW w:w="9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(2,208</w:t>
            </w:r>
          </w:p>
        </w:tc>
        <w:tc>
          <w:tcPr>
            <w:tcW w:w="194" w:type="dxa"/>
            <w:tcBorders/>
            <w:vAlign w:val="bottom"/>
          </w:tcPr>
          <w:p>
            <w:pPr>
              <w:pStyle w:val="TableContents"/>
              <w:bidi w:val="0"/>
              <w:spacing w:before="0" w:after="283"/>
              <w:jc w:val="left"/>
              <w:rPr/>
            </w:pPr>
            <w:r>
              <w:rPr/>
              <w:t>)</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(2,221</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13</w:t>
            </w:r>
          </w:p>
        </w:tc>
        <w:tc>
          <w:tcPr>
            <w:tcW w:w="9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 providers</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(1,681</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(1,744</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63</w:t>
            </w:r>
          </w:p>
        </w:tc>
        <w:tc>
          <w:tcPr>
            <w:tcW w:w="9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(478</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(438</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(40</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9</w:t>
            </w:r>
          </w:p>
        </w:tc>
        <w:tc>
          <w:tcPr>
            <w:tcW w:w="358"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PPE</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(10</w:t>
            </w:r>
          </w:p>
        </w:tc>
        <w:tc>
          <w:tcPr>
            <w:tcW w:w="194"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(15</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w:t>
            </w:r>
          </w:p>
        </w:tc>
        <w:tc>
          <w:tcPr>
            <w:tcW w:w="9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(33</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(39</w:t>
            </w:r>
          </w:p>
        </w:tc>
        <w:tc>
          <w:tcPr>
            <w:tcW w:w="194"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(24</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(15</w:t>
            </w:r>
          </w:p>
        </w:tc>
        <w:tc>
          <w:tcPr>
            <w:tcW w:w="95" w:type="dxa"/>
            <w:tcBorders/>
            <w:vAlign w:val="bottom"/>
          </w:tcPr>
          <w:p>
            <w:pPr>
              <w:pStyle w:val="TableContents"/>
              <w:bidi w:val="0"/>
              <w:spacing w:before="0" w:after="283"/>
              <w:jc w:val="left"/>
              <w:rPr/>
            </w:pPr>
            <w:r>
              <w:rPr/>
              <w:t>)</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63</w:t>
            </w:r>
          </w:p>
        </w:tc>
        <w:tc>
          <w:tcPr>
            <w:tcW w:w="358"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(4,624</w:t>
            </w:r>
          </w:p>
        </w:tc>
        <w:tc>
          <w:tcPr>
            <w:tcW w:w="194" w:type="dxa"/>
            <w:tcBorders/>
            <w:shd w:fill="CCEEFF" w:val="clear"/>
            <w:vAlign w:val="bottom"/>
          </w:tcPr>
          <w:p>
            <w:pPr>
              <w:pStyle w:val="TableContents"/>
              <w:bidi w:val="0"/>
              <w:spacing w:before="0" w:after="283"/>
              <w:jc w:val="left"/>
              <w:rPr/>
            </w:pPr>
            <w:r>
              <w:rPr/>
              <w:t>)</w:t>
            </w:r>
          </w:p>
        </w:tc>
        <w:tc>
          <w:tcPr>
            <w:tcW w:w="34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(3,992</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(632</w:t>
            </w:r>
          </w:p>
        </w:tc>
        <w:tc>
          <w:tcPr>
            <w:tcW w:w="95" w:type="dxa"/>
            <w:tcBorders/>
            <w:shd w:fill="CCEEFF" w:val="clear"/>
            <w:vAlign w:val="bottom"/>
          </w:tcPr>
          <w:p>
            <w:pPr>
              <w:pStyle w:val="TableContents"/>
              <w:bidi w:val="0"/>
              <w:spacing w:before="0" w:after="283"/>
              <w:jc w:val="left"/>
              <w:rPr/>
            </w:pPr>
            <w:r>
              <w:rPr/>
              <w:t>)</w:t>
            </w:r>
          </w:p>
        </w:tc>
        <w:tc>
          <w:tcPr>
            <w:tcW w:w="31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16</w:t>
            </w:r>
          </w:p>
        </w:tc>
        <w:tc>
          <w:tcPr>
            <w:tcW w:w="358"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 and administrative expenses were CHF 4.6 million for the year ended December 31, 2021 compared to CHF 4.0 million for the year ended December 31, 2020. The increase of CHF 0.6 million, or 16%, was primarily due to a CHF 0.6 million increase in personnel costs associated with additional headcount for expansion of our operations in connection with the Business Combination and preparing to become a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51"/>
        <w:gridCol w:w="280"/>
        <w:gridCol w:w="75"/>
        <w:gridCol w:w="833"/>
        <w:gridCol w:w="194"/>
        <w:gridCol w:w="306"/>
        <w:gridCol w:w="75"/>
        <w:gridCol w:w="835"/>
        <w:gridCol w:w="95"/>
        <w:gridCol w:w="280"/>
        <w:gridCol w:w="70"/>
        <w:gridCol w:w="787"/>
        <w:gridCol w:w="95"/>
        <w:gridCol w:w="280"/>
        <w:gridCol w:w="152"/>
        <w:gridCol w:w="1023"/>
        <w:gridCol w:w="357"/>
      </w:tblGrid>
      <w:tr>
        <w:trPr/>
        <w:tc>
          <w:tcPr>
            <w:tcW w:w="3651"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3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5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i/>
              </w:rPr>
            </w:pPr>
            <w:r>
              <w:rPr>
                <w:i/>
              </w:rPr>
              <w:t>In CHF thousands</w:t>
            </w:r>
          </w:p>
        </w:tc>
        <w:tc>
          <w:tcPr>
            <w:tcW w:w="280"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9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9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9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7"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accrued on Series B and C shares</w:t>
            </w:r>
          </w:p>
        </w:tc>
        <w:tc>
          <w:tcPr>
            <w:tcW w:w="2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(4,996</w:t>
            </w:r>
          </w:p>
        </w:tc>
        <w:tc>
          <w:tcPr>
            <w:tcW w:w="194" w:type="dxa"/>
            <w:tcBorders/>
            <w:shd w:fill="CCEEFF" w:val="clear"/>
            <w:vAlign w:val="bottom"/>
          </w:tcPr>
          <w:p>
            <w:pPr>
              <w:pStyle w:val="TableContents"/>
              <w:bidi w:val="0"/>
              <w:spacing w:before="0" w:after="283"/>
              <w:jc w:val="left"/>
              <w:rPr/>
            </w:pPr>
            <w:r>
              <w:rPr/>
              <w:t>)</w:t>
            </w:r>
          </w:p>
        </w:tc>
        <w:tc>
          <w:tcPr>
            <w:tcW w:w="30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(2,560</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(2,436</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95</w:t>
            </w:r>
          </w:p>
        </w:tc>
        <w:tc>
          <w:tcPr>
            <w:tcW w:w="357" w:type="dxa"/>
            <w:tcBorders/>
            <w:shd w:fill="CCEEFF" w:val="clear"/>
            <w:vAlign w:val="bottom"/>
          </w:tcPr>
          <w:p>
            <w:pPr>
              <w:pStyle w:val="TableContents"/>
              <w:bidi w:val="0"/>
              <w:spacing w:before="0" w:after="283"/>
              <w:jc w:val="left"/>
              <w:rPr/>
            </w:pPr>
            <w:r>
              <w:rPr/>
              <w:t>% </w:t>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(49</w:t>
            </w:r>
          </w:p>
        </w:tc>
        <w:tc>
          <w:tcPr>
            <w:tcW w:w="194"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(50</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w:t>
            </w:r>
          </w:p>
        </w:tc>
        <w:tc>
          <w:tcPr>
            <w:tcW w:w="9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w:t>
            </w:r>
          </w:p>
        </w:tc>
        <w:tc>
          <w:tcPr>
            <w:tcW w:w="357" w:type="dxa"/>
            <w:tcBorders/>
            <w:vAlign w:val="bottom"/>
          </w:tcPr>
          <w:p>
            <w:pPr>
              <w:pStyle w:val="TableContents"/>
              <w:bidi w:val="0"/>
              <w:spacing w:before="0" w:after="283"/>
              <w:jc w:val="left"/>
              <w:rPr/>
            </w:pPr>
            <w:r>
              <w:rPr/>
              <w:t>%) </w:t>
            </w:r>
          </w:p>
        </w:tc>
      </w:tr>
      <w:tr>
        <w:trPr/>
        <w:tc>
          <w:tcPr>
            <w:tcW w:w="3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8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(75</w:t>
            </w:r>
          </w:p>
        </w:tc>
        <w:tc>
          <w:tcPr>
            <w:tcW w:w="194"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(18</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(57</w:t>
            </w:r>
          </w:p>
        </w:tc>
        <w:tc>
          <w:tcPr>
            <w:tcW w:w="95" w:type="dxa"/>
            <w:tcBorders/>
            <w:shd w:fill="CCEEFF" w:val="clear"/>
            <w:vAlign w:val="bottom"/>
          </w:tcPr>
          <w:p>
            <w:pPr>
              <w:pStyle w:val="TableContents"/>
              <w:bidi w:val="0"/>
              <w:spacing w:before="0" w:after="283"/>
              <w:jc w:val="left"/>
              <w:rPr/>
            </w:pPr>
            <w:r>
              <w:rPr/>
              <w:t>)</w:t>
            </w:r>
          </w:p>
        </w:tc>
        <w:tc>
          <w:tcPr>
            <w:tcW w:w="28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317</w:t>
            </w:r>
          </w:p>
        </w:tc>
        <w:tc>
          <w:tcPr>
            <w:tcW w:w="357" w:type="dxa"/>
            <w:tcBorders/>
            <w:shd w:fill="CCEEFF" w:val="clear"/>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finance expense</w:t>
            </w:r>
          </w:p>
        </w:tc>
        <w:tc>
          <w:tcPr>
            <w:tcW w:w="28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(5,120</w:t>
            </w:r>
          </w:p>
        </w:tc>
        <w:tc>
          <w:tcPr>
            <w:tcW w:w="194" w:type="dxa"/>
            <w:tcBorders/>
            <w:vAlign w:val="bottom"/>
          </w:tcPr>
          <w:p>
            <w:pPr>
              <w:pStyle w:val="TableContents"/>
              <w:bidi w:val="0"/>
              <w:spacing w:before="0" w:after="283"/>
              <w:jc w:val="left"/>
              <w:rPr/>
            </w:pPr>
            <w:r>
              <w:rPr/>
              <w:t>)</w:t>
            </w:r>
          </w:p>
        </w:tc>
        <w:tc>
          <w:tcPr>
            <w:tcW w:w="306"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(2,628</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(2,492</w:t>
            </w:r>
          </w:p>
        </w:tc>
        <w:tc>
          <w:tcPr>
            <w:tcW w:w="95" w:type="dxa"/>
            <w:tcBorders/>
            <w:vAlign w:val="bottom"/>
          </w:tcPr>
          <w:p>
            <w:pPr>
              <w:pStyle w:val="TableContents"/>
              <w:bidi w:val="0"/>
              <w:spacing w:before="0" w:after="283"/>
              <w:jc w:val="left"/>
              <w:rPr/>
            </w:pPr>
            <w:r>
              <w:rPr/>
              <w:t>)</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95</w:t>
            </w:r>
          </w:p>
        </w:tc>
        <w:tc>
          <w:tcPr>
            <w:tcW w:w="357" w:type="dxa"/>
            <w:tcBorders/>
            <w:vAlign w:val="bottom"/>
          </w:tcPr>
          <w:p>
            <w:pPr>
              <w:pStyle w:val="TableContents"/>
              <w:bidi w:val="0"/>
              <w:spacing w:before="0" w:after="283"/>
              <w:jc w:val="left"/>
              <w:rPr/>
            </w:pPr>
            <w:r>
              <w:rPr/>
              <w:t>% </w:t>
            </w:r>
          </w:p>
        </w:tc>
      </w:tr>
      <w:tr>
        <w:trPr/>
        <w:tc>
          <w:tcPr>
            <w:tcW w:w="3651"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023"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Finance expenses were CHF 5.1 million for the year ended December 31, 2021 and CHF 2.6 million for the year ended December 31, 2020. The increase of CHF 2.5 million, or 95%, was due to the additional accrued interest costs associated with preferred dividends as a result of the preferred Series C round which was completed in April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Differences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68"/>
        <w:gridCol w:w="320"/>
        <w:gridCol w:w="101"/>
        <w:gridCol w:w="812"/>
        <w:gridCol w:w="275"/>
        <w:gridCol w:w="393"/>
        <w:gridCol w:w="101"/>
        <w:gridCol w:w="659"/>
        <w:gridCol w:w="60"/>
        <w:gridCol w:w="319"/>
        <w:gridCol w:w="94"/>
        <w:gridCol w:w="723"/>
        <w:gridCol w:w="155"/>
        <w:gridCol w:w="320"/>
        <w:gridCol w:w="129"/>
        <w:gridCol w:w="1000"/>
        <w:gridCol w:w="359"/>
      </w:tblGrid>
      <w:tr>
        <w:trPr/>
        <w:tc>
          <w:tcPr>
            <w:tcW w:w="3568"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23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1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i/>
              </w:rPr>
            </w:pPr>
            <w:r>
              <w:rPr>
                <w:i/>
              </w:rPr>
              <w:t>In CHF thousands</w:t>
            </w:r>
          </w:p>
        </w:tc>
        <w:tc>
          <w:tcPr>
            <w:tcW w:w="320"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9"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w:t>
            </w:r>
          </w:p>
        </w:tc>
        <w:tc>
          <w:tcPr>
            <w:tcW w:w="3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(193</w:t>
            </w:r>
          </w:p>
        </w:tc>
        <w:tc>
          <w:tcPr>
            <w:tcW w:w="27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163</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(356</w:t>
            </w:r>
          </w:p>
        </w:tc>
        <w:tc>
          <w:tcPr>
            <w:tcW w:w="155"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(218</w:t>
            </w:r>
          </w:p>
        </w:tc>
        <w:tc>
          <w:tcPr>
            <w:tcW w:w="359"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exchange differences were a loss of CHF 0.2 million for the year ended December 31, 2021, compared to a gain of CHF 0.2 million for the year ended December 31, 2020. For the year ended December 31, 2021, the gain from revaluation of the Series C long-term liability was CHF 0.7 million, while for the 2020 period there was no exchange difference. This main driver of the unfavorable currency exchange in 2021 was mainly due to negative revaluation of CHF 0.8 million of cash balances resulting of the Series C preferred shares issued in April 2021. </w:t>
      </w:r>
    </w:p>
    <w:p>
      <w:pPr>
        <w:pStyle w:val="TextBody"/>
        <w:bidi w:val="0"/>
        <w:spacing w:before="360" w:after="0"/>
        <w:jc w:val="left"/>
        <w:rPr>
          <w:rFonts w:ascii="Times New Roman" w:hAnsi="Times New Roman"/>
          <w:b/>
          <w:i/>
          <w:sz w:val="20"/>
        </w:rPr>
      </w:pPr>
      <w:r>
        <w:rPr>
          <w:rFonts w:ascii="Times New Roman" w:hAnsi="Times New Roman"/>
          <w:b/>
          <w:i/>
          <w:sz w:val="20"/>
        </w:rPr>
        <w:t xml:space="preserve">B. 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We have not yet commercialized any products and we do not expect to generate revenue from sales of products for several years, if at all. As of December 31, 2022, we have funded our operations primarily with CHF 103.4 million of proceeds from the sale of our preferred stock. On March 2, 2023, we consummated the business combination with EBAC pursuant to the business combination agreement dated October 17, 2022. The closing of the Business Combination, the PIPE Financing and conversion of the CLA provided the Group with gross proceeds of approximately CHF 97.4 million. As of March 31, 2023, December 31, 2022 and December 31, 2021, we had cash and cash equivalents of CHF 96.5 million, CHF 19.8 million and CHF 46.3 million, respectively. We had accumulated losses of CHF 111.0 million and CHF 72.3 million as of December 31, 2022, and 2021, respectively. </w:t>
      </w:r>
    </w:p>
    <w:p>
      <w:pPr>
        <w:pStyle w:val="TextBody"/>
        <w:bidi w:val="0"/>
        <w:spacing w:before="240" w:after="0"/>
        <w:jc w:val="left"/>
        <w:rPr>
          <w:rFonts w:ascii="Times New Roman" w:hAnsi="Times New Roman"/>
          <w:sz w:val="20"/>
        </w:rPr>
      </w:pPr>
      <w:r>
        <w:rPr>
          <w:rFonts w:ascii="Times New Roman" w:hAnsi="Times New Roman"/>
          <w:sz w:val="20"/>
        </w:rPr>
        <w:t>We expect to incur additional operating losses in the near future and our operating expenses will increase as we continue to expand our organization through in-licensing, strategic collaboration, acquisition, and invest in the development of our product candidates through additional research and development activities and clinical trials. See </w:t>
      </w:r>
      <w:r>
        <w:rPr>
          <w:rFonts w:ascii="Times New Roman" w:hAnsi="Times New Roman"/>
          <w:i/>
          <w:sz w:val="20"/>
        </w:rPr>
        <w:t>Risk FactorsRisks related to development and regulatory approval of our investigational therapies</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of the Business Combination has and will continue to cause us to incur additional costs associated with operating as a public company, including expenses related to legal, accounting, financial reporting and regulatory matters, maintaining compliance with exchange listing and SEC requirements, director and officer insurance premiums and investor relations. </w:t>
      </w:r>
    </w:p>
    <w:p>
      <w:pPr>
        <w:pStyle w:val="TextBody"/>
        <w:bidi w:val="0"/>
        <w:spacing w:before="240" w:after="0"/>
        <w:jc w:val="left"/>
        <w:rPr>
          <w:rFonts w:ascii="Times New Roman" w:hAnsi="Times New Roman"/>
          <w:sz w:val="20"/>
        </w:rPr>
      </w:pPr>
      <w:r>
        <w:rPr>
          <w:rFonts w:ascii="Times New Roman" w:hAnsi="Times New Roman"/>
          <w:sz w:val="20"/>
        </w:rPr>
        <w:t>Based on our current operating plan, we believe that our existing cash and cash equivalents after the closing of the BCA will be sufficient to fund our operations and capital expenses through at least the next twelve months from the date of this prospectus. In addition, we believe that our cash resources will be sufficient to allow us to fund current planned operations beyond the next twelve months from the date of this prospectus without additional capital. We have based our estimate on assumptions that may prove to be wrong, and we may use our available capital resources sooner than we currently expect. We may require additional capital resources due to underestimation of the nature, timing and costs of the efforts that will be necessary to complete the development of our product candidates. We may also need to raise additional funds more quickly if we choose to expand our development activities, our portfolio or if we consider acquisitions or other strategic transactions, including licensing transactions. For more information regarding these risk and factors that could influence our future capital requirements and the timing thereof, please see the section entitled </w:t>
      </w:r>
      <w:r>
        <w:rPr>
          <w:rFonts w:ascii="Times New Roman" w:hAnsi="Times New Roman"/>
          <w:i/>
          <w:sz w:val="20"/>
        </w:rPr>
        <w:t>Risk Factors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Product development is very expensive and involves a high degree of risk. Only a small number of research and development programs result in the commercialization of a product. We will not generate revenue from product sales unless and until we successfully complete clinical development and are able to obtain regulatory approval for and successfully commercialize the product candidates we are currently developing or that we may develop. We currently do not have any product candidates approved for commercial sale. </w:t>
      </w:r>
    </w:p>
    <w:p>
      <w:pPr>
        <w:pStyle w:val="TextBody"/>
        <w:bidi w:val="0"/>
        <w:spacing w:before="240" w:after="0"/>
        <w:jc w:val="left"/>
        <w:rPr>
          <w:rFonts w:ascii="Times New Roman" w:hAnsi="Times New Roman"/>
          <w:sz w:val="20"/>
        </w:rPr>
      </w:pPr>
      <w:r>
        <w:rPr>
          <w:rFonts w:ascii="Times New Roman" w:hAnsi="Times New Roman"/>
          <w:sz w:val="20"/>
        </w:rPr>
        <w:t xml:space="preserve">Our product candidates, currently under development or that we may develop, will require significant additional research and development efforts, including extensive clinical testing and regulatory approval prior to commercialization. These efforts require significant amounts of additional capital, adequate personnel infrastructure and extensive compliance and reporting capabilities. There can be no assurance that our research and development activities will be successfully completed, that adequate protection for our licensed or developed technology will be obtained and maintained, that products developed will obtain necessary regulatory approval or that any approved products will be commercially viable. </w:t>
      </w:r>
    </w:p>
    <w:p>
      <w:pPr>
        <w:pStyle w:val="TextBody"/>
        <w:bidi w:val="0"/>
        <w:spacing w:before="240" w:after="0"/>
        <w:jc w:val="left"/>
        <w:rPr>
          <w:rFonts w:ascii="Times New Roman" w:hAnsi="Times New Roman"/>
          <w:sz w:val="20"/>
        </w:rPr>
      </w:pPr>
      <w:r>
        <w:rPr>
          <w:rFonts w:ascii="Times New Roman" w:hAnsi="Times New Roman"/>
          <w:sz w:val="20"/>
        </w:rPr>
        <w:t xml:space="preserve">If we obtain regulatory approval for one or more of our product candidates, we expect to incur significant expenses related to developing our commercialization capabilities to support product sales, marketing and distribution activities, either alone or in collaboration with others. Further, as discussed further below, we expect to incur additional costs associated with operating as a public company. As a result, we will need substantial additional funding to support our continuing operations and pursue our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Until such time, if ever, we can generate substantial product revenue, we may finance our operations through a combination of private or public equity offerings, debt financings, collaborations, strategic alliances, marketing, distribution or licensing arrangements or through other sources of financing. Adequate capital may not be available to us when needed or on acceptable terms. To the extent that we raise additional capital through the sale of private or public equity or convertible debt securities, your ownership interest will be diluted, and the terms of these securities may include liquidation or other preferences that adversely affect your rights as a holder of ordinary shares. Debt financing and preferred equity financing, if available, may involve agreements that include covenants limiting or restricting our ability to take specific actions, such as incurring additional debt, making acquisitions or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Debt financing would also result in fixed payment obligations. If we raise additional funds through collaborations, strategic alliances or marketing, distribution or licensing arrangements with third parties, we may have to relinquish valuable rights to our technologies, future revenue streams, research programs or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grant rights to develop and market product candidates that we would otherwise prefer to develop and market ourselves, obtain funds through arrangement with collaborators on terms unfavorable to us or pursue merger or acquisition strategies, all of which could adversely affect the holdings or the rights of our shareholders. Please see the section entitled </w:t>
      </w:r>
      <w:r>
        <w:rPr>
          <w:rFonts w:ascii="Times New Roman" w:hAnsi="Times New Roman"/>
          <w:i/>
          <w:sz w:val="20"/>
        </w:rPr>
        <w:t>Risk FactorsRisks related to our business, financial condition, capital requirements, or financial operations</w:t>
      </w:r>
      <w:r>
        <w:rPr>
          <w:rFonts w:ascii="Times New Roman" w:hAnsi="Times New Roman"/>
          <w:sz w:val="20"/>
        </w:rPr>
        <w:t xml:space="preserve"> for additional risks associated with our substantial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expect our expenses to increase substantially in connection with our ongoing activities, particularly as we advance the preclinical activities, manufacturing and clinical development of our product candidates. In addition, we have incurred additional costs associated with the Business Combination and will continue to incur additional costs associated with operating as a public company, including significant legal, accounting, investor relations and other expenses that we did not incur or incremental to operating a private company. Our expenses will also increase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clinical-stage product candidates, including as we progress our Phase 3 clinical trials for our most advanced programs, OCS-01 for DME and ocular surgery;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OCS-02 Phase 2b and related manufacturing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our preclinical stage product candidates into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to identify, acquire and develop additional product candidates, including through business development efforts to invest in or in-license other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hire additional clinical, quality control, medical, scientific and other technical personnel to support our clinical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to support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meet the requirements and demands of being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protect and enforce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due under the Novartis Agreement, the Accure Agreement, and any future in-license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seek regulatory approvals for any product candidates that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pursue in-licenses or acquisitions of other programs to further expand our pipeline;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 any pre-commercialization activities to establish sales, marketing and distribution capabilities for any product candidates for which we may receive regulatory approval in regions where we choose to commercialize our products on our own or jointly with third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exercise price of our Warrants, which we assumed from EBAC in connection with the Business Combination, is $11.50 per share, which exceeds the trading price of our ordinary shares as of the date of this prospectus. If the trading price of our ordinary shares remains below the exercise price of the warrants, the warrants may never be exercised and we may never receive the cash proceeds of such exercises. </w:t>
      </w:r>
    </w:p>
    <w:p>
      <w:pPr>
        <w:pStyle w:val="TextBody"/>
        <w:bidi w:val="0"/>
        <w:spacing w:before="240" w:after="0"/>
        <w:jc w:val="left"/>
        <w:rPr>
          <w:rFonts w:ascii="Times New Roman" w:hAnsi="Times New Roman"/>
          <w:sz w:val="20"/>
        </w:rPr>
      </w:pPr>
      <w:r>
        <w:rPr>
          <w:rFonts w:ascii="Times New Roman" w:hAnsi="Times New Roman"/>
          <w:sz w:val="20"/>
        </w:rPr>
        <w:t>See the section titled </w:t>
      </w:r>
      <w:r>
        <w:rPr>
          <w:rFonts w:ascii="Times New Roman" w:hAnsi="Times New Roman"/>
          <w:i/>
          <w:sz w:val="20"/>
        </w:rPr>
        <w:t>Risk Factors</w:t>
      </w:r>
      <w:r>
        <w:rPr>
          <w:rFonts w:ascii="Times New Roman" w:hAnsi="Times New Roman"/>
          <w:sz w:val="20"/>
        </w:rPr>
        <w:t xml:space="preserve"> for additional risks associated with our substantial capital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for Known 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have certain payment obligations under various license and collaboration agreements. Under these agreements, we are required to pay non-refundable, upfront license fees, predefined development and commercial milestone payments and royalties on net sales of licensed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License Agreement with Novartis for OCS-02 </w:t>
      </w:r>
    </w:p>
    <w:p>
      <w:pPr>
        <w:pStyle w:val="TextBody"/>
        <w:bidi w:val="0"/>
        <w:spacing w:before="120" w:after="0"/>
        <w:jc w:val="left"/>
        <w:rPr>
          <w:rFonts w:ascii="Times New Roman" w:hAnsi="Times New Roman"/>
          <w:sz w:val="20"/>
        </w:rPr>
      </w:pPr>
      <w:r>
        <w:rPr>
          <w:rFonts w:ascii="Times New Roman" w:hAnsi="Times New Roman"/>
          <w:sz w:val="20"/>
        </w:rPr>
        <w:t>Pursuant to a license agreement, dated as of December 19, 2018, as amended, by and between us and Novartis (the </w:t>
      </w:r>
      <w:r>
        <w:rPr>
          <w:rFonts w:ascii="Times New Roman" w:hAnsi="Times New Roman"/>
          <w:i/>
          <w:sz w:val="20"/>
        </w:rPr>
        <w:t>Novartis Agreement</w:t>
      </w:r>
      <w:r>
        <w:rPr>
          <w:rFonts w:ascii="Times New Roman" w:hAnsi="Times New Roman"/>
          <w:sz w:val="20"/>
        </w:rPr>
        <w:t xml:space="preserve">),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 </w:t>
      </w:r>
    </w:p>
    <w:p>
      <w:pPr>
        <w:pStyle w:val="TextBody"/>
        <w:bidi w:val="0"/>
        <w:spacing w:before="240" w:after="0"/>
        <w:jc w:val="left"/>
        <w:rPr>
          <w:rFonts w:ascii="Times New Roman" w:hAnsi="Times New Roman"/>
          <w:sz w:val="20"/>
        </w:rPr>
      </w:pPr>
      <w:r>
        <w:rPr>
          <w:rFonts w:ascii="Times New Roman" w:hAnsi="Times New Roman"/>
          <w:sz w:val="20"/>
        </w:rPr>
        <w:t>We originally entered into the Novartis Agreement with Alcon Research, Ltd. (</w:t>
      </w:r>
      <w:r>
        <w:rPr>
          <w:rFonts w:ascii="Times New Roman" w:hAnsi="Times New Roman"/>
          <w:i/>
          <w:sz w:val="20"/>
        </w:rPr>
        <w:t>Alcon</w:t>
      </w:r>
      <w:r>
        <w:rPr>
          <w:rFonts w:ascii="Times New Roman" w:hAnsi="Times New Roman"/>
          <w:sz w:val="20"/>
        </w:rPr>
        <w:t xml:space="preserve">), which subsequently assigned its rights and obligations under the Novartis Agreement to Novartis in connection with its spin-off from Novartis. </w:t>
      </w:r>
    </w:p>
    <w:p>
      <w:pPr>
        <w:pStyle w:val="TextBody"/>
        <w:bidi w:val="0"/>
        <w:spacing w:before="240" w:after="0"/>
        <w:jc w:val="left"/>
        <w:rPr>
          <w:rFonts w:ascii="Times New Roman" w:hAnsi="Times New Roman"/>
          <w:sz w:val="20"/>
        </w:rPr>
      </w:pPr>
      <w:r>
        <w:rPr>
          <w:rFonts w:ascii="Times New Roman" w:hAnsi="Times New Roman"/>
          <w:sz w:val="20"/>
        </w:rPr>
        <w:t xml:space="preserve">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 </w:t>
      </w:r>
    </w:p>
    <w:p>
      <w:pPr>
        <w:pStyle w:val="TextBody"/>
        <w:bidi w:val="0"/>
        <w:spacing w:before="240" w:after="0"/>
        <w:jc w:val="left"/>
        <w:rPr>
          <w:rFonts w:ascii="Times New Roman" w:hAnsi="Times New Roman"/>
          <w:sz w:val="20"/>
        </w:rPr>
      </w:pPr>
      <w:r>
        <w:rPr>
          <w:rFonts w:ascii="Times New Roman" w:hAnsi="Times New Roman"/>
          <w:sz w:val="20"/>
        </w:rPr>
        <w:t>We paid in full the contractual non-refundable up-front fee to Alcon of CHF 4.7 million ($4.7 million at the exchange rate at the time of payment) in cash. As of December 31, 2022, we were obligated to pay Novartis additional payments of up to CHF 89.7 million ($97.0 million) in the aggregate upon the achievement of certain development, regulatory, sales and other milestones and tiered royalties ranging from a mid-single digit to a low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hAnsi="Times New Roman"/>
          <w:i/>
          <w:sz w:val="20"/>
        </w:rPr>
        <w:t>Royalty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or (iii) we materially breach our obligations under the Novartis Agreement and fail to cure such breach within a specified period of time; or (iv) following negative clinical trial results, we terminate development of the licensed product and do not pursue any further indications in the licensed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License Agreement with Accure for OCS-05 </w:t>
      </w:r>
    </w:p>
    <w:p>
      <w:pPr>
        <w:pStyle w:val="TextBody"/>
        <w:bidi w:val="0"/>
        <w:spacing w:before="120" w:after="0"/>
        <w:jc w:val="left"/>
        <w:rPr>
          <w:rFonts w:ascii="Times New Roman" w:hAnsi="Times New Roman"/>
          <w:sz w:val="20"/>
        </w:rPr>
      </w:pPr>
      <w:r>
        <w:rPr>
          <w:rFonts w:ascii="Times New Roman" w:hAnsi="Times New Roman"/>
          <w:sz w:val="20"/>
        </w:rPr>
        <w:t>Pursuant to a license agreement, dated as of January 29, 2022, by and between us and Accure (the </w:t>
      </w:r>
      <w:r>
        <w:rPr>
          <w:rFonts w:ascii="Times New Roman" w:hAnsi="Times New Roman"/>
          <w:i/>
          <w:sz w:val="20"/>
        </w:rPr>
        <w:t>Accure Agreement</w:t>
      </w:r>
      <w:r>
        <w:rPr>
          <w:rFonts w:ascii="Times New Roman" w:hAnsi="Times New Roman"/>
          <w:sz w:val="20"/>
        </w:rPr>
        <w:t xml:space="preserve">),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 </w:t>
      </w:r>
    </w:p>
    <w:p>
      <w:pPr>
        <w:pStyle w:val="TextBody"/>
        <w:bidi w:val="0"/>
        <w:spacing w:before="240" w:after="0"/>
        <w:jc w:val="left"/>
        <w:rPr>
          <w:rFonts w:ascii="Times New Roman" w:hAnsi="Times New Roman"/>
          <w:sz w:val="20"/>
        </w:rPr>
      </w:pPr>
      <w:r>
        <w:rPr>
          <w:rFonts w:ascii="Times New Roman" w:hAnsi="Times New Roman"/>
          <w:sz w:val="20"/>
        </w:rPr>
        <w:t>As of December 31, 2022, Legacy Oculis has paid the full contractual non-refundable up-front fee of CHF 3.0 million and reimbursed costs in the amount of approximately CHF 0.5 million. As of December 31, 2022, we were obligated to pay Accure (a) up to CHF 103.6 million ($112.1 million at the December 31, 2022 exchange rate) in the aggregate upon the achievement of certain development, regulatory and sales milestones; (b) tiered royalties ranging from a mid-single digit to a low mid-teen percentage on net sales of licensed products; and (c) high teens on sublicensing revenues received any time after 36 months from the agreement effective date, and a higher percentage on sublicensing revenues received prior to such date, in all cases subject to reduction for any amount that were previously paid or are concurrently or later paid by Oculis to Accure pursuant to Oculiss milestone payment obligations and such amounts received from a sublicensee will be deduced from amounts owned to Accure.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hAnsi="Times New Roman"/>
          <w:i/>
          <w:sz w:val="20"/>
        </w:rPr>
        <w:t>Payment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Accure Agreement, we are obligated to use commercially reasonable efforts to develop and seek regulatory approval for a licensed product in major countries of the territory as defined in the Accure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 </w:t>
      </w:r>
    </w:p>
    <w:p>
      <w:pPr>
        <w:pStyle w:val="TextBody"/>
        <w:bidi w:val="0"/>
        <w:spacing w:before="360" w:after="0"/>
        <w:jc w:val="left"/>
        <w:rPr>
          <w:rFonts w:ascii="Times New Roman" w:hAnsi="Times New Roman"/>
          <w:i/>
          <w:sz w:val="20"/>
        </w:rPr>
      </w:pPr>
      <w:r>
        <w:rPr>
          <w:rFonts w:ascii="Times New Roman" w:hAnsi="Times New Roman"/>
          <w:i/>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 C shares, respectively, which could lead to a potential cash-outflow. As of December 31, 2022, the sum of amounts due related to the aforementioned redemption option was approximately CHF 135 million, reflecting investment amounts, cumulative accrued dividend and compounded interest for Series A, B and C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The recent Business Combination with EBAC on March 2, 2023 and Nasdaq listing the following day, meets the pre-specified qualified condition, hence the risk of redemption no longer applies. The preferred shares will be transferred to equity including the accrued dividend.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majority of our near term cash needs relates to our clinical and CMC projects. We have conducted research and development programs through collaborative programs that include, among others, arrangements with universities, CROs and clinical research sites. As of December 31, 2022, commitments for external research projects totaled CHF 13.1 million, with CHF 12.1 million due within one year and CHF 1.0 million due between one and five years.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enter into agreements in the normal course of business with CROs for clinical trials and with vendors for preclinical studies, manufacturing services, and other services and products for operating purposes, which are generally cancelable upon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two real estate lease agreements for lab and office facilities. At December 31, 2022, these lease agreement have aggregate lease liabilities of CHF 0.1 million due within one year and CHF 0.5 million due in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18 to our audited consolidated financial statements as of December 31, 2022 and 2021 and for the years ended December 31, 2022, 2021 and 2020 included elsewhere in this prospectus for further details on our obligations and timing of expected future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sources and uses of cash and cash equivalents for each of the periods presented: </w:t>
      </w:r>
    </w:p>
    <w:p>
      <w:pPr>
        <w:pStyle w:val="TextBody"/>
        <w:bidi w:val="0"/>
        <w:spacing w:before="0" w:after="0"/>
        <w:jc w:val="left"/>
        <w:rPr/>
      </w:pPr>
      <w:r>
        <w:rPr/>
        <w:t> </w:t>
      </w:r>
    </w:p>
    <w:tbl>
      <w:tblPr>
        <w:tblW w:w="11435" w:type="dxa"/>
        <w:jc w:val="center"/>
        <w:tblInd w:w="0" w:type="dxa"/>
        <w:tblLayout w:type="fixed"/>
        <w:tblCellMar>
          <w:top w:w="0" w:type="dxa"/>
          <w:left w:w="0" w:type="dxa"/>
          <w:bottom w:w="0" w:type="dxa"/>
          <w:right w:w="0" w:type="dxa"/>
        </w:tblCellMar>
      </w:tblPr>
      <w:tblGrid>
        <w:gridCol w:w="980"/>
        <w:gridCol w:w="60"/>
        <w:gridCol w:w="67"/>
        <w:gridCol w:w="855"/>
        <w:gridCol w:w="175"/>
        <w:gridCol w:w="67"/>
        <w:gridCol w:w="67"/>
        <w:gridCol w:w="859"/>
        <w:gridCol w:w="155"/>
        <w:gridCol w:w="60"/>
        <w:gridCol w:w="60"/>
        <w:gridCol w:w="755"/>
        <w:gridCol w:w="155"/>
        <w:gridCol w:w="60"/>
        <w:gridCol w:w="98"/>
        <w:gridCol w:w="1017"/>
        <w:gridCol w:w="1085"/>
        <w:gridCol w:w="60"/>
        <w:gridCol w:w="70"/>
        <w:gridCol w:w="802"/>
        <w:gridCol w:w="183"/>
        <w:gridCol w:w="70"/>
        <w:gridCol w:w="70"/>
        <w:gridCol w:w="895"/>
        <w:gridCol w:w="155"/>
        <w:gridCol w:w="60"/>
        <w:gridCol w:w="66"/>
        <w:gridCol w:w="749"/>
        <w:gridCol w:w="155"/>
        <w:gridCol w:w="60"/>
        <w:gridCol w:w="119"/>
        <w:gridCol w:w="996"/>
        <w:gridCol w:w="35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i/>
              </w:rPr>
            </w:pPr>
            <w:r>
              <w:rPr>
                <w:i/>
              </w:rPr>
              <w:t>In CHF thousands</w:t>
            </w:r>
          </w:p>
        </w:tc>
        <w:tc>
          <w:tcPr>
            <w:tcW w:w="60"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5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(25,074</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(13,825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(11,249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81</w:t>
            </w:r>
          </w:p>
        </w:tc>
        <w:tc>
          <w:tcPr>
            <w:tcW w:w="1085" w:type="dxa"/>
            <w:tcBorders/>
            <w:shd w:fill="CCEEFF" w:val="clear"/>
            <w:vAlign w:val="bottom"/>
          </w:tcPr>
          <w:p>
            <w:pPr>
              <w:pStyle w:val="TableContents"/>
              <w:bidi w:val="0"/>
              <w:spacing w:before="0" w:after="283"/>
              <w:jc w:val="left"/>
              <w:rPr/>
            </w:pPr>
            <w:r>
              <w:rPr/>
              <w:t>%(13,825)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(12,029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15</w:t>
            </w:r>
          </w:p>
        </w:tc>
        <w:tc>
          <w:tcPr>
            <w:tcW w:w="350"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(3,548</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(3,520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12571</w:t>
            </w:r>
          </w:p>
        </w:tc>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(28</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47</w:t>
            </w:r>
          </w:p>
        </w:tc>
        <w:tc>
          <w:tcPr>
            <w:tcW w:w="35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283"/>
              <w:jc w:val="right"/>
              <w:rPr/>
            </w:pPr>
            <w:r>
              <w:rPr/>
              <w:t>1,714</w:t>
            </w:r>
          </w:p>
        </w:tc>
        <w:tc>
          <w:tcPr>
            <w:tcW w:w="1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55,194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(53,480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(97</w:t>
            </w:r>
          </w:p>
        </w:tc>
        <w:tc>
          <w:tcPr>
            <w:tcW w:w="1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55,194</w:t>
            </w:r>
          </w:p>
        </w:tc>
        <w:tc>
          <w:tcPr>
            <w:tcW w:w="18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4,859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50,335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1036</w:t>
            </w:r>
          </w:p>
        </w:tc>
        <w:tc>
          <w:tcPr>
            <w:tcW w:w="350" w:type="dxa"/>
            <w:tcBorders/>
            <w:shd w:fill="CCEEFF" w:val="clear"/>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5"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99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(26,909</w:t>
            </w:r>
          </w:p>
        </w:tc>
        <w:tc>
          <w:tcPr>
            <w:tcW w:w="1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41,341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(68,250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(165</w:t>
            </w:r>
          </w:p>
        </w:tc>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41,341</w:t>
            </w:r>
          </w:p>
        </w:tc>
        <w:tc>
          <w:tcPr>
            <w:tcW w:w="18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(7,189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48,530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(675</w:t>
            </w:r>
          </w:p>
        </w:tc>
        <w:tc>
          <w:tcPr>
            <w:tcW w:w="35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5"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108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99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operating activities used CHF 25.1 million of cash, primarily consisting of a net loss of CHF 38.6 million partially offset by a decrease in net working capital of CHF 6.0 million and non-cash adjustments of CHF 7.6 million. Changes in net working capital were driven by a CHF 7.9 million increase in accrued expenses and other payables partly offset by CHF 1.8 million increase in other current assets. Our non-cash charges primarily consisted of CHF 6.3 million from interest expense accrued on preferred Series B and C shares, CHF 0.8 million from recognized expense for stock-options and CHF 0.6 million from non-realized foreign exchange differences.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2021, operating activities used CHF 13.8 million of cash, primarily consisting of our net loss of CHF 18.5 million and increased from changes in net working capital of CHF 0.8 million, partially offset by non-cash adjustments of CHF 5.6 million, which were primarily consisted of CHF 5.0 million from interest expense on preferred Series B and C shares and CHF 0.9 million from compensation expense related to restricted stock awards.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2020, operating activities used CHF 12.0 million of cash, primarily consisting of our net loss of CHF 14.8 million and decreased from changes in net working capital of CHF 0.5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partially offset by non-cash adjustments of CHF 3.3 million, which were primarily consisted of CHF 2.6 million from interest expense on preferred Series B and C shares and CHF 0.3 million from compensation expense related to stock option plans.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2021 and 2020, investing activities used CHF 65 thousand, CHF 28 thousand and CHF 19 thousand, respectively, of cash for the purchases of property, plant, and equipment. For the year ended December 31, 2022, CHF 3.5 million were related to the license agreement with Accure Therapeutics for the exclusive global licensing of OCS-05 technology that was capitalized as intangible assets.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net cash provided by financing activities was CHF 1.7 million, which primarily consisted of proceeds from issuance of preferred Series C shares (Series C extension financing), classified as liabilities of CHF 2.0 million net of CHF 0.1 million of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2021, net cash provided by financing activities was CHF 55.2 million, which primarily consisted of proceeds from issuance of preferred Series C shares of CHF 56.1 million, net of CHF 0.8 million of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2020, net cash provided by financing activities was CHF 4.9 million, which primarily consisted of proceeds from issuance of preferred Series B shares of CHF 5.0 million, net of CHF 0.1 million of transaction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 Research and Development, Patents and Licenses, etc. </w:t>
      </w:r>
    </w:p>
    <w:p>
      <w:pPr>
        <w:pStyle w:val="TextBody"/>
        <w:bidi w:val="0"/>
        <w:spacing w:before="120" w:after="0"/>
        <w:jc w:val="left"/>
        <w:rPr>
          <w:rFonts w:ascii="Times New Roman" w:hAnsi="Times New Roman"/>
          <w:sz w:val="20"/>
        </w:rPr>
      </w:pPr>
      <w:r>
        <w:rPr>
          <w:rFonts w:ascii="Times New Roman" w:hAnsi="Times New Roman"/>
          <w:sz w:val="20"/>
        </w:rPr>
        <w:t>Full details of our research and development activities and expenditures are given in the </w:t>
      </w:r>
      <w:r>
        <w:rPr>
          <w:rFonts w:ascii="Times New Roman" w:hAnsi="Times New Roman"/>
          <w:i/>
          <w:sz w:val="20"/>
        </w:rPr>
        <w:t>Business Overview</w:t>
      </w:r>
      <w:r>
        <w:rPr>
          <w:rFonts w:ascii="Times New Roman" w:hAnsi="Times New Roman"/>
          <w:sz w:val="20"/>
        </w:rPr>
        <w:t> and </w:t>
      </w:r>
      <w:r>
        <w:rPr>
          <w:rFonts w:ascii="Times New Roman" w:hAnsi="Times New Roman"/>
          <w:i/>
          <w:sz w:val="20"/>
        </w:rPr>
        <w:t>Operating and Financial Review and Prospects</w:t>
      </w:r>
      <w:r>
        <w:rPr>
          <w:rFonts w:ascii="Times New Roman" w:hAnsi="Times New Roman"/>
          <w:sz w:val="20"/>
        </w:rPr>
        <w:t xml:space="preserve"> sections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 Trend Information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elsewhere in this prospectus,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 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We prepared our consolidated financial statements in accordance with IFRS as issued by the IASB. Refer to Note 3 and 4 to our audited consolidated financial statements included elsewhere in this prospectus for further details on the most significant accounting policies applied in the preparation of our consolidated financial statements and our critical accounting estimates and judgments.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394147_11"/>
      <w:bookmarkEnd w:id="13"/>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biopharmaceutical company, based in Switzerland, with substantial expertise in therapeutics used to treat ocular diseases, and engaged in the development of innovative drug candidates which have the potential to address many eye-related conditions. Our mission and vision is to improve the health and quality of life of patients around the world by developing medicines that save sight and improve eye care for patients. To realize this vision, we intend to become a global leader in ocular therapeutics. </w:t>
      </w:r>
    </w:p>
    <w:p>
      <w:pPr>
        <w:pStyle w:val="TextBody"/>
        <w:bidi w:val="0"/>
        <w:spacing w:before="240" w:after="0"/>
        <w:jc w:val="left"/>
        <w:rPr>
          <w:rFonts w:ascii="Times New Roman" w:hAnsi="Times New Roman"/>
          <w:sz w:val="20"/>
        </w:rPr>
      </w:pPr>
      <w:r>
        <w:rPr>
          <w:rFonts w:ascii="Times New Roman" w:hAnsi="Times New Roman"/>
          <w:sz w:val="20"/>
        </w:rPr>
        <w:t>Our focus is on advancing therapeutic candidates intended to treat significant ophthalmic diseases which result in vision loss, blindness or reduced quality of life, and for which prevalence is growing and there are currently inadequate, limited or no treatment options. Our clinical portfolio currently consists of three therapeutic candidates: OCS-01, OCS-02 and OCS-05. Our lead product candidate, OCS-01, is currently being evaluated in two ongoing Phase 3 clinical trials: for the treatment of diabetic macular edema (</w:t>
      </w:r>
      <w:r>
        <w:rPr>
          <w:rFonts w:ascii="Times New Roman" w:hAnsi="Times New Roman"/>
          <w:i/>
          <w:sz w:val="20"/>
        </w:rPr>
        <w:t>DME</w:t>
      </w:r>
      <w:r>
        <w:rPr>
          <w:rFonts w:ascii="Times New Roman" w:hAnsi="Times New Roman"/>
          <w:sz w:val="20"/>
        </w:rPr>
        <w:t>), and for the treatment of inflammation and pain following ocular surgery. Our second product candidate is OCS-02, for which we anticipate entering into Phase 2b clinical stage in 2023, evaluating: its use as a potential treatment for keratoconjunctivitis sicca, or dry eye disease (</w:t>
      </w:r>
      <w:r>
        <w:rPr>
          <w:rFonts w:ascii="Times New Roman" w:hAnsi="Times New Roman"/>
          <w:i/>
          <w:sz w:val="20"/>
        </w:rPr>
        <w:t>DED</w:t>
      </w:r>
      <w:r>
        <w:rPr>
          <w:rFonts w:ascii="Times New Roman" w:hAnsi="Times New Roman"/>
          <w:sz w:val="20"/>
        </w:rPr>
        <w:t>), and its use as a potential treatment for non-infectious anterior uveitis. Our third product candidate is OCS-05, which is a novel neuroprotective agent with potential application in multiple indications, including glaucoma, geographic atrophy (</w:t>
      </w:r>
      <w:r>
        <w:rPr>
          <w:rFonts w:ascii="Times New Roman" w:hAnsi="Times New Roman"/>
          <w:i/>
          <w:sz w:val="20"/>
        </w:rPr>
        <w:t>GA</w:t>
      </w:r>
      <w:r>
        <w:rPr>
          <w:rFonts w:ascii="Times New Roman" w:hAnsi="Times New Roman"/>
          <w:sz w:val="20"/>
        </w:rPr>
        <w:t>) , diabetic retinopathy (</w:t>
      </w:r>
      <w:r>
        <w:rPr>
          <w:rFonts w:ascii="Times New Roman" w:hAnsi="Times New Roman"/>
          <w:i/>
          <w:sz w:val="20"/>
        </w:rPr>
        <w:t>DR</w:t>
      </w:r>
      <w:r>
        <w:rPr>
          <w:rFonts w:ascii="Times New Roman" w:hAnsi="Times New Roman"/>
          <w:sz w:val="20"/>
        </w:rPr>
        <w:t>), and neurotrophic keratitis. We are initially evaluating OCS-05 as a potential treatment for acute optic neuritis (</w:t>
      </w:r>
      <w:r>
        <w:rPr>
          <w:rFonts w:ascii="Times New Roman" w:hAnsi="Times New Roman"/>
          <w:i/>
          <w:sz w:val="20"/>
        </w:rPr>
        <w:t>AON</w:t>
      </w:r>
      <w:r>
        <w:rPr>
          <w:rFonts w:ascii="Times New Roman" w:hAnsi="Times New Roman"/>
          <w:sz w:val="20"/>
        </w:rPr>
        <w:t xml:space="preserve">) for which there are no currently approved therapeutic treatments.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Our Clinical Product Candidates Portfolio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244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390" cy="24447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OCS-01 is based on the OPTIREACH® technology, OCS-02 is a single chain antibody fragment (ScFv) against TNFα and OCS-05 is a SGK-2 activator peptidomimetic small molecule with novel MoA targeting the activation of the trophic factor pathways.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Age-related macular degeneration (AMD).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Retinal Vein Occlusion (RVO).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Diabetic Retinopathy (DR).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OCS-01 is based on the OPTIREACH technology, OCS-02 is a single chain antibody fragment (ScFv) against TNF alpha and OCS-05 is a SGK-2 activator peptidomimetic small molecule with novel MoA targeting the activation of the trophic factor pathways. The Companys additional earlier stage development candidates are discussed in the section under the header Our clinical development candidates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Utilizing our internal core competency in formulation discovery and drug development capabilities, together with extensive licensing, collaboration and acquisition activities, we have assembled a pipeline of attractive development candidates that include both late-stage clinical candidates as well as earlier stage preclinical initiatives. Our clinical candidate portfolio includes: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OCS-01 </w:t>
      </w:r>
    </w:p>
    <w:p>
      <w:pPr>
        <w:pStyle w:val="TextBody"/>
        <w:bidi w:val="0"/>
        <w:spacing w:before="120" w:after="0"/>
        <w:jc w:val="left"/>
        <w:rPr>
          <w:rFonts w:ascii="Times New Roman" w:hAnsi="Times New Roman"/>
          <w:sz w:val="20"/>
        </w:rPr>
      </w:pPr>
      <w:r>
        <w:rPr>
          <w:rFonts w:ascii="Times New Roman" w:hAnsi="Times New Roman"/>
          <w:sz w:val="20"/>
        </w:rPr>
        <w:t>Our lead candidate is OCS-01, a novel formulation (ophthalmic suspension) of dexamethasone at high concentration, designed to enhance drug penetration into both the anterior and posterior segments of the eye with enhanced persistence following topical application. We are evaluating OCS-01 for use as a potential treatment for DME and also a potential treatment for inflammation and pain following ocular surgery, we are also exploring the benefit of OCS-01 in treating cystoid macular edema (</w:t>
      </w:r>
      <w:r>
        <w:rPr>
          <w:rFonts w:ascii="Times New Roman" w:hAnsi="Times New Roman"/>
          <w:i/>
          <w:sz w:val="20"/>
        </w:rPr>
        <w:t>CME</w:t>
      </w:r>
      <w:r>
        <w:rPr>
          <w:rFonts w:ascii="Times New Roman" w:hAnsi="Times New Roman"/>
          <w:sz w:val="20"/>
        </w:rPr>
        <w:t xml:space="preserve">), a severe complication following ocular surgery. A CME IIT study is ongoing and the related readout is expected in second half of 2024. Using our proprietary Optireach® technology, OCS-01 was developed to be an eye drop drug capable of treating diseases affecting the retina, which is at the back of the eye. This approach is in contrast to currently available therapies, which require the use of more invasive treatments such as ocular implants or intravitreal injections to deliver medication to the retina. Furthermore, current treatment of DME often involves multiple intravitreal injections. Given the burden of therapy, FDA-approved therapeutics are not widely used for early disease intervention, despite the deterioration in visual acuity in 19% of patients within two years. We estimate that treatment might be further complicated by a suboptimal response at 12 weeks in approximately 40% of patients. </w:t>
      </w:r>
    </w:p>
    <w:p>
      <w:pPr>
        <w:pStyle w:val="TextBody"/>
        <w:bidi w:val="0"/>
        <w:spacing w:before="240" w:after="0"/>
        <w:jc w:val="left"/>
        <w:rPr>
          <w:rFonts w:ascii="Times New Roman" w:hAnsi="Times New Roman"/>
          <w:sz w:val="20"/>
        </w:rPr>
      </w:pPr>
      <w:r>
        <w:rPr>
          <w:rFonts w:ascii="Times New Roman" w:hAnsi="Times New Roman"/>
          <w:sz w:val="20"/>
        </w:rPr>
        <w:t>OCS-01 is a topical dexamethasone formulation which we believe is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 Our Phase 2 clinical trial in DME met the key efficacy endpoints of central macular thickness (</w:t>
      </w:r>
      <w:r>
        <w:rPr>
          <w:rFonts w:ascii="Times New Roman" w:hAnsi="Times New Roman"/>
          <w:i/>
          <w:sz w:val="20"/>
        </w:rPr>
        <w:t>CMT</w:t>
      </w:r>
      <w:r>
        <w:rPr>
          <w:rFonts w:ascii="Times New Roman" w:hAnsi="Times New Roman"/>
          <w:sz w:val="20"/>
        </w:rPr>
        <w:t>) and best- corrected visual acuity (</w:t>
      </w:r>
      <w:r>
        <w:rPr>
          <w:rFonts w:ascii="Times New Roman" w:hAnsi="Times New Roman"/>
          <w:i/>
          <w:sz w:val="20"/>
        </w:rPr>
        <w:t>BCVA</w:t>
      </w:r>
      <w:r>
        <w:rPr>
          <w:rFonts w:ascii="Times New Roman" w:hAnsi="Times New Roman"/>
          <w:sz w:val="20"/>
        </w:rPr>
        <w:t>) with statistical significance based on the pre-specified alpha level. Our Phase 2 clinical trial in inflammation and pain after ocular surgery met its primary endpoint with statistical significance in the OCS-01 once-daily cohort and key secondary efficacy endpoints. Ocular tolerability was not significantly different between the OCS-01 and vehicle groups across clinical trials with the exception of change in intraocular pressure (</w:t>
      </w:r>
      <w:r>
        <w:rPr>
          <w:rFonts w:ascii="Times New Roman" w:hAnsi="Times New Roman"/>
          <w:i/>
          <w:sz w:val="20"/>
        </w:rPr>
        <w:t>IOP</w:t>
      </w:r>
      <w:r>
        <w:rPr>
          <w:rFonts w:ascii="Times New Roman" w:hAnsi="Times New Roman"/>
          <w:sz w:val="20"/>
        </w:rPr>
        <w:t xml:space="preserve">), consistent with known effects of topical steroids, including dexamethasone. We have concluded an affirming End-of-Phase 2 meeting with the FDA. We have initiated Phase 3 clinical evaluations in both indications and reported the topline results from the Stage 1 portion of our Phase 3 DME clinical trial in May 2023, and we expect the Phase 3 clinical trial for the treatment of inflammation and pain related to ocular surgery to be available in the third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The total U.S. prevalence of DME in 2022 is estimated at 2.96 million, with the diagnosed U.S. prevalence estimated at 1.75 million by the Decision Resources Group DME Landscape November 2020 report. The same report estimates that 875 thousand U.S. DME patients were treated with drugs in 2022, leaving 879 thousand U.S. patients diagnosed but untreated. These 879 thousand patients are a key addressable market segment for OCS-01. Additionally, OCS-01 is also intended to address the market segment of patients with suboptimal response to anti-VEGF therapy. A study published in the American Journal of Ophthalmology in 2016 found that nearly 40% of patients treated with anti-VEGF therapy had suboptimal responses at 12 weeks. By applying this figure to the number of treated U.S. patients, we estimate that suboptimal response occurs in 350 thousand patients. In total, we estimate that 1.2 million DME patients in the United States are addressable by OCS-01. </w:t>
      </w:r>
    </w:p>
    <w:p>
      <w:pPr>
        <w:pStyle w:val="TextBody"/>
        <w:bidi w:val="0"/>
        <w:spacing w:before="360" w:after="0"/>
        <w:jc w:val="left"/>
        <w:rPr>
          <w:rFonts w:ascii="Times New Roman" w:hAnsi="Times New Roman"/>
          <w:sz w:val="20"/>
        </w:rPr>
      </w:pPr>
      <w:r>
        <w:rPr>
          <w:rFonts w:ascii="Times New Roman" w:hAnsi="Times New Roman"/>
          <w:sz w:val="20"/>
        </w:rPr>
        <w:t xml:space="preserve">The Informa Meddevicetracker Ophthalmic Surgical Products Market October 2017 report projected that nearly 6.5 million ocular surgeries (which typically require inflammation and pain management post-surgery) were performed in 2019 in the United States. A study published in Investigative Ophthalmology and Visual Science, an Association for Research in Vision and Ophthalmology journal in 2021 observed that approximately 30%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patients who received cataract surgery from 2012 through 2019 had diabetes, a known risk factor for CME following cataract surgery. Given our observations in clinical studies that OCS-01 treatment led to improvements in visual acuity and macular thickness in patients with DME, we believe OCS-01, if approved for inflammation and pain following ocular surgery, would mainly be used in patients with higher risk of developing CME, a patient segment which is estimated to be approximately 2 million per year in the United States. An exploratory trial is ongoing in the U.S. to assess its benefits in treating CME.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OCS-02 </w:t>
      </w:r>
    </w:p>
    <w:p>
      <w:pPr>
        <w:pStyle w:val="TextBody"/>
        <w:bidi w:val="0"/>
        <w:spacing w:before="120" w:after="0"/>
        <w:jc w:val="left"/>
        <w:rPr>
          <w:rFonts w:ascii="Times New Roman" w:hAnsi="Times New Roman"/>
          <w:sz w:val="20"/>
        </w:rPr>
      </w:pPr>
      <w:r>
        <w:rPr>
          <w:rFonts w:ascii="Times New Roman" w:hAnsi="Times New Roman"/>
          <w:sz w:val="20"/>
        </w:rPr>
        <w:t>We are also advancing the clinical development of OCS-02, a next-generation biologic treatment for both DED and non-infectious chronic anterior uveitis. Differentiating OCS-02 is its use of a single chain antibody fragment formulation directed against the cytokine human tumor necrosis factor alpha (</w:t>
      </w:r>
      <w:r>
        <w:rPr>
          <w:rFonts w:ascii="Times New Roman" w:hAnsi="Times New Roman"/>
          <w:i/>
          <w:sz w:val="20"/>
        </w:rPr>
        <w:t>TNF</w:t>
      </w:r>
      <w:r>
        <w:rPr>
          <w:rFonts w:ascii="Times New Roman" w:hAnsi="Times New Roman"/>
          <w:sz w:val="20"/>
        </w:rPr>
        <w:t xml:space="preserve">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development of a potentially novel genetic biomarker intended to identify patients who may have a greater response to OCS-02 therapy.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plan to enter into Phase 2b clinical stage for OCS-02 (one in DED in signs, and one in chronic anterior uveitis) in the second half of 2023.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segment of DED patients in the United States addressable by OCS-02 (patients with moderate or severe DED) to be approximately 10 million patients. This comprises an estimated 8.1 million patients with moderate DED and 1.5 million patients with severe DED (based on the rates of 42% moderate and 8% severe patients as reported in a study published in the American Journal of Ophthalmology in 2017 of a total of approximately 19.4 million diagnosed prevalent cases of DED in the U.S. as estimated by Decision Resources Group Dry Eye Disease Landscape and Forecast, December 2020). </w:t>
      </w:r>
    </w:p>
    <w:p>
      <w:pPr>
        <w:pStyle w:val="TextBody"/>
        <w:bidi w:val="0"/>
        <w:spacing w:before="240" w:after="0"/>
        <w:jc w:val="left"/>
        <w:rPr>
          <w:rFonts w:ascii="Times New Roman" w:hAnsi="Times New Roman"/>
          <w:sz w:val="20"/>
        </w:rPr>
      </w:pPr>
      <w:r>
        <w:rPr>
          <w:rFonts w:ascii="Times New Roman" w:hAnsi="Times New Roman"/>
          <w:sz w:val="20"/>
        </w:rPr>
        <w:t xml:space="preserve">We also estimate OCS-02 could help address a medical need in patients suffering from either chronic or recurring non-infectious anterior uveitis. This addressable patient population is estimated to be approximately 130,000 in the United States based on a prevalence rate of non-infectious uveitis of 121 per 100,000, applied to the U.S. population and the fact that anterior uveitis is the most prevalent form representing 81% of all cases, as found in a study published in the Journal of the American Medical Association Ophthalmology in 2016, and based on a prevalence of recurrent and chronic disease being estimated at 51%, as found in a study published in the Journal of the American Medical Association Ophthalmology in 2013.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OCS-05 </w:t>
      </w:r>
    </w:p>
    <w:p>
      <w:pPr>
        <w:pStyle w:val="TextBody"/>
        <w:bidi w:val="0"/>
        <w:spacing w:before="120" w:after="0"/>
        <w:jc w:val="left"/>
        <w:rPr>
          <w:rFonts w:ascii="Times New Roman" w:hAnsi="Times New Roman"/>
          <w:sz w:val="20"/>
        </w:rPr>
      </w:pPr>
      <w:r>
        <w:rPr>
          <w:rFonts w:ascii="Times New Roman" w:hAnsi="Times New Roman"/>
          <w:sz w:val="20"/>
        </w:rPr>
        <w:t>Our third clinical candidate is OCS-05, a novel serum/glucocorticoid-regulated protein kinase 2 (</w:t>
      </w:r>
      <w:r>
        <w:rPr>
          <w:rFonts w:ascii="Times New Roman" w:hAnsi="Times New Roman"/>
          <w:i/>
          <w:sz w:val="20"/>
        </w:rPr>
        <w:t>SGK2</w:t>
      </w:r>
      <w:r>
        <w:rPr>
          <w:rFonts w:ascii="Times New Roman" w:hAnsi="Times New Roman"/>
          <w:sz w:val="20"/>
        </w:rPr>
        <w:t xml:space="preserve">) activator peptidomimetic small molecule, in development as a potential disease modifying neuroprotective agent against neurological damage to the optic nerve. We are initially developing OCS-05 as a potential therapeutic to treat AON, a rare disease with high unmet need as currently, there is no treatment which is approved by the FDA or European Commission for AON. OCS-05 has been granted Orphan Drug Designation by both the FDA and the European Commission for this indication. OCS-05 has been studied in preclinical studies suggesting efficacious neuroprotective and remyelinating activity, as well as in a European Phase 1 clinical trial in healthy volunteers in which OCS-05 was observed to be well tolerated. We are currently conducting a First-in-Patient clinical trial of OCS-05 in AON in France to test the candidates safety and tolerability, and we also plan to conduct IND-enabling activities for OCS-05 in the United States. Should the clinical results of our AON trial prove sufficiently compelling, we intend to evaluate the promise of OCS-05 to treat other neuro-ophthalmic disorders such as geographic atrophy, glaucoma, diabetic retinopathy and neurotrophic keratitis.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development initiatives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these five clinical development programs involving the three clinical candidates, we also are engaged in a number of earlier preclinical development initiatives,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LEOPARD study is an investigator-initiated trial (IIT) to investigate the safety and efficacy of OCS-01 in Uveitic (UME) and Post-surgical (PSME) Macular Edema. LEOPARD is sponsored by Global Ophthalmic Research Center (GORC) and is being coordinated by Quan Nguyen, MD, MSc of the Byers Eye Institute at Stanford University in Palo Alto, California. Across 5 sites in the US, approximately twenty-four patients will be treated (12 with UME and 12 with PSME) for up to 24 weeks.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evaluation of OCS-03 as a possible treatment for corneal neovascularization, a common disorder caused by the aberrant development of new blood vessels into the cornea and pterygium, a pink colored growth that originates in the conjunctiva.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OCS-04 is an innovative topical ophthalmic formulation project preliminarily intended for corneal graft rejection prevention and possibly other inflammatory related conditions targeting the ocular surface. </w:t>
            </w:r>
          </w:p>
        </w:tc>
      </w:tr>
    </w:tbl>
    <w:p>
      <w:pPr>
        <w:pStyle w:val="TextBody"/>
        <w:bidi w:val="0"/>
        <w:spacing w:before="320" w:after="0"/>
        <w:jc w:val="left"/>
        <w:rPr>
          <w:rFonts w:ascii="Times New Roman" w:hAnsi="Times New Roman"/>
          <w:b/>
          <w:sz w:val="20"/>
        </w:rPr>
      </w:pPr>
      <w:r>
        <w:rPr>
          <w:rFonts w:ascii="Times New Roman" w:hAnsi="Times New Roman"/>
          <w:b/>
          <w:sz w:val="20"/>
        </w:rPr>
        <w:t xml:space="preserve">Our Executive Management Team </w:t>
      </w:r>
    </w:p>
    <w:p>
      <w:pPr>
        <w:pStyle w:val="TextBody"/>
        <w:bidi w:val="0"/>
        <w:spacing w:before="120" w:after="0"/>
        <w:jc w:val="left"/>
        <w:rPr>
          <w:rFonts w:ascii="Times New Roman" w:hAnsi="Times New Roman"/>
          <w:sz w:val="20"/>
        </w:rPr>
      </w:pPr>
      <w:r>
        <w:rPr>
          <w:rFonts w:ascii="Times New Roman" w:hAnsi="Times New Roman"/>
          <w:sz w:val="20"/>
        </w:rPr>
        <w:t xml:space="preserve">We are led by an experienced management team, composed of individuals who have extensive backgrounds in drug discovery and development, clinical trial design and operations, regulatory affairs, business development and commercial and general management at both large pharmaceutical companies and emerging biopharmaceutical organizations. Collectively, our management team has a track record of advancing new drug candidates through regulatory approval and successful commercialization. The expertise of our management team is complemented by our board of directors, which includes many accomplished industry veterans with significant capabilities in guiding the success of emerging biopharmaceutical companies such as ours. Since our inception we have raised approximately CHF 200 million from leading North American, European and Asian life science venture capital investors including Brunnur Ventures (Brunnur vaxtarsjodur slhf.), BVCF Management (BEYEOTECH), Novartis Bioventures Ltd., LSP 7 Coöperatief, Earlybird Growth, Novartis Bioventures, Pivotal bioVenture Partners, funds managed by Tekla Capital Management LLC, and VI Partners, among others. Please note that prospective investors should not rely on these named investors investment decisions, as each of such investors risk tolerance and investment strategy and goal may be different from those of other prospective investors. </w:t>
      </w:r>
    </w:p>
    <w:p>
      <w:pPr>
        <w:pStyle w:val="TextBody"/>
        <w:bidi w:val="0"/>
        <w:spacing w:before="32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We intend to become a leader in developing therapeutics to address ocular diseases characterized by significant medical needs with large market opportunities. To accomplish this objective, we plan to focus on successful completion of our key strategic initiatives, which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Executing the Phase 3 development of OCS-01 for DME.</w:t>
            </w:r>
            <w:r>
              <w:rPr>
                <w:rFonts w:ascii="Times New Roman" w:hAnsi="Times New Roman"/>
                <w:sz w:val="20"/>
              </w:rPr>
              <w:t xml:space="preserve"> </w:t>
            </w:r>
          </w:p>
        </w:tc>
      </w:tr>
    </w:tbl>
    <w:p>
      <w:pPr>
        <w:pStyle w:val="TextBody"/>
        <w:bidi w:val="0"/>
        <w:spacing w:before="200" w:after="0"/>
        <w:jc w:val="left"/>
        <w:rPr>
          <w:rFonts w:ascii="Times New Roman" w:hAnsi="Times New Roman"/>
          <w:sz w:val="20"/>
        </w:rPr>
      </w:pPr>
      <w:r>
        <w:rPr>
          <w:rFonts w:ascii="Times New Roman" w:hAnsi="Times New Roman"/>
          <w:sz w:val="20"/>
        </w:rPr>
        <w:t xml:space="preserve">Based on results achieved in the Phase 2 trial, we have progressed to a Phase 3 trial of OCS-01 in DME which is currently ongoing. We believe the use of OCS-01 formulated as a non-invasive, self-administered eye drop, could, if approved, promote a shift in the current treatment paradigm to allow earlier intervention and increase both the treated patient population and the prescribing physician base.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Advancing the ongoing Phase 3 clinical trial of OCS-01 as a potential therapeutic for inflammation and pain following ocular surgery with potential further differentiating benefit for patients with</w:t>
            </w:r>
            <w:r>
              <w:rPr>
                <w:rFonts w:ascii="Times New Roman" w:hAnsi="Times New Roman"/>
                <w:sz w:val="20"/>
              </w:rPr>
              <w:t xml:space="preserve"> elevated risk of CME; IIT on CME ongoing in the U.S. with readout planned in the second half of 2024.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are currently conducting a Phase 3 clinical trial of OCS-01, a novel formulation of dexamethasone which incorporates our proprietary Optireach technology, to evaluate its efficacy in treating inflammation and pain following ocular surgery. OCS-01 is differentiated in this indication by its potential ability to deliver therapeutic drug levels to the back of the eye. A proof-of-concept trial is currently ongoing to explore further the efficacy of OCS-01 in treating edema in CME. We believe this distinction of benefit in CME, if supported by this study and further studies, and if OCS-01 is approved, may enable us to achieve enhanced market access.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Pursuing the late-stage clinical development of OCS-02, our next-generation anti-TNF</w:t>
            </w:r>
            <w:r>
              <w:rPr>
                <w:rFonts w:ascii="Times New Roman" w:hAnsi="Times New Roman"/>
                <w:sz w:val="20"/>
              </w:rPr>
              <w:t xml:space="preserve">α </w:t>
            </w:r>
            <w:r>
              <w:rPr>
                <w:rFonts w:ascii="Times New Roman" w:hAnsi="Times New Roman"/>
                <w:i/>
                <w:sz w:val="20"/>
              </w:rPr>
              <w:t>biologic.</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results achieved in three Phase 2 clinical trials, we intend to advance OCS-02 into Phase 2b clinical stage to assess its clinical benefit in treating both DED and non-infectious chronic anterior uveitis. OCS-02 is differentiated by its use of single-chain antibody fragment formulation technology, which enables the topical delivery of an anti-TNFα agent. We are advancing the development of OCS-02 in conjunction with further validation of a potential novel genetic biomarker intended to identify patients who may demonstrate an enhanced response to OCS-02 therapy and believe this precision medicine approach may allow the candidate to deliver superior outcomes in this patient group, if approved.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Evaluating OCS-05 in AON and additional indications to potentially access larger market opportunities.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differentiated mechanism of action of OCS-05, coupled with its potential disease modifying neuroprotective properties, suggests potential benefits across many of the more pervasive neurological pathologies of the eye including geographic atrophy, diabetic retinopathy, glaucoma and neurotrophic keratitis. We initially intend to assess the safety of OCS-05 as a treatment for AON and are currently evaluating OCS-05 in a First-in-Patient study called the ACUITY (as defined below) trial in France. There is currently no approved therapy for treatment of AON. OCS-05 has been granted Orphan Drug Designation by both the FDA and the European Commission. We believe that demonstration of therapeutic benefits in AON may provide compelling support for the exploration of OCS-05 in larger market opportunities.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Leveraging our internal formulation discovery and strengthening our development pipeline through robust licensing and acquisition activities.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intend to complement our ongoing development programs by accessing additional innovative product candidates and technologies through in-licensing, strategic collaborations and acquisitions. We believe that the depth of our formulation discovery and drug development expertise specific to ocular therapeutics, coupled with the industry network of our executive management, board of directors and advisors, provide us with the differentiated set of capabilities necessary to identify and advance products candidates successfully in this therapeutic category.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Evaluating and selectively entering into strategic collaborations to maximize the potential of our pipeline and the scope of our product portfolio.</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retained rights globally to all of our indications, including our lead product candidate OCS-01, for the potential treatment of DME and inflammation and pain following ocular surgery; OCS-02 for the potential treatment of DED and non-infectious anterior uveitis; and OCS-05 as a neuroprotective agent. Given the potential to treat patients worldwide, we may opportunistically enter into strategic collaborations around certain product candidates, diseases or geographic regions. </w:t>
      </w:r>
    </w:p>
    <w:p>
      <w:pPr>
        <w:pStyle w:val="TextBody"/>
        <w:bidi w:val="0"/>
        <w:spacing w:before="360" w:after="0"/>
        <w:jc w:val="left"/>
        <w:rPr>
          <w:rFonts w:ascii="Times New Roman" w:hAnsi="Times New Roman"/>
          <w:b/>
          <w:sz w:val="20"/>
        </w:rPr>
      </w:pPr>
      <w:r>
        <w:rPr>
          <w:rFonts w:ascii="Times New Roman" w:hAnsi="Times New Roman"/>
          <w:b/>
          <w:sz w:val="20"/>
        </w:rPr>
        <w:t xml:space="preserve">Diseases and disorders of the eye </w:t>
      </w:r>
    </w:p>
    <w:p>
      <w:pPr>
        <w:pStyle w:val="TextBody"/>
        <w:bidi w:val="0"/>
        <w:spacing w:before="120" w:after="0"/>
        <w:jc w:val="left"/>
        <w:rPr>
          <w:rFonts w:ascii="Times New Roman" w:hAnsi="Times New Roman"/>
          <w:sz w:val="20"/>
        </w:rPr>
      </w:pPr>
      <w:r>
        <w:rPr>
          <w:rFonts w:ascii="Times New Roman" w:hAnsi="Times New Roman"/>
          <w:sz w:val="20"/>
        </w:rPr>
        <w:t>Numerous diseases and disorders, many of which represent significant medical needs, are associated with the human eye. Ocular diseases which may result in significant visual impairment or blindness include retinal diseases such as DME, macular degeneration (including Geographic Atrophy), Diabetic Retinopathy, and retinal vein occlusion (</w:t>
      </w:r>
      <w:r>
        <w:rPr>
          <w:rFonts w:ascii="Times New Roman" w:hAnsi="Times New Roman"/>
          <w:i/>
          <w:sz w:val="20"/>
        </w:rPr>
        <w:t>RVO</w:t>
      </w:r>
      <w:r>
        <w:rPr>
          <w:rFonts w:ascii="Times New Roman" w:hAnsi="Times New Roman"/>
          <w:sz w:val="20"/>
        </w:rPr>
        <w:t xml:space="preserve">); disorders caused by swelling and inflammation such as DED, corneal keratitis and uveitis; and glaucoma, among other disease states. The global market for therapeutics used to treat eye disease is estimated to have exceeded $22 billion in 2020. We employ our substantial expertise in the development of therapeutics, in particular pharmaceuticals used to treat ocular diseases, to potentially address many currently intractable eye-related conditions. Our focus is on developing innovative drug candidates to address significant and growing ophthalmic diseases, which result in vision loss, blindness or reduced quality of life, for which there are currently limited treatment options. </w:t>
      </w:r>
    </w:p>
    <w:p>
      <w:pPr>
        <w:pStyle w:val="TextBody"/>
        <w:bidi w:val="0"/>
        <w:spacing w:before="360" w:after="0"/>
        <w:jc w:val="left"/>
        <w:rPr>
          <w:rFonts w:ascii="Times New Roman" w:hAnsi="Times New Roman"/>
          <w:b/>
          <w:sz w:val="20"/>
        </w:rPr>
      </w:pPr>
      <w:r>
        <w:rPr>
          <w:rFonts w:ascii="Times New Roman" w:hAnsi="Times New Roman"/>
          <w:b/>
          <w:sz w:val="20"/>
        </w:rPr>
        <w:t xml:space="preserve">Our clinical development candidates </w:t>
      </w:r>
    </w:p>
    <w:p>
      <w:pPr>
        <w:pStyle w:val="TextBody"/>
        <w:bidi w:val="0"/>
        <w:spacing w:before="120" w:after="0"/>
        <w:jc w:val="left"/>
        <w:rPr>
          <w:rFonts w:ascii="Times New Roman" w:hAnsi="Times New Roman"/>
          <w:sz w:val="20"/>
        </w:rPr>
      </w:pPr>
      <w:r>
        <w:rPr>
          <w:rFonts w:ascii="Times New Roman" w:hAnsi="Times New Roman"/>
          <w:sz w:val="20"/>
        </w:rPr>
        <w:t xml:space="preserve">Utilizing our internal formulation discovery and drug development capabilities, together with extensive licensing, collaboration and acquisition activities, we have assembled a pipeline of attractive development candidates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 both late-stage clinical candidates as well as earlier stage preclinical initiatives. Our clinical portfolio is made up of (i) OCS-01, currently in two ongoing Phase 3 clinical trials, one Phase 3 trial (in Stage 1 of two stages) evaluating its use as a treatment for DME and the other Phase 3 trial assessing its utility to treat inflammation and pain following ocular surgery; (ii) OCS-02, which we anticipate entering into Phase 2b clinical stage, the first evaluating its use as a potential treatment for keratoconjunctivitis sicca, or DED, the second trial evaluating its potential use as a therapy for the treatment of non-infectious anterior uveitis; and (iii) OCS-05, a novel neuroprotective agent with potential application in multiple indications, including glaucoma, GA, and DR, which we are initially evaluating as a potential treatment for AON. A detailed assessment of each of these clinical candidates is contained in the descriptions provided below. </w:t>
      </w:r>
    </w:p>
    <w:p>
      <w:pPr>
        <w:pStyle w:val="TextBody"/>
        <w:bidi w:val="0"/>
        <w:spacing w:before="360" w:after="0"/>
        <w:jc w:val="left"/>
        <w:rPr>
          <w:rFonts w:ascii="Times New Roman" w:hAnsi="Times New Roman"/>
          <w:b/>
          <w:sz w:val="20"/>
        </w:rPr>
      </w:pPr>
      <w:r>
        <w:rPr>
          <w:rFonts w:ascii="Times New Roman" w:hAnsi="Times New Roman"/>
          <w:b/>
          <w:sz w:val="20"/>
        </w:rPr>
        <w:t xml:space="preserve">OCS-01 </w:t>
      </w:r>
    </w:p>
    <w:p>
      <w:pPr>
        <w:pStyle w:val="TextBody"/>
        <w:bidi w:val="0"/>
        <w:spacing w:before="120" w:after="0"/>
        <w:jc w:val="left"/>
        <w:rPr>
          <w:rFonts w:ascii="Times New Roman" w:hAnsi="Times New Roman"/>
          <w:i/>
          <w:sz w:val="20"/>
        </w:rPr>
      </w:pPr>
      <w:r>
        <w:rPr>
          <w:rFonts w:ascii="Times New Roman" w:hAnsi="Times New Roman"/>
          <w:i/>
          <w:sz w:val="20"/>
          <w:u w:val="single"/>
        </w:rPr>
        <w:t>Key program highlights</w:t>
      </w:r>
      <w:r>
        <w:rPr>
          <w:rFonts w:ascii="Times New Roman" w:hAnsi="Times New Roman"/>
          <w:i/>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of proprietary Optireach® technology enables enhanced drug penetration and residence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Topically delivered formulation design to allow non-invasive self-administration for front and back of the eye.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enable earlier disease intervention if approved, potentially attracting an expanded patient population and expanded prescribing physician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 trial in DME met pre-specified efficacy endpoints for reduction in CMT and improvement in BCVA, and the Phase 2 trial in ocular surgery met reduction in inflammation and pain endpoints (statistical significance on those endpoints reached in both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readouts for the Stage 1 portion of the Phase 3 DME clinical trial reported in May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Topline data from the Phase 3 clinical trial in ocular surgery are expected in the third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1.2 million total addressable U.S. DME patients; estimated 2 million total addressable U.S. patients with inflammation and pain after ocular surgery.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lead development candidate OCS-01 is a 1.5% suspension of the anti-inflammatory corticosteroid dexamethasone for use as a potential treatment for DME and for inflammation and pain following ocular surgery with potential benefit for patients at high risk for CME following ocular surgery. In contrast to currently available formulations of dexamethasone, which require the use of more invasive treatments such as an implant or intravitreal injection to deliver the medication to the retina, differentiating OCS-01 is our use of the proprietary Optireach® technology, which enables the topical delivery, as an eye drop, of dexamethasone to the back of the eye for the treatment of diseases affecting the retina. OCS-01 is a topical dexamethasone formulation which we have observed in clinical trials to be capable of delivering therapeutic levels of drug to the retina via eye drop, a route of administration for DME treatment that may enable earlier treatment intervention and thereby significantly increase the proportion of patients being treated as well as increase the prescribing physician base by providing a treatment option to general ophthalmologists. We are currently not aware of the existence of any other eye drop treatment for DME which is in a similar or more advanced stage of active clinical development; however, we cannot guarantee that OCS-01 will receive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We completed Phase 2 clinical trials in which we observed: in DME, a statistically significant improvement in both BCVA and CMT based on a pre-specified Alpha, and in inflammation and pain following ocular surgery, a statistically significant increase in the proportion of subjects with absence of inflammation and pain under OCS-01 treatment versus vehicle and have concluded an affirming End-of-Phase 2 meeting with the FDA. We have initiated Phase 3 clinical evaluations in both indications. We reported the topline results from the Stage 1 portion of our Phase 3 DME clinical trial in May 2023, and we expect the Phase 3 clinical trial evaluating the potential of OCS-01 to treat inflammation and pain related to ocular surgery to be available in the third quarter of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Dexamethasone is a widely studied and well characterized pharmaceutical commonly used to treat a range of inflammatory conditions and is currently included on the World Health Organizations List of Essential Medicines. It may be administered orally, by injection, or topically. Specific to ocular disorders, dexamethasone intravitreal implants have been approved by the FDA to treat DME, uveitis and macular edema caused by RVO. Dexamethasone is also used as an ophthalmic suspension for ocular inflammation though the required frequency of dosing in order to achieve a therapeutic effect often limits its utility. </w:t>
      </w:r>
    </w:p>
    <w:p>
      <w:pPr>
        <w:pStyle w:val="TextBody"/>
        <w:bidi w:val="0"/>
        <w:spacing w:before="240" w:after="0"/>
        <w:jc w:val="left"/>
        <w:rPr>
          <w:rFonts w:ascii="Times New Roman" w:hAnsi="Times New Roman"/>
          <w:sz w:val="20"/>
        </w:rPr>
      </w:pPr>
      <w:r>
        <w:rPr>
          <w:rFonts w:ascii="Times New Roman" w:hAnsi="Times New Roman"/>
          <w:sz w:val="20"/>
        </w:rPr>
        <w:t xml:space="preserve">We are developing OCS-01 as a </w:t>
      </w:r>
      <w:r>
        <w:rPr>
          <w:rFonts w:ascii="SYMBOL" w:hAnsi="SYMBOL"/>
          <w:sz w:val="20"/>
        </w:rPr>
        <w:t>g</w:t>
      </w:r>
      <w:r>
        <w:rPr>
          <w:rFonts w:ascii="Times New Roman" w:hAnsi="Times New Roman"/>
          <w:sz w:val="20"/>
        </w:rPr>
        <w:t xml:space="preserve"> cyclodextrin-based formulation of dexamethasone, using the Optireach® delivery technology, in order to enhance its residence time at the anterior segment and its penetration into the posterior segment of the eye following topical application. The increased drug residence time produced by the delivery vehicle, combined with enhanced drug penetration allows for increases in drug concentration of more than 15-fold over conventional dexamethasone. We are currently not aware of the existence of any other topically administered formulation of dexamethasone or other active pharmaceutical ingredient in development intended to deliver sustained therapeutic levels of drug to diseased tissue at the back of the eye. </w:t>
      </w:r>
    </w:p>
    <w:p>
      <w:pPr>
        <w:pStyle w:val="TextBody"/>
        <w:bidi w:val="0"/>
        <w:spacing w:before="360" w:after="0"/>
        <w:jc w:val="center"/>
        <w:rPr>
          <w:rFonts w:ascii="Times New Roman" w:hAnsi="Times New Roman"/>
          <w:sz w:val="20"/>
        </w:rPr>
      </w:pPr>
      <w:r>
        <w:rPr>
          <w:rFonts w:ascii="Times New Roman" w:hAnsi="Times New Roman"/>
          <w:i/>
          <w:sz w:val="20"/>
        </w:rPr>
        <w:t>The Optireach® technology enables the topical delivery of therapeutics to the back of the eye.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2397125" cy="7912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97125" cy="79121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OCS-01 for DME </w:t>
      </w:r>
    </w:p>
    <w:p>
      <w:pPr>
        <w:pStyle w:val="TextBody"/>
        <w:bidi w:val="0"/>
        <w:spacing w:before="120" w:after="0"/>
        <w:jc w:val="left"/>
        <w:rPr>
          <w:rFonts w:ascii="Times New Roman" w:hAnsi="Times New Roman"/>
          <w:sz w:val="20"/>
        </w:rPr>
      </w:pPr>
      <w:r>
        <w:rPr>
          <w:rFonts w:ascii="Times New Roman" w:hAnsi="Times New Roman"/>
          <w:sz w:val="20"/>
        </w:rPr>
        <w:t xml:space="preserve">We are advancing OCS-01 as a treatment for DME, which is a complication of diabetes and is caused by the progressive growth of new blood vessels under the retina that leak fluid and lipids, leading to swelling of the macula, which can result in significant blurring of vision and contribute to the risk of blindness from DR. DME is strongly associated with uncontrolled blood sugar levels, high blood pressure and high cholesterol. An estimated 5.5% of diabetics worldwide are affected by the disease. It is a leading cause of blindness among the U.S. adult population. In the G7 countries (the United States, France, Germany, Italy, Spain, UK and Japan), the market for the treatment of DME is estimated to have totaled approximately $3 billion in 2019. </w:t>
      </w:r>
    </w:p>
    <w:p>
      <w:pPr>
        <w:pStyle w:val="TextBody"/>
        <w:bidi w:val="0"/>
        <w:spacing w:before="240" w:after="0"/>
        <w:jc w:val="left"/>
        <w:rPr>
          <w:rFonts w:ascii="Times New Roman" w:hAnsi="Times New Roman"/>
          <w:sz w:val="20"/>
        </w:rPr>
      </w:pPr>
      <w:r>
        <w:rPr>
          <w:rFonts w:ascii="Times New Roman" w:hAnsi="Times New Roman"/>
          <w:sz w:val="20"/>
        </w:rPr>
        <w:t xml:space="preserve">DME is estimated to impact three million people in the United States alone. Of those three million, we estimate that 1.2 million patients in the United States are addressable by OCS-01. </w:t>
      </w:r>
    </w:p>
    <w:p>
      <w:pPr>
        <w:pStyle w:val="TextBody"/>
        <w:bidi w:val="0"/>
        <w:spacing w:before="240" w:after="0"/>
        <w:jc w:val="left"/>
        <w:rPr>
          <w:rFonts w:ascii="Times New Roman" w:hAnsi="Times New Roman"/>
          <w:sz w:val="20"/>
        </w:rPr>
      </w:pPr>
      <w:r>
        <w:rPr>
          <w:rFonts w:ascii="Times New Roman" w:hAnsi="Times New Roman"/>
          <w:sz w:val="20"/>
        </w:rPr>
        <w:t xml:space="preserve">In May 2023, we announced topline data for Stage 1 of the DIAMOND Phase 3 clinical trial of OCS-01 in DME. The OCS-01 development program will continue as planned with Stage 2, the pivotal part of the DIAMOND trial, which is being conducted in two global trials, each enrolling approximately 350-450 patients.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of current treatments for DME </w:t>
      </w:r>
    </w:p>
    <w:p>
      <w:pPr>
        <w:pStyle w:val="TextBody"/>
        <w:bidi w:val="0"/>
        <w:spacing w:before="120" w:after="0"/>
        <w:jc w:val="left"/>
        <w:rPr>
          <w:rFonts w:ascii="Times New Roman" w:hAnsi="Times New Roman"/>
          <w:sz w:val="20"/>
        </w:rPr>
      </w:pPr>
      <w:r>
        <w:rPr>
          <w:rFonts w:ascii="Times New Roman" w:hAnsi="Times New Roman"/>
          <w:sz w:val="20"/>
        </w:rPr>
        <w:t>The DME disease onset may initially go unnoticed and as a result an estimated 46% of patients with DME may go undiagnosed. A study by the American Academy of Ophthalmology indicates that, among diagnosed patients, fewer than half are treated, with therapeutic intervention used most commonly in the one-third of patients who have moderate to severe visual impairment. Pharmacotherapy involves the invasive administration of a monoclonal antibody therapeutic targeting the vascular endothelial growth factor (</w:t>
      </w:r>
      <w:r>
        <w:rPr>
          <w:rFonts w:ascii="Times New Roman" w:hAnsi="Times New Roman"/>
          <w:i/>
          <w:sz w:val="20"/>
        </w:rPr>
        <w:t>VEGF</w:t>
      </w:r>
      <w:r>
        <w:rPr>
          <w:rFonts w:ascii="Times New Roman" w:hAnsi="Times New Roman"/>
          <w:sz w:val="20"/>
        </w:rPr>
        <w:t xml:space="preserve">) receptor to inhibit blood vessel growth. However, we estimate that approximately 40% of patients have a suboptimal response to therapy after 12 weeks of anti-VEGF treatment, according to the results of a study published in the American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Journal of Ophthalmology in 2016. Moreover, multiple intravitreal injections are required to maintain a therapeutic effect, which necessitates an increased treatment burden on patients, their caregivers and healthcare providers. The utility of anti-VEGF therapy is further complicated by compliance issues, with patients in clinical practice estimated to receive only around 30% of the treatments given to participants in the clinical trials which led to these therapeutics approval for this indication. Patients whose disease progresses while on anti-VEGF therapy may then receive a steroid implant, or laser photocoagulation of the retina. </w:t>
      </w:r>
    </w:p>
    <w:p>
      <w:pPr>
        <w:pStyle w:val="TextBody"/>
        <w:bidi w:val="0"/>
        <w:spacing w:before="240" w:after="0"/>
        <w:jc w:val="left"/>
        <w:rPr>
          <w:rFonts w:ascii="Times New Roman" w:hAnsi="Times New Roman"/>
          <w:sz w:val="20"/>
        </w:rPr>
      </w:pPr>
      <w:r>
        <w:rPr>
          <w:rFonts w:ascii="Times New Roman" w:hAnsi="Times New Roman"/>
          <w:sz w:val="20"/>
        </w:rPr>
        <w:t xml:space="preserve">Currently, physicians often do not treat patients who present with DME in its earlier stages of progression (patients with recent disease onset or mild visual impairment), a category that makes up approximately 67% of diagnosed patients with symptoms. We believe this decision to observe and not intervene is often driven by the significant burden current treatment options (laser photocoagulation, frequent intravitreal injections, intravitreal implants) place on the patient, as well as the expense and significant demands placed on healthcare resources. FDA approved therapeutics are not widely used for early disease intervention, despite the deterioration in visual acuity of approximately five letters, the equivalent of one line, or more in 19% of this patient population within two years. </w:t>
      </w:r>
    </w:p>
    <w:p>
      <w:pPr>
        <w:pStyle w:val="TextBody"/>
        <w:bidi w:val="0"/>
        <w:spacing w:before="360" w:after="0"/>
        <w:jc w:val="left"/>
        <w:rPr>
          <w:rFonts w:ascii="Times New Roman" w:hAnsi="Times New Roman"/>
          <w:i/>
          <w:sz w:val="20"/>
        </w:rPr>
      </w:pPr>
      <w:r>
        <w:rPr>
          <w:rFonts w:ascii="Times New Roman" w:hAnsi="Times New Roman"/>
          <w:i/>
          <w:sz w:val="20"/>
        </w:rPr>
        <w:t xml:space="preserve">OCS-01s innovation and differentiation </w:t>
      </w:r>
    </w:p>
    <w:p>
      <w:pPr>
        <w:pStyle w:val="TextBody"/>
        <w:bidi w:val="0"/>
        <w:spacing w:before="120" w:after="0"/>
        <w:jc w:val="left"/>
        <w:rPr>
          <w:rFonts w:ascii="Times New Roman" w:hAnsi="Times New Roman"/>
          <w:sz w:val="20"/>
        </w:rPr>
      </w:pPr>
      <w:r>
        <w:rPr>
          <w:rFonts w:ascii="Times New Roman" w:hAnsi="Times New Roman"/>
          <w:sz w:val="20"/>
        </w:rPr>
        <w:t xml:space="preserve">OCS-01 is in development to be a topical treatment for DME, and we are currently not aware of the existence of any other eye drop treatment for DME which is in a similar or more advanced stage of active clinical development. In addition to this potential breakthrough advancement, we believe that an eye drop therapy would allow for easy, accessible, low-burden self-administration of treatment for DME and would therefore significantly address the limitations of current, invasive therapies for DME. We expect that OCS-01, if approved, could address patients who are diagnosed with DME, with recent onset of disease or mild visual impairment and who are therefore currently observed and untreated, as well as patients who are diagnosed with DME and who have a suboptimal response to anti-VEGF intravitreal injections. We estimate that this segment of patients in the United States alone totals 1.2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OCS-01 has produced clinical trial results which support its continued development as a potential treatment for DME </w:t>
      </w:r>
    </w:p>
    <w:p>
      <w:pPr>
        <w:pStyle w:val="TextBody"/>
        <w:bidi w:val="0"/>
        <w:spacing w:before="120" w:after="0"/>
        <w:jc w:val="left"/>
        <w:rPr>
          <w:rFonts w:ascii="Times New Roman" w:hAnsi="Times New Roman"/>
          <w:sz w:val="20"/>
        </w:rPr>
      </w:pPr>
      <w:r>
        <w:rPr>
          <w:rFonts w:ascii="Times New Roman" w:hAnsi="Times New Roman"/>
          <w:sz w:val="20"/>
        </w:rPr>
        <w:t>In our DX-211 Phase 2 clinical trial which evaluated the use of OCS-01 as a treatment for DME, patients who received OCS-01 demonstrated a statistically significant improvement from baseline in key measurements of therapeutic efficacy. In this randomized, double masked trial of 144 DME patients with 2:1 randomization (OCS-01 vs. Vehicle), 99 of the trial participants self-administered OCS-01 eye drops three times per day over a 12-week period, with 45 participants administered vehicle only. As noted in the graphic presented below, OCS-01 demonstrated improvements in both CMT and BCVA, key metrics of clinical efficacy, with OCS-01 producing a 56.8 least squares mean (</w:t>
      </w:r>
      <w:r>
        <w:rPr>
          <w:rFonts w:ascii="Times New Roman" w:hAnsi="Times New Roman"/>
          <w:i/>
          <w:sz w:val="20"/>
        </w:rPr>
        <w:t>LSM</w:t>
      </w:r>
      <w:r>
        <w:rPr>
          <w:rFonts w:ascii="Times New Roman" w:hAnsi="Times New Roman"/>
          <w:sz w:val="20"/>
        </w:rPr>
        <w:t>) change in CMT from baseline as compared to a 20.1 change for the vehicle group and a 2.6 positive change in BCVA as compared to 1.0 for the vehicle group as measured using a standard 5 letter/line Early Treatment Diabetic Retinopathy Study (</w:t>
      </w:r>
      <w:r>
        <w:rPr>
          <w:rFonts w:ascii="Times New Roman" w:hAnsi="Times New Roman"/>
          <w:i/>
          <w:sz w:val="20"/>
        </w:rPr>
        <w:t>ETDRS</w:t>
      </w:r>
      <w:r>
        <w:rPr>
          <w:rFonts w:ascii="Times New Roman" w:hAnsi="Times New Roman"/>
          <w:sz w:val="20"/>
        </w:rPr>
        <w:t xml:space="preserve">) letters chart.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i/>
          <w:sz w:val="20"/>
        </w:rPr>
      </w:pPr>
      <w:r>
        <w:rPr>
          <w:rFonts w:ascii="Times New Roman" w:hAnsi="Times New Roman"/>
          <w:i/>
          <w:sz w:val="20"/>
        </w:rPr>
        <w:t xml:space="preserve">OCS-01 generated improvements in both CMT and BCVA measurements.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center"/>
              <w:rPr/>
            </w:pPr>
            <w:r>
              <w:rPr/>
              <w:drawing>
                <wp:inline distT="0" distB="0" distL="0" distR="0">
                  <wp:extent cx="1186180" cy="1680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86180" cy="1680210"/>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drawing>
                <wp:inline distT="0" distB="0" distL="0" distR="0">
                  <wp:extent cx="1124585" cy="16865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24585" cy="168656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(According to Wasserstein RL, Lazar NA. The ASAs Statement on p-Values: Context, Process, and Purpose. Am Stat. 2016;70(2):12933., p-value is the probability under a specified statistical model that a statistical summary of the data (e.g., the sample mean difference between the 2 compared groups) would be equal to or more extreme than its observed value. This trial (DX211) was designed as a Phase 2 clinical study. Accordingly, the pre-specified alpha defined for the study was 0.15. The study met the above endpoints with statistical significance.) </w:t>
      </w:r>
    </w:p>
    <w:p>
      <w:pPr>
        <w:pStyle w:val="TextBody"/>
        <w:bidi w:val="0"/>
        <w:spacing w:before="240" w:after="0"/>
        <w:jc w:val="left"/>
        <w:rPr>
          <w:rFonts w:ascii="Times New Roman" w:hAnsi="Times New Roman"/>
          <w:sz w:val="20"/>
        </w:rPr>
      </w:pPr>
      <w:r>
        <w:rPr>
          <w:rFonts w:ascii="Times New Roman" w:hAnsi="Times New Roman"/>
          <w:sz w:val="20"/>
        </w:rPr>
        <w:t xml:space="preserve">More pronounced results were achieved among patients who entered the trial with worse visual acuity at baseline. As noted in the chart presented below, among participants whose baseline BCVA score as measured by an EDTRS letters test was less than or equal to 65, OCS-01 generated a mean improvement in BCVA of 3.8 letters and in CMT of 77.4 µm in contrast to the 0.9 letters and 23.1 µm improvement noted among trial participants who received vehicle. We have incorporated this appreciation of effect into our ongoing Phase 3 DIAMOND trial in which a baseline BCVA score of less than or equal to 65, but equal or greater than 24, are the inclusion criteria. The trial design of DIAMOND was reviewed by the FDA as part of our End-of-Phase 2 meeting with the agency. </w:t>
      </w:r>
    </w:p>
    <w:p>
      <w:pPr>
        <w:pStyle w:val="TextBody"/>
        <w:bidi w:val="0"/>
        <w:spacing w:before="360" w:after="0"/>
        <w:jc w:val="center"/>
        <w:rPr>
          <w:rFonts w:ascii="Times New Roman" w:hAnsi="Times New Roman"/>
          <w:i/>
          <w:sz w:val="20"/>
        </w:rPr>
      </w:pPr>
      <w:r>
        <w:rPr>
          <w:rFonts w:ascii="Times New Roman" w:hAnsi="Times New Roman"/>
          <w:i/>
          <w:sz w:val="20"/>
        </w:rPr>
        <w:t xml:space="preserve">Improvements in both CMT and BCVA were greater among patients with lower baseline visual acuity.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drawing>
                <wp:inline distT="0" distB="0" distL="0" distR="0">
                  <wp:extent cx="272415" cy="1949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72415" cy="19494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drawing>
                <wp:inline distT="0" distB="0" distL="0" distR="0">
                  <wp:extent cx="264795" cy="193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64795" cy="19367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Treatment emergent adverse events (</w:t>
      </w:r>
      <w:r>
        <w:rPr>
          <w:rFonts w:ascii="Times New Roman" w:hAnsi="Times New Roman"/>
          <w:i/>
          <w:sz w:val="20"/>
        </w:rPr>
        <w:t>AEs</w:t>
      </w:r>
      <w:r>
        <w:rPr>
          <w:rFonts w:ascii="Times New Roman" w:hAnsi="Times New Roman"/>
          <w:sz w:val="20"/>
        </w:rPr>
        <w:t>) were noted in 32 of the 99 trial participants who received OCS-01, with the most prevalent AE being an increase in intraocular pressure (</w:t>
      </w:r>
      <w:r>
        <w:rPr>
          <w:rFonts w:ascii="Times New Roman" w:hAnsi="Times New Roman"/>
          <w:i/>
          <w:sz w:val="20"/>
        </w:rPr>
        <w:t>IOP</w:t>
      </w:r>
      <w:r>
        <w:rPr>
          <w:rFonts w:ascii="Times New Roman" w:hAnsi="Times New Roman"/>
          <w:sz w:val="20"/>
        </w:rPr>
        <w:t xml:space="preserve">), which was observed in 21 of the 99 patients in the active group. These findings of increased IOP were consistent with our expectations given glucocorticoids well-known ocular safety profiles, including the profile of an approved dexamethasone ocular implant. Patients who encountered IOP consistently noted the increase during the beginning phase of the trial and the increase reversed after discontinuation of drug candidate dosing. No patients discontinued the trial due to IOP increase. Overall, the IOP effects observed in our trial were consistent with what is generally expected given established ophthalmic use of dexamethasone. Other AEs observed during clinical trials included conjunctival hemorrhage and eye pain, which was not noted among patients who received OCS-01. </w:t>
      </w:r>
    </w:p>
    <w:p>
      <w:pPr>
        <w:pStyle w:val="TextBody"/>
        <w:bidi w:val="0"/>
        <w:spacing w:before="240" w:after="0"/>
        <w:jc w:val="left"/>
        <w:rPr>
          <w:rFonts w:ascii="Times New Roman" w:hAnsi="Times New Roman"/>
          <w:sz w:val="20"/>
        </w:rPr>
      </w:pPr>
      <w:r>
        <w:rPr>
          <w:rFonts w:ascii="Times New Roman" w:hAnsi="Times New Roman"/>
          <w:sz w:val="20"/>
        </w:rPr>
        <w:t xml:space="preserve">Aside from increased IOP, eye irritation and ocular hypertension were observed in three patients each, while individual instances of cataract subcapsular, eyelid erythema, ocular hyperaemia, and posterior capsule opacification were noted, as was a single instance of a decline in BCVA by 15 letters or more. Except for increased IOP, AEs of a similar nature and number were noted among trial participants who received vehicle. No AE led to trial discontinuation by any patient. While OCS-01 may contribute to a slightly accelerated onset of cataracts, we do not believe this issue is significant given the likelihood that the patient population expected to be treated with this drug, if approved, is more inclined to develop the condition independent of treatment with OCS-01. </w:t>
      </w:r>
    </w:p>
    <w:p>
      <w:pPr>
        <w:pStyle w:val="TextBody"/>
        <w:bidi w:val="0"/>
        <w:spacing w:before="240" w:after="0"/>
        <w:jc w:val="left"/>
        <w:rPr>
          <w:rFonts w:ascii="Times New Roman" w:hAnsi="Times New Roman"/>
          <w:sz w:val="20"/>
        </w:rPr>
      </w:pPr>
      <w:r>
        <w:rPr>
          <w:rFonts w:ascii="Times New Roman" w:hAnsi="Times New Roman"/>
          <w:sz w:val="20"/>
        </w:rPr>
        <w:t>The Phase 2 clinical trial results achieved with OCS-01 in treating DME follow outcomes achieved in two earlier small exploratory studies of DexNP (a previous formulation of OCS-01). In one of the studies, which was conducted in Japan, a 22-patient evaluation conducted in 2015 compared the use of a topically delivered </w:t>
      </w:r>
      <w:r>
        <w:rPr>
          <w:rFonts w:ascii="SYMBOL" w:hAnsi="SYMBOL"/>
          <w:sz w:val="20"/>
        </w:rPr>
        <w:t>g</w:t>
      </w:r>
      <w:r>
        <w:rPr>
          <w:rFonts w:ascii="Times New Roman" w:hAnsi="Times New Roman"/>
          <w:sz w:val="20"/>
        </w:rPr>
        <w:t xml:space="preserve"> cyclodextrin-based formulation of dexamethasone to the posterior injection of 20 mg triamcinolone acetonide. Used at the time of the trial as an off-label treatment for DME, the </w:t>
      </w:r>
      <w:r>
        <w:rPr>
          <w:rFonts w:ascii="SYMBOL" w:hAnsi="SYMBOL"/>
          <w:sz w:val="20"/>
        </w:rPr>
        <w:t>g</w:t>
      </w:r>
      <w:r>
        <w:rPr>
          <w:rFonts w:ascii="Times New Roman" w:hAnsi="Times New Roman"/>
          <w:sz w:val="20"/>
        </w:rPr>
        <w:t xml:space="preserve"> cyclodextrin-based formulation generated significant improvements in visual acuity and decreased macular thickness, comparable to the results achieved using triamcinolone acetonide. The results of this 2015 study confirmed similar findings achieved in another 19-person exploratory Japanese study conducted in 2011. </w:t>
      </w:r>
    </w:p>
    <w:p>
      <w:pPr>
        <w:pStyle w:val="TextBody"/>
        <w:bidi w:val="0"/>
        <w:spacing w:before="360" w:after="0"/>
        <w:jc w:val="left"/>
        <w:rPr>
          <w:rFonts w:ascii="Times New Roman" w:hAnsi="Times New Roman"/>
          <w:i/>
          <w:sz w:val="20"/>
        </w:rPr>
      </w:pPr>
      <w:r>
        <w:rPr>
          <w:rFonts w:ascii="Times New Roman" w:hAnsi="Times New Roman"/>
          <w:i/>
          <w:sz w:val="20"/>
        </w:rPr>
        <w:t xml:space="preserve">Phase 3 trial design for OCS-01 </w:t>
      </w:r>
    </w:p>
    <w:p>
      <w:pPr>
        <w:pStyle w:val="TextBody"/>
        <w:bidi w:val="0"/>
        <w:spacing w:before="120" w:after="0"/>
        <w:jc w:val="left"/>
        <w:rPr>
          <w:rFonts w:ascii="Times New Roman" w:hAnsi="Times New Roman"/>
          <w:sz w:val="20"/>
        </w:rPr>
      </w:pPr>
      <w:r>
        <w:rPr>
          <w:rFonts w:ascii="Times New Roman" w:hAnsi="Times New Roman"/>
          <w:sz w:val="20"/>
        </w:rPr>
        <w:t>Our ongoing adaptive design Phase 3 clinical evaluation of OCS-01 in DME (DIAMOND) includes two stages. In Stage 1, OCS-01 is compared to vehicle to evaluate the safety and efficacy of an alternate dosing regimen using a loading dose and a maintenance dose (each as defined below). The objective of Stage 1 is to select a dosing regimen for Stage 2. The enrollment target for Stage 1 was 147 subjects. OCS-01 or vehicle is administered six times per day for six weeks (</w:t>
      </w:r>
      <w:r>
        <w:rPr>
          <w:rFonts w:ascii="Times New Roman" w:hAnsi="Times New Roman"/>
          <w:i/>
          <w:sz w:val="20"/>
        </w:rPr>
        <w:t>loading dose</w:t>
      </w:r>
      <w:r>
        <w:rPr>
          <w:rFonts w:ascii="Times New Roman" w:hAnsi="Times New Roman"/>
          <w:sz w:val="20"/>
        </w:rPr>
        <w:t>) and then three times per day for six weeks (</w:t>
      </w:r>
      <w:r>
        <w:rPr>
          <w:rFonts w:ascii="Times New Roman" w:hAnsi="Times New Roman"/>
          <w:i/>
          <w:sz w:val="20"/>
        </w:rPr>
        <w:t>maintenance dose</w:t>
      </w:r>
      <w:r>
        <w:rPr>
          <w:rFonts w:ascii="Times New Roman" w:hAnsi="Times New Roman"/>
          <w:sz w:val="20"/>
        </w:rPr>
        <w:t>). A previous Phase 3 study of dexamethasone ocular intravitreal implants in DME subjects (the </w:t>
      </w:r>
      <w:r>
        <w:rPr>
          <w:rFonts w:ascii="Times New Roman" w:hAnsi="Times New Roman"/>
          <w:i/>
          <w:sz w:val="20"/>
        </w:rPr>
        <w:t>MEAD Study</w:t>
      </w:r>
      <w:r>
        <w:rPr>
          <w:rFonts w:ascii="Times New Roman" w:hAnsi="Times New Roman"/>
          <w:sz w:val="20"/>
        </w:rPr>
        <w:t>) demonstrated a dose-response relationship, in which subjects who received the higher dose implant showed a greater BCVA gain compared to subjects who received the lower dose implant. In our earlier study, 11 subjects who received a previous formulation of OCS-01 (DexNP) six times per day for four weeks experienced a greater CMT reduction than eight subjects who received DexNP three times per day. In light of these findings, we believe that a loading dose may enhance the therapeutic effect of OCS-01. Key inclusion criteria of our DIAMOND study include: Diabetes mellitus 1 or 2, BCVA between 24 and 65 letters and macular thickness (Central Subfield Thickness or </w:t>
      </w:r>
      <w:r>
        <w:rPr>
          <w:rFonts w:ascii="Times New Roman" w:hAnsi="Times New Roman"/>
          <w:i/>
          <w:sz w:val="20"/>
        </w:rPr>
        <w:t>CST</w:t>
      </w:r>
      <w:r>
        <w:rPr>
          <w:rFonts w:ascii="Times New Roman" w:hAnsi="Times New Roman"/>
          <w:sz w:val="20"/>
        </w:rPr>
        <w:t xml:space="preserve">) of 310 µm or greater. </w:t>
      </w:r>
    </w:p>
    <w:p>
      <w:pPr>
        <w:pStyle w:val="TextBody"/>
        <w:bidi w:val="0"/>
        <w:spacing w:before="240" w:after="0"/>
        <w:jc w:val="left"/>
        <w:rPr>
          <w:rFonts w:ascii="Times New Roman" w:hAnsi="Times New Roman"/>
          <w:sz w:val="20"/>
        </w:rPr>
      </w:pPr>
      <w:r>
        <w:rPr>
          <w:rFonts w:ascii="Times New Roman" w:hAnsi="Times New Roman"/>
          <w:sz w:val="20"/>
        </w:rPr>
        <w:t xml:space="preserve">In May 2023, we announced topline data for Stage 1 of the DIAMOND Phase 3 clinical trial of OCS-01 in DME. Topical OCS-01 met the primary and secondary endpoints in Stage 1 with robust statistical significance. The primary objective of Stage 1 was to select the optimal dosing regimen for Stage 2, which is the pivotal part of the study. Stage 1 was conducted in 39 sites across the United States and Europe. The primary endpoint of Stage 2 will be the mean change from baseline in BCVA at 52 weeks. Key secondary endpoints are to include the mean change in CST, as assessed by spectral domain optical coherence tomography and the percentage of participants that exhibit ETDRS improvement of 15 letters or more from baseline. Key inclusion criteria are expected to be similar to those used in Stage 1 of the 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Stage 1, the intent to treat population included 148 randomized patients; 100 patients in the OCS-01 arm and 48 in the vehicle arm. The primary endpoint was mean change in BCVA compared to baseline at Week 6. As reflected in the chart below, OCS-01 showed a statistically significant improvement in BCVA over baseline compared to vehicle (OCS-01: 7.2 letters vs vehicle: 3.1 letters, p=0.007). This effect was sustained to Week 12 with statistical significance (OCS-01: 7.6 letters vs vehicle: 3.7 letters, p=0.016).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5336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850" cy="2533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observed a higher percentage of patients in the OCS-01 group who achieved ≥15-letter improvement in BCVA from baseline vs vehicle at Week 6 (OCS-01: 25.3% vs vehicle: 9.8%, p=0.015), which was sustained to Week 12 (OCS-01: 27.4% vs vehicle 7.5%, p=0.009), as shown in the charts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right"/>
              <w:rPr/>
            </w:pPr>
            <w:r>
              <w:rPr/>
              <w:drawing>
                <wp:inline distT="0" distB="0" distL="0" distR="0">
                  <wp:extent cx="294005" cy="2520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4005" cy="252095"/>
                          </a:xfrm>
                          <a:prstGeom prst="rect">
                            <a:avLst/>
                          </a:prstGeom>
                        </pic:spPr>
                      </pic:pic>
                    </a:graphicData>
                  </a:graphic>
                </wp:inline>
              </w:drawing>
            </w:r>
            <w:r>
              <w:rPr/>
              <w:t xml:space="preserve"> </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left"/>
              <w:rPr/>
            </w:pPr>
            <w:r>
              <w:rPr/>
              <w:drawing>
                <wp:inline distT="0" distB="0" distL="0" distR="0">
                  <wp:extent cx="286385" cy="2520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6385" cy="25209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on retinal thickness was also observed with a statistically significant decrease in CST at Week 6 vs baseline in the OCS-01 treatment arm (OCS-01: -63.6 µm vs vehicle: +5.5 µm, p&lt;0.0001). The decrease in retinal thickness persisted to Week 12 (-61.6 µm vs -16.0 µm, p=0.004).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77850" cy="27876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850" cy="2787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OCS-01 was well tolerated, with no unexpected adverse events observed. No SAEs reported were deemed by the investigators to be related to study drug, and there was no evidence of cataract formation up to Week 12. The most common adverse events were diabetic retinal edema, increased IOP, hypertension and ocular hypertension. The increase in IOP through Week 12 was minimal, with mean change in IOP from baseline (OCS-01: +1.61 mmHg and +2.79 mmHg at Weeks 6 and 12, respectively, vs vehicle: +0.44 mmHg and -0.05 mmHg,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OCS-01 development program will continue as planned with Stage 2, the pivotal part, of the DIAMOND trial, which is being conducted in two global trials, each enrolling approximately 350-450 patients. We anticipate starting Stage 2 in the second half of 2023. </w:t>
      </w:r>
    </w:p>
    <w:p>
      <w:pPr>
        <w:pStyle w:val="TextBody"/>
        <w:bidi w:val="0"/>
        <w:spacing w:before="360" w:after="0"/>
        <w:jc w:val="left"/>
        <w:rPr>
          <w:rFonts w:ascii="Times New Roman" w:hAnsi="Times New Roman"/>
          <w:i/>
          <w:sz w:val="20"/>
        </w:rPr>
      </w:pPr>
      <w:r>
        <w:rPr>
          <w:rFonts w:ascii="Times New Roman" w:hAnsi="Times New Roman"/>
          <w:i/>
          <w:sz w:val="20"/>
        </w:rPr>
        <w:t xml:space="preserve">OCS-01 has the potential to expand the number of treated patients and prescribing physicians. </w:t>
      </w:r>
    </w:p>
    <w:p>
      <w:pPr>
        <w:pStyle w:val="TextBody"/>
        <w:bidi w:val="0"/>
        <w:spacing w:before="120" w:after="0"/>
        <w:jc w:val="left"/>
        <w:rPr>
          <w:rFonts w:ascii="Times New Roman" w:hAnsi="Times New Roman"/>
          <w:sz w:val="20"/>
        </w:rPr>
      </w:pPr>
      <w:r>
        <w:rPr>
          <w:rFonts w:ascii="Times New Roman" w:hAnsi="Times New Roman"/>
          <w:sz w:val="20"/>
        </w:rPr>
        <w:t xml:space="preserve">OCS-01 was designed to address two sizeable treatment gaps pervasive among the DME patient population in early on-set and in severe segments. Furthermore, the sustained delivery of the drug to the back of the eye and non-invasive self-administration are unique differentiators to currently available treatments. Addressing the two existing treatment gaps may allow for increased early disease intervention with expanded treatment of retinal edema due to reduced treatment burden and improved access to care. Success in demonstrating therapeutic efficacy to treat the earlier-stages of DME disease progression may promote the use of OCS-01, if approved, among those DME patients whose treatment is currently restricted to observation. We believe that this potential expansion of the patient base to include earlier-stage DME patients may also increase the number of prescribing physicians, with general ophthalmologists, not just retina specialists, more likely to engage in disease management. If approved, OCS-01 may also be used as a non-invasive complement to currently approved therapeutic regimens, including anti-VEGF medications, potentially extending or enhancing the clinical benefit of those treatments particularly among those patients with more advanced diseases whose condition have not responded adequately to the current standard of care protocol.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OCS-01 for ocular surgery patients </w:t>
      </w:r>
    </w:p>
    <w:p>
      <w:pPr>
        <w:pStyle w:val="TextBody"/>
        <w:bidi w:val="0"/>
        <w:spacing w:before="120" w:after="0"/>
        <w:jc w:val="left"/>
        <w:rPr>
          <w:rFonts w:ascii="Times New Roman" w:hAnsi="Times New Roman"/>
          <w:sz w:val="20"/>
        </w:rPr>
      </w:pPr>
      <w:r>
        <w:rPr>
          <w:rFonts w:ascii="Times New Roman" w:hAnsi="Times New Roman"/>
          <w:sz w:val="20"/>
        </w:rPr>
        <w:t xml:space="preserve">We estimate that approximately six million cataract, glaucoma, refractive, and vitrectomy surgical procedures are performed annually in the United States. Inflammation and pain remain an expected consequence of ocular surgery. While steroids have proven to be an effective treatment, compliance and potency are major issues with topical steroids dosed several times per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estimated 30% of the patients who undergo ocular surgery are at an elevated risk for CME. Clinically significant CME occurs in up to 5.8% of ocular surgeries. Similar to DME, CME involves an accumulation of excess fluid in the macula which distorts central vision. CME is the most significant cause of postoperative vision loss among patients who undergo ocular surgery. Although the specific causes of CME are not well understood, comorbidities including diabetes and uveitis, among other factors, are believed to be significant contributors to disease emergence. In addition to developing OCS-01 to treat DME, we are also developing OCS-01 to treat inflammation and pain following from ocular surgery and conducting a proof-of-concept study in CME to assess its potential in CME treatment. Prior to OCS-01s commercial launch, if approved, we anticipate a proof-of-concept trial of OCS-01 (IIT) as a potential treatment for CME to be completed.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of current therapies for inflammation and pain post ocular surgery and OCS-01s differentiation </w:t>
      </w:r>
    </w:p>
    <w:p>
      <w:pPr>
        <w:pStyle w:val="TextBody"/>
        <w:bidi w:val="0"/>
        <w:spacing w:before="120" w:after="0"/>
        <w:jc w:val="left"/>
        <w:rPr>
          <w:rFonts w:ascii="Times New Roman" w:hAnsi="Times New Roman"/>
          <w:sz w:val="20"/>
        </w:rPr>
      </w:pPr>
      <w:r>
        <w:rPr>
          <w:rFonts w:ascii="Times New Roman" w:hAnsi="Times New Roman"/>
          <w:sz w:val="20"/>
        </w:rPr>
        <w:t xml:space="preserve">Inexpensive steroids such as prednisone are currently widely prescribed after ocular surgery; but, since they are not formulated to reach the retina, their therapeutic benefit in treating or preventing complications related to CME has not been established. Given that OCS-01 has demonstrated the potential to treat macular edema, as evidenced by CMT reduction and BCVA gain in our Phase 2 DME trial, coupled with additional exploratory data that may be gained from the planned clinical evaluation of OCS-01 in CME, we envision OCS-01 as a well- differentiated potential treatment for inflammation and pain following ocular surgery in patients at higher risk of developing CME, rather than as an alternative to prednisone in the broader ocular surgery market. We believe that this distinction may enable OCS-01 to achieve enhanced pricing and market access, if approved. OCS-01, if approved, may further benefit from anticipated once daily dosing, in contrast to the multiple daily doses required of alternative treatments. A proof-of-concept (IIT) CME trial is planned to further evaluate the therapeutic efficacy of OCS-01 for this indication and we expect trial results by year-end 2024.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OCS-01, if approved, could address the segment of patients who have ocular surgery and are at higher risk for CME. We forecast this segment to total approximately 1.9 million patients per year in the United States. </w:t>
      </w:r>
    </w:p>
    <w:p>
      <w:pPr>
        <w:pStyle w:val="TextBody"/>
        <w:bidi w:val="0"/>
        <w:spacing w:before="360" w:after="0"/>
        <w:jc w:val="left"/>
        <w:rPr>
          <w:rFonts w:ascii="Times New Roman" w:hAnsi="Times New Roman"/>
          <w:i/>
          <w:sz w:val="20"/>
        </w:rPr>
      </w:pPr>
      <w:r>
        <w:rPr>
          <w:rFonts w:ascii="Times New Roman" w:hAnsi="Times New Roman"/>
          <w:i/>
          <w:sz w:val="20"/>
        </w:rPr>
        <w:t xml:space="preserve">OCS-01 has produced clinical trial results which support its continued development as a potential treatment for inflammation and pain post ocular surgery </w:t>
      </w:r>
    </w:p>
    <w:p>
      <w:pPr>
        <w:pStyle w:val="TextBody"/>
        <w:bidi w:val="0"/>
        <w:spacing w:before="240" w:after="0"/>
        <w:jc w:val="left"/>
        <w:rPr>
          <w:rFonts w:ascii="Times New Roman" w:hAnsi="Times New Roman"/>
          <w:sz w:val="20"/>
        </w:rPr>
      </w:pPr>
      <w:r>
        <w:rPr>
          <w:rFonts w:ascii="Times New Roman" w:hAnsi="Times New Roman"/>
          <w:sz w:val="20"/>
        </w:rPr>
        <w:t xml:space="preserve">We conducted the DX-216 trial, which enrolled 153 subjects in a vehicle-controlled, multi-center Phase 2 clinical trial in the United States, to assess the safety and efficacy of OCS-01, dosed once or twice daily, as a treatment for inflammation and pain following ocular surgery. After screening for an anterior chamber cell count of grade 2 or higher, an indication of intraocular inflammation, eligible trial participants were randomized into one of three cohorts, an active drug cohort administered OCS-01 once daily, another active drug cohort administered OCS-01 twice daily, and a third cohort which received vehicle beginning one day after surgery for 15 consecutive days followed by a one-week observation period. The primary endpoints of the trial were the absence of anterior chamber cells at Day 15 and the absence of pain at Day 4. The key secondary endpoints were the absence of anterior chamber cells at Day 4 and 8, and the absence of pain at Days 2, 8, and 15. </w:t>
      </w:r>
    </w:p>
    <w:p>
      <w:pPr>
        <w:pStyle w:val="TextBody"/>
        <w:bidi w:val="0"/>
        <w:spacing w:before="240" w:after="0"/>
        <w:jc w:val="left"/>
        <w:rPr>
          <w:rFonts w:ascii="Times New Roman" w:hAnsi="Times New Roman"/>
          <w:sz w:val="20"/>
        </w:rPr>
      </w:pPr>
      <w:r>
        <w:rPr>
          <w:rFonts w:ascii="Times New Roman" w:hAnsi="Times New Roman"/>
          <w:sz w:val="20"/>
        </w:rPr>
        <w:t xml:space="preserve">The trial met both its primary and secondary endpoints. OCS-01 achieved statistical significance in both primary endpoints for subjects who received once daily dosing of OCS-01 versus those who received vehicle. A single daily application of OCS-01 was shown to reduce anterior chamber cells at Day 15 to zero in 51% of trial participants on an intent to treat basis (p&lt;0.001), compared to 19.6% of subjects in the cohort that received vehicle alone. The elimination of pain at Day 4 was observed among 72.5% of subjects who received once daily dosing of OCS-01 (p&lt;0.005), as compared to 45.1% in the vehicle only cohort. </w:t>
      </w:r>
    </w:p>
    <w:p>
      <w:pPr>
        <w:pStyle w:val="TextBody"/>
        <w:bidi w:val="0"/>
        <w:spacing w:before="240" w:after="0"/>
        <w:jc w:val="left"/>
        <w:rPr>
          <w:rFonts w:ascii="Times New Roman" w:hAnsi="Times New Roman"/>
          <w:sz w:val="20"/>
        </w:rPr>
      </w:pPr>
      <w:r>
        <w:rPr>
          <w:rFonts w:ascii="Times New Roman" w:hAnsi="Times New Roman"/>
          <w:sz w:val="20"/>
        </w:rPr>
        <w:t xml:space="preserve">OCS-01 was also well tolerated in this trial. No serious ocular or systemic AEs were reported, and the rate of non-serious AEs noted during the trial appeared to be largely procedure related. Moreover, no subject displayed an IOP of greater than or equal to 30 mmHg at any time during the trial, nor did any participant experience a change in IOP from baseline of 10 mmHg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design of our Phase 3 trial follows the Phase 2 trial. Once daily administration of OCS-01 is compared with vehicle over a 15-day period following ocular surgery and the trial involves multiple trial sites throughout the United States. The study design was reviewed with the FDA during the End-of-Phase 2 meeting, and subject randomization for this trial began in July 2022 with trial results expected to be available in third quarter of 2023. </w:t>
      </w:r>
    </w:p>
    <w:p>
      <w:pPr>
        <w:pStyle w:val="TextBody"/>
        <w:bidi w:val="0"/>
        <w:spacing w:before="360" w:after="0"/>
        <w:jc w:val="left"/>
        <w:rPr>
          <w:rFonts w:ascii="Times New Roman" w:hAnsi="Times New Roman"/>
          <w:b/>
          <w:sz w:val="20"/>
        </w:rPr>
      </w:pPr>
      <w:r>
        <w:rPr>
          <w:rFonts w:ascii="Times New Roman" w:hAnsi="Times New Roman"/>
          <w:b/>
          <w:sz w:val="20"/>
        </w:rPr>
        <w:t xml:space="preserve">OCS-02 </w:t>
      </w:r>
    </w:p>
    <w:p>
      <w:pPr>
        <w:pStyle w:val="TextBody"/>
        <w:bidi w:val="0"/>
        <w:spacing w:before="120" w:after="0"/>
        <w:jc w:val="left"/>
        <w:rPr>
          <w:rFonts w:ascii="Times New Roman" w:hAnsi="Times New Roman"/>
          <w:i/>
          <w:sz w:val="20"/>
        </w:rPr>
      </w:pPr>
      <w:r>
        <w:rPr>
          <w:rFonts w:ascii="Times New Roman" w:hAnsi="Times New Roman"/>
          <w:i/>
          <w:sz w:val="20"/>
          <w:u w:val="single"/>
        </w:rPr>
        <w:t>Key Program Highlights</w:t>
      </w:r>
      <w:r>
        <w:rPr>
          <w:rFonts w:ascii="Times New Roman" w:hAnsi="Times New Roman"/>
          <w:i/>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Next-generation biologic in development as a potential treatment for severe DED and non-infectious anterior uveitis using single chain antibody fragment technology targeting TNFα.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Eye drop formulation enables localized self-administration, minimizing possible complexity and side effects associated with systemic anti-TNFα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from three Phase 2 trials of OCS-02s predecessor and OCS-02 support moving into Phase 2b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2b trials are currently planned, with results expected to be available in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proprietary genetic biomarker may enable precision medicine guided patient stratification in 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addressable U.S. DED patient population of approximately 10 million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developing OCS-02 as a next-generation biologic treatment for both DED and as a treatment for non-infectious anterior uveitis. OCS-02 is differentiated by its use of a single chain antibody fragment formulation directed against the cytokine human TNFα to enable the topical delivery of an anti-TNFα construct at increased concentrations. The anti-inflammatory and anti-necrotic properties of therapeutics inhibiting TNFα activity are well established with anti-TNF pharmaceuticals already approved as systemic treatments for ocular disease. In addition, we are advancing the development of OCS-02 in conjunction with the further validation of a potential genetic biomarker intended to identify patients who may have a greater response to OCS-02 therapy and believe this precision medicine approach may allow the candidate to deliver superior outcomes in these patients if approved. Two Phase 2 clinical trials in patients with symptoms of DED were conducted (the first with the predecessor of OCS-02, and the second with OCS-02), as well one Phase 2 clinical trial in acute anterior uveitis. Topical ocular administration of OCS-02 was associated with improvements in the global ocular discomfort score versus vehicle in patients with DED, and with reaching a pre-specified responder rate in patients with non-infectious anterior uveitis, as well as being well tolerated in all three studies. We currently plan to evaluate OCS-02 in two Phase 2b trials. </w:t>
      </w:r>
    </w:p>
    <w:p>
      <w:pPr>
        <w:pStyle w:val="TextBody"/>
        <w:bidi w:val="0"/>
        <w:spacing w:before="240" w:after="0"/>
        <w:jc w:val="left"/>
        <w:rPr>
          <w:rFonts w:ascii="Times New Roman" w:hAnsi="Times New Roman"/>
          <w:sz w:val="20"/>
        </w:rPr>
      </w:pPr>
      <w:r>
        <w:rPr>
          <w:rFonts w:ascii="Times New Roman" w:hAnsi="Times New Roman"/>
          <w:sz w:val="20"/>
        </w:rPr>
        <w:t xml:space="preserve">TNFα performs important roles in the initiation and propagation of both normal and aberrant immune responses via mechanisms ranging from the stimulation of other cytokines to inflammatory cell recruitment to the alteration of vascular permeability. Inhibition of TNFα has demonstrated significant clinical benefit in the treatment of an array of diseases arising from dysfunctional immune system activity and anti TNFα therapeutics have become among the most widely prescribed biologics. Three anti-TNFα therapeutics (etanercept, sold under the brand name Enbrel®, infliximab, sold under the brand name Remicade®, and adalimumab, sold under the brand name Humira®), have each been studied for use in ocular disease. While the use of antagonists to TNFα have demonstrated favorable efficacy in the treatment of ocular inflammatory diseases, these drugs require intravenous infusion or subcutaneous injection and systemic anti-TNFα therapies are associated with a range of often serious adverse effects. Ocular diseases, such as DED and non-infectious anterior uveitis, involve a local TNFα driven inflammatory process which may not justify general, systemic TNFα-suppressive therapy. The novel design of OCS-02 embracing lower molecular weight single chain antibody fragment technology may enable it to be used in ocular disease as an eye drop for localized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OCS-02 for the treatment of DED </w:t>
      </w:r>
    </w:p>
    <w:p>
      <w:pPr>
        <w:pStyle w:val="TextBody"/>
        <w:bidi w:val="0"/>
        <w:spacing w:before="120" w:after="0"/>
        <w:jc w:val="left"/>
        <w:rPr>
          <w:rFonts w:ascii="Times New Roman" w:hAnsi="Times New Roman"/>
          <w:sz w:val="20"/>
        </w:rPr>
      </w:pPr>
      <w:r>
        <w:rPr>
          <w:rFonts w:ascii="Times New Roman" w:hAnsi="Times New Roman"/>
          <w:sz w:val="20"/>
        </w:rPr>
        <w:t xml:space="preserve">Keratoconjunctivitis sicca, also referred to as DED results from inflammation related to tear gland damage. DED is a multifactorial disease of the tears and ocular surface characterized by ocular surface inflammation and increased osmolarity of the tear film that results in ocular discomfort, visual disturbance and tear film instability. The etiology of DED can involve several deficiencies of the tear film, including the aqueous layer, the lipid layer, mucin layer or a combination of the three layers. The disease often presents as a complication of other diseases, prominently autoimmune disorders such as rheumatoid arthritis, diabetes and Sjogrens syndrome, which may contribute to its manifestation. As such, DED may afflict individuals with differing severity of burning sensation, a feeling of dryness, and other symptoms of ocular discomfort. In severe cases, vision may be significantly impaired. Although the pathogenesis of DED includes a variety of causes, common consequences are a breakdown of corneal tear film with dehydration of the exposed outer corneal surfaces, ocular surface inflammation and subsequent damage to exposed tissues. Increased concentration of pro-inflammatory cytokines, such as TNFα, in patient tears or conjunctival tissue has been demonstrated to correlate with disease severity. </w:t>
      </w:r>
    </w:p>
    <w:p>
      <w:pPr>
        <w:pStyle w:val="TextBody"/>
        <w:bidi w:val="0"/>
        <w:spacing w:before="240" w:after="0"/>
        <w:jc w:val="left"/>
        <w:rPr>
          <w:rFonts w:ascii="Times New Roman" w:hAnsi="Times New Roman"/>
          <w:sz w:val="20"/>
        </w:rPr>
      </w:pPr>
      <w:r>
        <w:rPr>
          <w:rFonts w:ascii="Times New Roman" w:hAnsi="Times New Roman"/>
          <w:sz w:val="20"/>
        </w:rPr>
        <w:t xml:space="preserve">In 2020, the U.S. DED patient population was estimated to be approximately 37.9 million people and is expected to rise to 41.3 million patients by 2029. The market for prescription medications to treat DED is forecasted to increase to $7.3 billion in the G7 countries (the United States, France, Germany, Italy, Spain, UK and Japan) by 2029 from $3.9 billion in 2019. We estimate the segment of DED patients in the United States addressable by OCS-02 (patients with moderate or severe DED) to be approximately 10 million patients.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of current therapies and potential for OCS-02 in DED </w:t>
      </w:r>
    </w:p>
    <w:p>
      <w:pPr>
        <w:pStyle w:val="TextBody"/>
        <w:bidi w:val="0"/>
        <w:spacing w:before="120" w:after="0"/>
        <w:jc w:val="left"/>
        <w:rPr>
          <w:rFonts w:ascii="Times New Roman" w:hAnsi="Times New Roman"/>
          <w:sz w:val="20"/>
        </w:rPr>
      </w:pPr>
      <w:r>
        <w:rPr>
          <w:rFonts w:ascii="Times New Roman" w:hAnsi="Times New Roman"/>
          <w:sz w:val="20"/>
        </w:rPr>
        <w:t xml:space="preserve">The DED patient population is significantly underpenetrated with only an estimated 9% of diagnosed patients receiving treatment. The vast majority of patients who do receive treatment are treated with anti-inflammatory drugs, yet among treated patients only 13% achieve lasting relief. Approved topical treatments for DED include Restasis® and Cequa®, which are both formulations of cyclosporine. These drugs act only to increase tear production and are not indicated to reduce DED symptoms. Further limiting cyclosporines therapeutic utility is a delayed onset of action necessitating a two to three month steroid bridge, and a stinging sensation on application in some patients. Topical steroids are also often used to treat DED but are contraindicated for long-term use because of their side effects including glaucoma and cataracts. </w:t>
      </w:r>
    </w:p>
    <w:p>
      <w:pPr>
        <w:pStyle w:val="TextBody"/>
        <w:bidi w:val="0"/>
        <w:spacing w:before="360" w:after="0"/>
        <w:jc w:val="left"/>
        <w:rPr>
          <w:rFonts w:ascii="Times New Roman" w:hAnsi="Times New Roman"/>
          <w:i/>
          <w:sz w:val="20"/>
        </w:rPr>
      </w:pPr>
      <w:r>
        <w:rPr>
          <w:rFonts w:ascii="Times New Roman" w:hAnsi="Times New Roman"/>
          <w:i/>
          <w:sz w:val="20"/>
        </w:rPr>
        <w:t xml:space="preserve">OCS-02s differentiation as a potential treatment for DED </w:t>
      </w:r>
    </w:p>
    <w:p>
      <w:pPr>
        <w:pStyle w:val="TextBody"/>
        <w:bidi w:val="0"/>
        <w:spacing w:before="120" w:after="0"/>
        <w:jc w:val="left"/>
        <w:rPr>
          <w:rFonts w:ascii="Times New Roman" w:hAnsi="Times New Roman"/>
          <w:sz w:val="20"/>
        </w:rPr>
      </w:pPr>
      <w:r>
        <w:rPr>
          <w:rFonts w:ascii="Times New Roman" w:hAnsi="Times New Roman"/>
          <w:sz w:val="20"/>
        </w:rPr>
        <w:t xml:space="preserve">Given the central role of ocular inflammation in sustaining the pathology of DED and the utility of anti-TNFα as a highly effective anti-inflammatory agent, we believe the localized application of OCS-02 as an anti-TNFα therapeutic, if approved, may provide a differentiated DED treatment approach, which may avoid undesirable features of current therapies (such as stinging sensation, delayed onset of action, or steroid-related side effects), and which may provide benefit for many patients who do not receive lasting relief from current therapies.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the segment of DED patients in the United States addressable by OCS-02 (patients with moderate or severe DED) to be approximately 10 million patients. </w:t>
      </w:r>
    </w:p>
    <w:p>
      <w:pPr>
        <w:pStyle w:val="TextBody"/>
        <w:bidi w:val="0"/>
        <w:spacing w:before="360" w:after="0"/>
        <w:jc w:val="left"/>
        <w:rPr>
          <w:rFonts w:ascii="Times New Roman" w:hAnsi="Times New Roman"/>
          <w:i/>
          <w:sz w:val="20"/>
        </w:rPr>
      </w:pPr>
      <w:r>
        <w:rPr>
          <w:rFonts w:ascii="Times New Roman" w:hAnsi="Times New Roman"/>
          <w:i/>
          <w:sz w:val="20"/>
        </w:rPr>
        <w:t xml:space="preserve">OCS-02 has produced clinical trial results which support its continued development as a potential treatment for DED </w:t>
      </w:r>
    </w:p>
    <w:p>
      <w:pPr>
        <w:pStyle w:val="TextBody"/>
        <w:bidi w:val="0"/>
        <w:spacing w:before="120" w:after="0"/>
        <w:jc w:val="left"/>
        <w:rPr>
          <w:rFonts w:ascii="Times New Roman" w:hAnsi="Times New Roman"/>
          <w:sz w:val="20"/>
        </w:rPr>
      </w:pPr>
      <w:r>
        <w:rPr>
          <w:rFonts w:ascii="Times New Roman" w:hAnsi="Times New Roman"/>
          <w:sz w:val="20"/>
        </w:rPr>
        <w:t>Novartis, from whom we have obtained certain exclusive, worldwide rights to develop and commercialize OCS-02 through a December 19, 2018 licensing agreement (please see the section entitled </w:t>
      </w:r>
      <w:r>
        <w:rPr>
          <w:rFonts w:ascii="Times New Roman" w:hAnsi="Times New Roman"/>
          <w:i/>
          <w:sz w:val="20"/>
        </w:rPr>
        <w:t>Material Licenses, Partnerships and Collaborations</w:t>
      </w:r>
      <w:r>
        <w:rPr>
          <w:rFonts w:ascii="Times New Roman" w:hAnsi="Times New Roman"/>
          <w:sz w:val="20"/>
        </w:rPr>
        <w:t xml:space="preserve"> below), conducted a randomized, multi-center, double-masked, vehicle control Phase 2 clinical proof-of-concept trial designed to assess the safety and tolerability of OCS-02 and its efficacy in reducing DED symptoms. In the trial, patients were randomized on a 1:1 ratio into two cohorts. For a six-week period, the first trial cohort received a 60 mg/ml ophthalmic solution of OCS-02, while the second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vehicle. Participants in both cohorts self-administered one drop to each eye three times per day. The primary efficacy endpoint of the trial was improvement in the Global Ocular Discomfort Score as compared to vehicle. The Global ocular discomfort score is a composite of discomfort frequency and severity as assessed by a visual analog scale using an electronic patient reported outcome. Improvement results in a reduction of the discomfort frequency or severity, or both, translating into a reduction of the resulting Global Ocular Discomfort Score as compared to baseline. A negative change from baseline indicates improvement. The secondary efficacy endpoint was an assessment of the number of patients that achieved more than 20 points improvement in the global ocular discomfort score. The data generated in this trial, consisting of 67 participants in the active group and 64 in the control group, are presented in the charts below. </w:t>
      </w:r>
    </w:p>
    <w:p>
      <w:pPr>
        <w:pStyle w:val="TextBody"/>
        <w:bidi w:val="0"/>
        <w:spacing w:before="360" w:after="0"/>
        <w:jc w:val="center"/>
        <w:rPr>
          <w:rFonts w:ascii="Times New Roman" w:hAnsi="Times New Roman"/>
          <w:i/>
          <w:sz w:val="20"/>
        </w:rPr>
      </w:pPr>
      <w:r>
        <w:rPr>
          <w:rFonts w:ascii="Times New Roman" w:hAnsi="Times New Roman"/>
          <w:i/>
          <w:sz w:val="20"/>
        </w:rPr>
        <w:t xml:space="preserve">OCS-02 generated statistically significant improvement in ocular discomfort as compared to vehicle.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082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850" cy="2108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trial met both primary and secondary endpoints. As is noted in the left chart above, administration of OCS-02 resulted in a statistically significant 7.9 mean point reduction in the global ocular discomfort score from baseline to treatment day 29 as compared to a 3.6 point mean reduction among patients that received vehicle only. In addition, as is noted in the right chart above, OCS-02 generated an improvement in the global ocular discomfort score of greater than 20 points in 12 of the 67 patients, or 18% of total trial participants. A similar level of response was achieved in only 5%, or three of the 64, patients included in the vehicle control group. The results of exploratory endpoints, which included physician graded conjunctival hyperemia, corneal staining, Meibomian gland assessment and tear film osmolarity, were similar across treatment groups. OCS-02 demonstrated a statistically significant improvement in the Global Ocular Discomfort Score compared to vehicle in patients with severe DED. It was well tolerated, with no increase in IOP and minimal systemic drug exposure. </w:t>
      </w:r>
    </w:p>
    <w:p>
      <w:pPr>
        <w:pStyle w:val="TextBody"/>
        <w:bidi w:val="0"/>
        <w:spacing w:before="360" w:after="0"/>
        <w:jc w:val="left"/>
        <w:rPr>
          <w:rFonts w:ascii="Times New Roman" w:hAnsi="Times New Roman"/>
          <w:i/>
          <w:sz w:val="20"/>
        </w:rPr>
      </w:pPr>
      <w:r>
        <w:rPr>
          <w:rFonts w:ascii="Times New Roman" w:hAnsi="Times New Roman"/>
          <w:i/>
          <w:sz w:val="20"/>
        </w:rPr>
        <w:t xml:space="preserve">Proprietary genetic biomarker may enable a precision medicine approach to DED </w:t>
      </w:r>
    </w:p>
    <w:p>
      <w:pPr>
        <w:pStyle w:val="TextBody"/>
        <w:bidi w:val="0"/>
        <w:spacing w:before="120" w:after="0"/>
        <w:jc w:val="left"/>
        <w:rPr>
          <w:rFonts w:ascii="Times New Roman" w:hAnsi="Times New Roman"/>
          <w:sz w:val="20"/>
        </w:rPr>
      </w:pPr>
      <w:r>
        <w:rPr>
          <w:rFonts w:ascii="Times New Roman" w:hAnsi="Times New Roman"/>
          <w:sz w:val="20"/>
        </w:rPr>
        <w:t xml:space="preserve">We conducted an exploratory pharmacogenetic analysis focused on the genes relevant to the TNF pathway and Sjogrens syndrome among those 12 out of 86 patients who displayed a CC genotype gene variance or SNIP. Among the gene variants analyzed, a correlation between one variant, designated the SNP rs1800693 CC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genotype (</w:t>
      </w:r>
      <w:r>
        <w:rPr>
          <w:rFonts w:ascii="Times New Roman" w:hAnsi="Times New Roman"/>
          <w:i/>
          <w:sz w:val="20"/>
        </w:rPr>
        <w:t>CC genotype</w:t>
      </w:r>
      <w:r>
        <w:rPr>
          <w:rFonts w:ascii="Times New Roman" w:hAnsi="Times New Roman"/>
          <w:sz w:val="20"/>
        </w:rPr>
        <w:t xml:space="preserve">) in the TNFR1 gene, and a greater response (p&lt;0.0001) to OCS-02 was observed at Day 29. Below Figure shows individual patient profiles by study days for change from baseline Global Ocular Discomfort Score for participants with the CC genotype.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center"/>
              <w:rPr/>
            </w:pPr>
            <w:r>
              <w:rPr/>
              <w:drawing>
                <wp:inline distT="0" distB="0" distL="0" distR="0">
                  <wp:extent cx="1816735" cy="920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16735" cy="920750"/>
                          </a:xfrm>
                          <a:prstGeom prst="rect">
                            <a:avLst/>
                          </a:prstGeom>
                        </pic:spPr>
                      </pic:pic>
                    </a:graphicData>
                  </a:graphic>
                </wp:inline>
              </w:drawing>
            </w:r>
            <w:r>
              <w:rPr/>
              <w:t xml:space="preserve">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drawing>
                <wp:inline distT="0" distB="0" distL="0" distR="0">
                  <wp:extent cx="1742440" cy="1186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42440" cy="118618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Patients with this variant displayed a significant reduction in inflammatory factors, including interleukin 1 beta (IL1B), interleukin 8 (IL8) and TNFα. This correlation is evidenced in the messenger RNA (</w:t>
      </w:r>
      <w:r>
        <w:rPr>
          <w:rFonts w:ascii="Times New Roman" w:hAnsi="Times New Roman"/>
          <w:i/>
          <w:sz w:val="20"/>
        </w:rPr>
        <w:t>mRNA</w:t>
      </w:r>
      <w:r>
        <w:rPr>
          <w:rFonts w:ascii="Times New Roman" w:hAnsi="Times New Roman"/>
          <w:sz w:val="20"/>
        </w:rPr>
        <w:t xml:space="preserve">) expression profiles of TNFα presented in the charts below which compared expression levels of patients with the various gene variants at Days 29 and 43 after dosing with either active drug candidate or vehicle. It was represented in 12 of 86 patients (14%) analyzed for the primary efficacy endpoint in this study, similar to the 13% of patients in the US study. </w:t>
      </w:r>
    </w:p>
    <w:p>
      <w:pPr>
        <w:pStyle w:val="TextBody"/>
        <w:bidi w:val="0"/>
        <w:spacing w:before="360" w:after="0"/>
        <w:jc w:val="center"/>
        <w:rPr>
          <w:rFonts w:ascii="Times New Roman" w:hAnsi="Times New Roman"/>
          <w:i/>
          <w:sz w:val="20"/>
        </w:rPr>
      </w:pPr>
      <w:r>
        <w:rPr>
          <w:rFonts w:ascii="Times New Roman" w:hAnsi="Times New Roman"/>
          <w:i/>
          <w:sz w:val="20"/>
        </w:rPr>
        <w:t xml:space="preserve">A specific gene variant may enable biomarker based response stratification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719830" cy="12109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719830" cy="12109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further validation of this genetic biomarker may enable us to identify a specific high response patient population which may allow us to enrich clinical trial enrollment and enhance our ability to evaluate the efficacy of OCS-02 in this indication and subpopulation. We intend to further evaluate the utility of this biomarker during our planned Phase 2b trial of OCS-02. </w:t>
      </w:r>
    </w:p>
    <w:p>
      <w:pPr>
        <w:pStyle w:val="TextBody"/>
        <w:bidi w:val="0"/>
        <w:spacing w:before="360" w:after="0"/>
        <w:jc w:val="left"/>
        <w:rPr>
          <w:rFonts w:ascii="Times New Roman" w:hAnsi="Times New Roman"/>
          <w:i/>
          <w:sz w:val="20"/>
        </w:rPr>
      </w:pPr>
      <w:r>
        <w:rPr>
          <w:rFonts w:ascii="Times New Roman" w:hAnsi="Times New Roman"/>
          <w:i/>
          <w:sz w:val="20"/>
        </w:rPr>
        <w:t xml:space="preserve">Phase 2b trial design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results generated by OCS-02 in its Phase 2 proof-of-concept trials, we plan to advance OCS-02 into a 2+6+2-week, estimated 120 subject Phase 2b clinical trial to evaluate the safety and efficacy of OCS-02 in treating the signs and symptoms of DED. This trial is designed to be a randomized, multi-center, double-masked, vehicle-controlled trial. Following initial screening, trial participants will participate in a two-week run-in period during which time vehicle or artificial tears will be administered three times daily. Subjects that respond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with artificial tears will be excluded from further participation. Subjects who continue with the trial will be randomized on a 1:1 basis into either the treatment cohort or the vehicle cohort and receive OCS-02 or vehicle three times daily for eight weeks. The efficacy measures and endpoints of the trial include a significant improvement in signs of DED, such as total corneal fluorescein staining, the percentage of patients with a 10 mm or greater increase in Schirmers test, as well as symptoms of DED such as global ocular discomfort compared to vehicle. Biomarker analyses (from tear collection), as well as genotyping of subjects, are additional endpoints of the trial. We intend to enter into Phase 2b stage in the second half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OCS-02 for the treatment of non-infectious anterior uveitis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its potential use as a therapeutic to treat DED, we are also evaluating OCS-02 for use as a treatment option for patients with non-infectious anterior uveitis, including patients with chronic or recurrent non-infectious anterior uveitis who would benefit from a steroid-sparing option. </w:t>
      </w:r>
    </w:p>
    <w:p>
      <w:pPr>
        <w:pStyle w:val="TextBody"/>
        <w:bidi w:val="0"/>
        <w:spacing w:before="240" w:after="0"/>
        <w:jc w:val="left"/>
        <w:rPr>
          <w:rFonts w:ascii="Times New Roman" w:hAnsi="Times New Roman"/>
          <w:sz w:val="20"/>
        </w:rPr>
      </w:pPr>
      <w:r>
        <w:rPr>
          <w:rFonts w:ascii="Times New Roman" w:hAnsi="Times New Roman"/>
          <w:sz w:val="20"/>
        </w:rPr>
        <w:t xml:space="preserve">Uveitis is a condition characterized by the inflammation of the uveal tract but can also cause the inflammation of nearby tissues, such as the retina, the optic nerve, and the vitreous humor. Uveitis is caused by inflammatory responses inside the eye in response to an attack from the bodys own immune system, infection, or trauma and injury to the eye. Uveitis is closely associated with various systemic diseases, including autoimmune disorders, and infectious diseases. However, a significant proportion of uveitis is idiopathic, with no identifiable cause for the disease. It primarily affects people between 20 and 60 years of age but can present at any age. If left untreated, uveitis can cause complications including macular edema, retina scarring, glaucoma, cataracts, optic nerve damage, retinal detachment and permanent vision loss. Uveitis, which can affect one or both eyes, accounts for between 10% to 15% of all cases of blindness in the United States and is the fourth leading cause of blindness in people aged 20-60 years in developed countries. </w:t>
      </w:r>
    </w:p>
    <w:p>
      <w:pPr>
        <w:pStyle w:val="TextBody"/>
        <w:bidi w:val="0"/>
        <w:spacing w:before="240" w:after="0"/>
        <w:jc w:val="left"/>
        <w:rPr>
          <w:rFonts w:ascii="Times New Roman" w:hAnsi="Times New Roman"/>
          <w:sz w:val="20"/>
        </w:rPr>
      </w:pPr>
      <w:r>
        <w:rPr>
          <w:rFonts w:ascii="Times New Roman" w:hAnsi="Times New Roman"/>
          <w:sz w:val="20"/>
        </w:rPr>
        <w:t xml:space="preserve">Loss of vision is correlated with the severity, frequency and duration of inflammatory episodes. Accordingly, the objective of treatment is fast and complete suppression of inflammation. Uveitis is categorized as either anterior, intermediate or posterior uveitis depending on the location of inflammation, or as panuveitis if present in multiple locations. Anterior uveitis is the most prevalent form of the disease and is associated with visual impairment. We estimate that that approximately 51% of patients in the United States who are diagnosed with anterior uveitis experience chronic or recurrent disease. </w:t>
      </w:r>
    </w:p>
    <w:p>
      <w:pPr>
        <w:pStyle w:val="TextBody"/>
        <w:bidi w:val="0"/>
        <w:spacing w:before="240" w:after="0"/>
        <w:jc w:val="left"/>
        <w:rPr>
          <w:rFonts w:ascii="Times New Roman" w:hAnsi="Times New Roman"/>
          <w:sz w:val="20"/>
        </w:rPr>
      </w:pPr>
      <w:r>
        <w:rPr>
          <w:rFonts w:ascii="Times New Roman" w:hAnsi="Times New Roman"/>
          <w:sz w:val="20"/>
        </w:rPr>
        <w:t xml:space="preserve">We estimate OCS-02 to address a patient segment of 129,000 patients with chronic or recurrent, anterior, non-infectious uveitis. </w:t>
      </w:r>
    </w:p>
    <w:p>
      <w:pPr>
        <w:pStyle w:val="TextBody"/>
        <w:bidi w:val="0"/>
        <w:spacing w:before="360" w:after="0"/>
        <w:jc w:val="left"/>
        <w:rPr>
          <w:rFonts w:ascii="Times New Roman" w:hAnsi="Times New Roman"/>
          <w:i/>
          <w:sz w:val="20"/>
        </w:rPr>
      </w:pPr>
      <w:r>
        <w:rPr>
          <w:rFonts w:ascii="Times New Roman" w:hAnsi="Times New Roman"/>
          <w:i/>
          <w:sz w:val="20"/>
        </w:rPr>
        <w:t xml:space="preserve">Limitations with the standard of care to treat anterior uveitis </w:t>
      </w:r>
    </w:p>
    <w:p>
      <w:pPr>
        <w:pStyle w:val="TextBody"/>
        <w:bidi w:val="0"/>
        <w:spacing w:before="120" w:after="0"/>
        <w:jc w:val="left"/>
        <w:rPr>
          <w:rFonts w:ascii="Times New Roman" w:hAnsi="Times New Roman"/>
          <w:sz w:val="20"/>
        </w:rPr>
      </w:pPr>
      <w:r>
        <w:rPr>
          <w:rFonts w:ascii="Times New Roman" w:hAnsi="Times New Roman"/>
          <w:sz w:val="20"/>
        </w:rPr>
        <w:t xml:space="preserve">The standard of care for uveitis is corticosteroids, which are administered as topical, intravitreal, periocular or oral depending on the location and severity of the disease. Active non-infectious uveitis is treated with topical corticosteroids. While topical corticosteroids have demonstrated clinical efficacy, their use is associated with a number of adverse ocular and systemic events. Topical ocular corticosteroid use is estimated to cause an increase in IOP of more than 15 mmHg among 4% and 6% of the general population and an increase of between 6 and 15 mmHg in up to one-third of users after daily application for four to six weeks. Persistent elevation in IOP may result in glaucoma, characterized by visual field loss and optic nerve damage, or the formation of cataracts. Incidence of cataract worsening or formation is related to total topical dose and duration. Based on multi-year studies with ocular corticosteroid implants, we estimate that approximately 31-47% more patients developed or experienced worsening of cataracts compared to control arms (sham implants or standard of care). </w:t>
      </w:r>
    </w:p>
    <w:p>
      <w:pPr>
        <w:pStyle w:val="TextBody"/>
        <w:bidi w:val="0"/>
        <w:spacing w:before="360" w:after="0"/>
        <w:jc w:val="left"/>
        <w:rPr>
          <w:rFonts w:ascii="Times New Roman" w:hAnsi="Times New Roman"/>
          <w:i/>
          <w:sz w:val="20"/>
        </w:rPr>
      </w:pPr>
      <w:r>
        <w:rPr>
          <w:rFonts w:ascii="Times New Roman" w:hAnsi="Times New Roman"/>
          <w:i/>
          <w:sz w:val="20"/>
        </w:rPr>
        <w:t xml:space="preserve">OCS-02 differentiated as a steroid-sparing treatment for anterior uveitis </w:t>
      </w:r>
    </w:p>
    <w:p>
      <w:pPr>
        <w:pStyle w:val="TextBody"/>
        <w:bidi w:val="0"/>
        <w:spacing w:before="120" w:after="0"/>
        <w:jc w:val="left"/>
        <w:rPr>
          <w:rFonts w:ascii="Times New Roman" w:hAnsi="Times New Roman"/>
          <w:sz w:val="20"/>
        </w:rPr>
      </w:pPr>
      <w:r>
        <w:rPr>
          <w:rFonts w:ascii="Times New Roman" w:hAnsi="Times New Roman"/>
          <w:sz w:val="20"/>
        </w:rPr>
        <w:t xml:space="preserve">Given the limitations related to longer-term steroid use in patients with recurrent or chronic uveitis, we believe OCS-02 has potential as a steroid-sparing treatment alternative. In November 2019, we commissioned a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report which involved interviews with 14 key opinion leaders, high volume practitioners of uveitis treatment (ophthalmologists and uveitis specialists) and payer experts. The results suggested that physicians are likely to be receptive to prescribing a topical, non-steroidal treatment after initial administration of a topical corticosteroid that may both shorten the duration of topical steroid use and obviate the potential need to advance patients to oral steroids. If approved, OCS-02 may also be appropriate for patients who demonstrate an inability to tolerate steroid treatment. </w:t>
      </w:r>
    </w:p>
    <w:p>
      <w:pPr>
        <w:pStyle w:val="TextBody"/>
        <w:bidi w:val="0"/>
        <w:spacing w:before="240" w:after="0"/>
        <w:jc w:val="left"/>
        <w:rPr>
          <w:rFonts w:ascii="Times New Roman" w:hAnsi="Times New Roman"/>
          <w:sz w:val="20"/>
        </w:rPr>
      </w:pPr>
      <w:r>
        <w:rPr>
          <w:rFonts w:ascii="Times New Roman" w:hAnsi="Times New Roman"/>
          <w:sz w:val="20"/>
        </w:rPr>
        <w:t xml:space="preserve">We estimate OCS-02 to address a patient segment of 129,000 patients with chronic or recurrent, anterior, non-infectious uveitis. </w:t>
      </w:r>
    </w:p>
    <w:p>
      <w:pPr>
        <w:pStyle w:val="TextBody"/>
        <w:bidi w:val="0"/>
        <w:spacing w:before="360" w:after="0"/>
        <w:jc w:val="left"/>
        <w:rPr>
          <w:rFonts w:ascii="Times New Roman" w:hAnsi="Times New Roman"/>
          <w:i/>
          <w:sz w:val="20"/>
        </w:rPr>
      </w:pPr>
      <w:r>
        <w:rPr>
          <w:rFonts w:ascii="Times New Roman" w:hAnsi="Times New Roman"/>
          <w:i/>
          <w:sz w:val="20"/>
        </w:rPr>
        <w:t xml:space="preserve">OCS-02 Phase 2 clinical trial results support its continued development as a potential treatment for non-infectious anterior uveitis </w:t>
      </w:r>
    </w:p>
    <w:p>
      <w:pPr>
        <w:pStyle w:val="TextBody"/>
        <w:bidi w:val="0"/>
        <w:spacing w:before="120" w:after="0"/>
        <w:jc w:val="left"/>
        <w:rPr>
          <w:rFonts w:ascii="Times New Roman" w:hAnsi="Times New Roman"/>
          <w:sz w:val="20"/>
        </w:rPr>
      </w:pPr>
      <w:r>
        <w:rPr>
          <w:rFonts w:ascii="Times New Roman" w:hAnsi="Times New Roman"/>
          <w:sz w:val="20"/>
        </w:rPr>
        <w:t>Novartis also conducted a Phase 2 clinical proof-of-concept trial to evaluate the use of OCS-02 as a potential treatment for acute anterior uveitis (</w:t>
      </w:r>
      <w:r>
        <w:rPr>
          <w:rFonts w:ascii="Times New Roman" w:hAnsi="Times New Roman"/>
          <w:i/>
          <w:sz w:val="20"/>
        </w:rPr>
        <w:t>AAU</w:t>
      </w:r>
      <w:r>
        <w:rPr>
          <w:rFonts w:ascii="Times New Roman" w:hAnsi="Times New Roman"/>
          <w:sz w:val="20"/>
        </w:rPr>
        <w:t xml:space="preserve">). This trial was a randomized, multi-center, double-masked, active controlled evaluation to assess the safety, tolerability and efficacy of OCS-02 administered for up to 21 days in resolving ocular inflammation in the anterior chamber associated with AAU. A 60 mg/ml ophthalmic solution of OCS-02 was administered to trial participants in the OCS-02 cohort and topical dexamethasone administered to patients in the active-control cohort. Trial participants received a maximum of eight drops daily per treated eye for the first two weeks with dosing tapered for the following two-week period. Response to treatment was defined as a reduction from baseline of 2 or more anterior chamber cell grades. </w:t>
      </w:r>
    </w:p>
    <w:p>
      <w:pPr>
        <w:pStyle w:val="TextBody"/>
        <w:bidi w:val="0"/>
        <w:spacing w:before="240" w:after="0"/>
        <w:jc w:val="left"/>
        <w:rPr>
          <w:rFonts w:ascii="Times New Roman" w:hAnsi="Times New Roman"/>
          <w:sz w:val="20"/>
        </w:rPr>
      </w:pPr>
      <w:r>
        <w:rPr>
          <w:rFonts w:ascii="Times New Roman" w:hAnsi="Times New Roman"/>
          <w:sz w:val="20"/>
        </w:rPr>
        <w:t xml:space="preserve">35 patients completed the trial, with 25 patients in the OCS-02 cohort and 10 patients in the active control cohort. OCS-02 achieved the primary endpoint established for the trial, which was a responder rate in excess of 30%. Among the 25 participants that completed the trial and were treated with OCS-02, 14 patients, or 56%, demonstrated a response to OCS-02 treatment at Day 22, specified as the proof-of-concept treatment period for the trial. In the trial, OCS-02 was observed to be well tolerated. No increase in IOP related to OCS-02 was observed, and no systemic adverse safety signals were observed. </w:t>
      </w:r>
    </w:p>
    <w:p>
      <w:pPr>
        <w:pStyle w:val="TextBody"/>
        <w:bidi w:val="0"/>
        <w:spacing w:before="360" w:after="0"/>
        <w:jc w:val="left"/>
        <w:rPr>
          <w:rFonts w:ascii="Times New Roman" w:hAnsi="Times New Roman"/>
          <w:i/>
          <w:sz w:val="20"/>
        </w:rPr>
      </w:pPr>
      <w:r>
        <w:rPr>
          <w:rFonts w:ascii="Times New Roman" w:hAnsi="Times New Roman"/>
          <w:i/>
          <w:sz w:val="20"/>
        </w:rPr>
        <w:t xml:space="preserve">OCS-02 as a treatment for non-infectious anterior uveitis is to be conducted into a Phase 2 trial </w:t>
      </w:r>
    </w:p>
    <w:p>
      <w:pPr>
        <w:pStyle w:val="TextBody"/>
        <w:bidi w:val="0"/>
        <w:spacing w:before="120" w:after="0"/>
        <w:jc w:val="left"/>
        <w:rPr>
          <w:rFonts w:ascii="Times New Roman" w:hAnsi="Times New Roman"/>
          <w:sz w:val="20"/>
        </w:rPr>
      </w:pPr>
      <w:r>
        <w:rPr>
          <w:rFonts w:ascii="Times New Roman" w:hAnsi="Times New Roman"/>
          <w:sz w:val="20"/>
        </w:rPr>
        <w:t xml:space="preserve">Given the encouraging results generated by OCS-02 in the Phase 2 clinical proof-of-concept trial, we intend to advance this clinical candidate into a Phase 2b trial for evaluation as a therapeutic for non-infectious chronic anterior uveitis with potential as a steroid-sparing alternative to the currently used drugs. Trial parameters to be incorporated into this clinical evaluation are in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OCS-05 </w:t>
      </w:r>
    </w:p>
    <w:p>
      <w:pPr>
        <w:pStyle w:val="TextBody"/>
        <w:bidi w:val="0"/>
        <w:spacing w:before="120" w:after="0"/>
        <w:jc w:val="left"/>
        <w:rPr>
          <w:rFonts w:ascii="Times New Roman" w:hAnsi="Times New Roman"/>
          <w:i/>
          <w:sz w:val="20"/>
        </w:rPr>
      </w:pPr>
      <w:r>
        <w:rPr>
          <w:rFonts w:ascii="Times New Roman" w:hAnsi="Times New Roman"/>
          <w:i/>
          <w:sz w:val="20"/>
          <w:u w:val="single"/>
        </w:rPr>
        <w:t>Key Program Highlights</w:t>
      </w:r>
      <w:r>
        <w:rPr>
          <w:rFonts w:ascii="Times New Roman" w:hAnsi="Times New Roman"/>
          <w:i/>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unique in treatment paradigm as disease modifying, neuroprotective drug,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of clinical benefit in AON may support assessment as potential therapeutic for glaucoma, geographic atrophy and diabetic retinopathy, among other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Advancing candidate in an ongoing Phase 2 clinical proof-of-concept trial in France to evaluate its safety and to explore its use as a treatment for AON.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Phase 1 study performed in the UK showing OCS-05 was well-tolerated in 48 healthy volunteers.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Oculis to continue to work with FDA to obtain IND in the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development candidates intended to modulate inflammatory conditions associated with ocular disease pathologies, we are also advancing OCS-05, a small molecule in development as a potential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modifying neuroprotective agent designed to address neurological damage to the optic nerve. We are initially developing OCS-05 as a potential therapeutic to treat AON. OCS-05 has been granted Orphan Drug Designation by both the FDA and the European Commission for this indication. OCS-05 has been studied in preclinical studies suggesting neuroprotective and remyelinating activity, as well as in a UK Phase 1 clinical trial (with 48 healthy volunteers) in which OCS-05 was well tolerated and showed pharmacokinetics (</w:t>
      </w:r>
      <w:r>
        <w:rPr>
          <w:rFonts w:ascii="Times New Roman" w:hAnsi="Times New Roman"/>
          <w:i/>
          <w:sz w:val="20"/>
        </w:rPr>
        <w:t>PK</w:t>
      </w:r>
      <w:r>
        <w:rPr>
          <w:rFonts w:ascii="Times New Roman" w:hAnsi="Times New Roman"/>
          <w:sz w:val="20"/>
        </w:rPr>
        <w:t>) with good correlation with its pre-clinical animal studies. We are currently studying OCS-05 in a proof-of-concept trial in AON in France. Should the clinical results of our AON trials prove sufficiently compelling, we intend to evaluate OCS-05 to treat other more pervasive neurological pathologies of the eye such as geographic atrophy, neurotrophic keratitis and glaucoma. We obtained an exclusive license, worldwide to develop OCS-05 through a licensing agreement we entered into with Accure Therapeutics SL (</w:t>
      </w:r>
      <w:r>
        <w:rPr>
          <w:rFonts w:ascii="Times New Roman" w:hAnsi="Times New Roman"/>
          <w:i/>
          <w:sz w:val="20"/>
        </w:rPr>
        <w:t>Accure</w:t>
      </w:r>
      <w:r>
        <w:rPr>
          <w:rFonts w:ascii="Times New Roman" w:hAnsi="Times New Roman"/>
          <w:sz w:val="20"/>
        </w:rPr>
        <w:t>), dated as of January 29, 2022 (Please see the section entitled </w:t>
      </w:r>
      <w:r>
        <w:rPr>
          <w:rFonts w:ascii="Times New Roman" w:hAnsi="Times New Roman"/>
          <w:i/>
          <w:sz w:val="20"/>
        </w:rPr>
        <w:t>Material Licenses, Partnerships and Collaborations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OCS-05 is a small molecule peptidomimetic that has a differentiated mechanism of action through the activation of SGK2 which is hypothesized as part of the neurotrophic factor signaling pathways that supports neuronal cell development, survival and repair, including oligodendrocyte precursor differentiation and myelination. Enzymes in the SGK2 family are recognized to regulate a range of fundamental cellular processes such as cellular proliferation and survival. SGK2 activation leads to an upregulation of signaling molecules forkhead box O3 (</w:t>
      </w:r>
      <w:r>
        <w:rPr>
          <w:rFonts w:ascii="Times New Roman" w:hAnsi="Times New Roman"/>
          <w:i/>
          <w:sz w:val="20"/>
        </w:rPr>
        <w:t>FOXO3</w:t>
      </w:r>
      <w:r>
        <w:rPr>
          <w:rFonts w:ascii="Times New Roman" w:hAnsi="Times New Roman"/>
          <w:sz w:val="20"/>
        </w:rPr>
        <w:t>), which reduces apoptosis, the downregulation of glycogen synthase kinase 3 beta (</w:t>
      </w:r>
      <w:r>
        <w:rPr>
          <w:rFonts w:ascii="Times New Roman" w:hAnsi="Times New Roman"/>
          <w:i/>
          <w:sz w:val="20"/>
        </w:rPr>
        <w:t>GSK3B</w:t>
      </w:r>
      <w:r>
        <w:rPr>
          <w:rFonts w:ascii="Times New Roman" w:hAnsi="Times New Roman"/>
          <w:sz w:val="20"/>
        </w:rPr>
        <w:t>), which improves anti-oxidation, and an upregulation of N-myc downstream-regulated gene 1(</w:t>
      </w:r>
      <w:r>
        <w:rPr>
          <w:rFonts w:ascii="Times New Roman" w:hAnsi="Times New Roman"/>
          <w:i/>
          <w:sz w:val="20"/>
        </w:rPr>
        <w:t>NDRG1</w:t>
      </w:r>
      <w:r>
        <w:rPr>
          <w:rFonts w:ascii="Times New Roman" w:hAnsi="Times New Roman"/>
          <w:sz w:val="20"/>
        </w:rPr>
        <w:t xml:space="preserve">) involved in oligodendrocyte development and differentiation. The potential disease modulating activity of OCS-05 may distinguish it as a neuroprotective SGK2 activator.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OCS-05 was placed on a clinical hold by the FDA in 2016 </w:t>
      </w:r>
    </w:p>
    <w:p>
      <w:pPr>
        <w:pStyle w:val="TextBody"/>
        <w:bidi w:val="0"/>
        <w:spacing w:before="120" w:after="0"/>
        <w:jc w:val="left"/>
        <w:rPr>
          <w:rFonts w:ascii="Times New Roman" w:hAnsi="Times New Roman"/>
          <w:sz w:val="20"/>
        </w:rPr>
      </w:pPr>
      <w:r>
        <w:rPr>
          <w:rFonts w:ascii="Times New Roman" w:hAnsi="Times New Roman"/>
          <w:sz w:val="20"/>
        </w:rPr>
        <w:t xml:space="preserve">Accure had conducted a limited set of animal regulatory toxicology studies in 2016 and submitted them to the FDA in an IND requesting the initiation of human testing. Upon review, the FDA found the data insufficient and asked for more animal toxicology data to be generated prior to human studies, thereby placing OCS-05 on the regulatory status of clinical hold pending the availability of the requested data. In response, Accure chose to withdraw the IND in 2017 rather than invest in further toxicology studies to address the FDAs request and pursue the development in the UK and France. Upon our license of OCS-05 from Accure in 2022, we reactivated the IND and plan to meet with the FDA in the first half of 2023 to agree on a comprehensive toxicology plan to satisfy the FDAs request. Other health authorities where clinical studies have been proposed, including the UK and France, have authorized us to commence clinical studies of selected doses and reinforced safety measures as in our European Phase 1 trial in AON.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OCS-05 for the treatment of acute optic neuritis </w:t>
      </w:r>
    </w:p>
    <w:p>
      <w:pPr>
        <w:pStyle w:val="TextBody"/>
        <w:bidi w:val="0"/>
        <w:spacing w:before="120" w:after="0"/>
        <w:jc w:val="left"/>
        <w:rPr>
          <w:rFonts w:ascii="Times New Roman" w:hAnsi="Times New Roman"/>
          <w:sz w:val="20"/>
        </w:rPr>
      </w:pPr>
      <w:r>
        <w:rPr>
          <w:rFonts w:ascii="Times New Roman" w:hAnsi="Times New Roman"/>
          <w:sz w:val="20"/>
        </w:rPr>
        <w:t>AON is an inflammation of the optic nerve that can cause the death of neurons, leading to vision impairment. A variety of infectious diseases, immune disorders, demyelinating disorders, non-inflammatory systemic disease or trauma can cause AON. AON is commonly associated with multiple sclerosis (</w:t>
      </w:r>
      <w:r>
        <w:rPr>
          <w:rFonts w:ascii="Times New Roman" w:hAnsi="Times New Roman"/>
          <w:i/>
          <w:sz w:val="20"/>
        </w:rPr>
        <w:t>MS</w:t>
      </w:r>
      <w:r>
        <w:rPr>
          <w:rFonts w:ascii="Times New Roman" w:hAnsi="Times New Roman"/>
          <w:sz w:val="20"/>
        </w:rPr>
        <w:t xml:space="preserve">) and shares similar physiopathology. AON is the presenting symptom of MS in 15-20% of patients and will impact over 50-65% of patients with MS at some time during their lifetime. However, the causes of AON are not always clear, as it can also arise in patients without MS. </w:t>
      </w:r>
    </w:p>
    <w:p>
      <w:pPr>
        <w:pStyle w:val="TextBody"/>
        <w:bidi w:val="0"/>
        <w:spacing w:before="240" w:after="0"/>
        <w:jc w:val="left"/>
        <w:rPr>
          <w:rFonts w:ascii="Times New Roman" w:hAnsi="Times New Roman"/>
          <w:sz w:val="20"/>
        </w:rPr>
      </w:pPr>
      <w:r>
        <w:rPr>
          <w:rFonts w:ascii="Times New Roman" w:hAnsi="Times New Roman"/>
          <w:sz w:val="20"/>
        </w:rPr>
        <w:t xml:space="preserve">The acute inflammation of the optic nerve causes the loss of myelin and oligodendrocytes, optic nerve conduction block and loss of vision. At the onset of AON, patients often suffer from ocular pain increasing with eye movement, associated with a variety of visual impairments. Deterioration of visual acuity, color vision or flashes of light are common. The loss of vision ranges considerably between patients from mild blurring to loss of perception of light. The condition tends to worsen over the first several days after the appearance of symptoms before starting to improve over the first two weeks. The recovery continues for as long as a year after onset. Even if high contrast visual acuity returns to near normal, patients often report that their vision has not completely recovered. There remains a persistent impairment of low contrast letter acuity and clinically meaningful reduction in vision-related quality of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When the inflammation recedes, remyelination often occurs but it is incomplete, the result of persistent demyelination and neuronal death. Without the myelin sheath which normally protects the axon, neurons located in demyelinated segments become fragile and prone to death. Thinning of the retinal neural fiber layer (</w:t>
      </w:r>
      <w:r>
        <w:rPr>
          <w:rFonts w:ascii="Times New Roman" w:hAnsi="Times New Roman"/>
          <w:i/>
          <w:sz w:val="20"/>
        </w:rPr>
        <w:t>RNFL</w:t>
      </w:r>
      <w:r>
        <w:rPr>
          <w:rFonts w:ascii="Times New Roman" w:hAnsi="Times New Roman"/>
          <w:sz w:val="20"/>
        </w:rPr>
        <w:t>), which is made up of unmyelinated axons originating from the retinal ganglion cell (</w:t>
      </w:r>
      <w:r>
        <w:rPr>
          <w:rFonts w:ascii="Times New Roman" w:hAnsi="Times New Roman"/>
          <w:i/>
          <w:sz w:val="20"/>
        </w:rPr>
        <w:t>RGC</w:t>
      </w:r>
      <w:r>
        <w:rPr>
          <w:rFonts w:ascii="Times New Roman" w:hAnsi="Times New Roman"/>
          <w:sz w:val="20"/>
        </w:rPr>
        <w:t xml:space="preserve">) bodies, indicates significant AON-induced axonal loss. RNFL thinning, most pronounced three to six months after an acute AON event, along with thinning of the ganglion cell bodies layer, correlates with diminished scores of visual acuity and visual field sensitivity. </w:t>
      </w:r>
    </w:p>
    <w:p>
      <w:pPr>
        <w:pStyle w:val="TextBody"/>
        <w:bidi w:val="0"/>
        <w:spacing w:before="240" w:after="0"/>
        <w:jc w:val="left"/>
        <w:rPr>
          <w:rFonts w:ascii="Times New Roman" w:hAnsi="Times New Roman"/>
          <w:sz w:val="20"/>
        </w:rPr>
      </w:pPr>
      <w:r>
        <w:rPr>
          <w:rFonts w:ascii="Times New Roman" w:hAnsi="Times New Roman"/>
          <w:sz w:val="20"/>
        </w:rPr>
        <w:t xml:space="preserve">No therapeutic is currently approved that preserves vision and ganglion/retinal nerve integrity after an acute episode of AON. Medication intended to treat the inflammation and related symptoms can be administered just after AON onset and patients often receive high doses of corticosteroids for a few days to alleviate disabling vision-related symptoms caused by the inflammation. Corticosteroids have become the current standard of care, as the therapy acts to shorten the attack and accelerate recovery of acute visual symptoms. However, vision loss persists in 10% to 20% of patients despite administration of IOP lowering therapy. We believe a neuroprotective therapeutic, such as OCS-05, if approved, could prevent long term axonal loss may promote enhanced clinical outcomes. </w:t>
      </w:r>
    </w:p>
    <w:p>
      <w:pPr>
        <w:pStyle w:val="TextBody"/>
        <w:bidi w:val="0"/>
        <w:spacing w:before="360" w:after="0"/>
        <w:jc w:val="left"/>
        <w:rPr>
          <w:rFonts w:ascii="Times New Roman" w:hAnsi="Times New Roman"/>
          <w:i/>
          <w:sz w:val="20"/>
        </w:rPr>
      </w:pPr>
      <w:r>
        <w:rPr>
          <w:rFonts w:ascii="Times New Roman" w:hAnsi="Times New Roman"/>
          <w:i/>
          <w:sz w:val="20"/>
        </w:rPr>
        <w:t xml:space="preserve">OCS-05 demonstrated compelling neuroprotective qualities in an animal model of AON </w:t>
      </w:r>
    </w:p>
    <w:p>
      <w:pPr>
        <w:pStyle w:val="TextBody"/>
        <w:bidi w:val="0"/>
        <w:spacing w:before="120" w:after="0"/>
        <w:jc w:val="left"/>
        <w:rPr>
          <w:rFonts w:ascii="Times New Roman" w:hAnsi="Times New Roman"/>
          <w:sz w:val="20"/>
        </w:rPr>
      </w:pPr>
      <w:r>
        <w:rPr>
          <w:rFonts w:ascii="Times New Roman" w:hAnsi="Times New Roman"/>
          <w:sz w:val="20"/>
        </w:rPr>
        <w:t xml:space="preserve">In a rat model of AON, animals were segregated into four groups. The first group of healthy animals represented a sham control. Three additional groups received lysolecithin via injection into the optic nerve of study animals to induce inflammation and demyelination. Rats in group two received no treatment and served as a pathological control group. Groups three and four were administered OCS-05 once daily over a five-day period. Animals in group three received a 35 mg/kg dose of OCS-05 while animals in the fourth group received a dose of 70 mg/kg. The animals were sacrificed on the sixth day and assessed for a decline in RGC count. </w:t>
      </w:r>
    </w:p>
    <w:p>
      <w:pPr>
        <w:pStyle w:val="TextBody"/>
        <w:bidi w:val="0"/>
        <w:spacing w:before="240" w:after="0"/>
        <w:jc w:val="left"/>
        <w:rPr>
          <w:rFonts w:ascii="Times New Roman" w:hAnsi="Times New Roman"/>
          <w:sz w:val="20"/>
        </w:rPr>
      </w:pPr>
      <w:r>
        <w:rPr>
          <w:rFonts w:ascii="Times New Roman" w:hAnsi="Times New Roman"/>
          <w:sz w:val="20"/>
        </w:rPr>
        <w:t xml:space="preserve">As is noted in the results presented below, both groups of animals that received OCS-05 generated a statistically significant reduction in RGC loss when administered following the lysolecithin challenge, with rats administered the 35 mg/kg dose of OCS-05 demonstrating a 35.9% mean reduction of RGC loss. Animals in the higher dose treatment group who received a 70 mg/kg dose of OCS-05 displayed a more profound benefit from OCS-05 dosing, with RGC loss declining 64.0%.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RGC loss in animals treated with OCS-05 was significantly reduced in an animal model of AON.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046095" cy="21316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046095" cy="213169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reduction in RGC loss was also observed in a visual assessment of representative tissue samples collected from animals in three of the four study groups, the sham control group, the pathological control group and rats treated with the higher 70 mg/kg dose of OCS-05. As is depicted in the slides of the optic nerve presented below, normal ganglion cell density was observed in the evaluation of tissue taken from a healthy animal in the sham control group. In contrast, cell counts taken from samples of rats included the lysolecithin challenge group that made up the pathological control witnessed a prominent decrease. After completion of the five-day protocol, this decline was noted to have reversed, with rats who received the 70 mg/kg dose of OCS-05 observed to have retained a significantly higher number of ganglion cells. Similar results illustrating a reduction in axonal loss and demyelination, along with improvement in clinical function, have been achieved in animal models of AON. </w:t>
      </w:r>
    </w:p>
    <w:p>
      <w:pPr>
        <w:pStyle w:val="TextBody"/>
        <w:bidi w:val="0"/>
        <w:spacing w:before="240" w:after="0"/>
        <w:jc w:val="center"/>
        <w:rPr>
          <w:rFonts w:ascii="Times New Roman" w:hAnsi="Times New Roman"/>
          <w:i/>
          <w:sz w:val="20"/>
        </w:rPr>
      </w:pPr>
      <w:r>
        <w:rPr>
          <w:rFonts w:ascii="Times New Roman" w:hAnsi="Times New Roman"/>
          <w:i/>
          <w:sz w:val="20"/>
        </w:rPr>
        <w:t xml:space="preserve">OCS-05 was seen to bolster ganglion cell counts after lysolecithin challenge.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0780" cy="111823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700780" cy="1118235"/>
                    </a:xfrm>
                    <a:prstGeom prst="rect">
                      <a:avLst/>
                    </a:prstGeom>
                  </pic:spPr>
                </pic:pic>
              </a:graphicData>
            </a:graphic>
          </wp:inline>
        </w:drawing>
      </w:r>
      <w:r>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OCS-05 was well tolerated in a trial involving healthy volunteers. </w:t>
      </w:r>
    </w:p>
    <w:p>
      <w:pPr>
        <w:pStyle w:val="TextBody"/>
        <w:bidi w:val="0"/>
        <w:spacing w:before="120" w:after="0"/>
        <w:jc w:val="left"/>
        <w:rPr>
          <w:rFonts w:ascii="Times New Roman" w:hAnsi="Times New Roman"/>
          <w:sz w:val="20"/>
        </w:rPr>
      </w:pPr>
      <w:r>
        <w:rPr>
          <w:rFonts w:ascii="Times New Roman" w:hAnsi="Times New Roman"/>
          <w:sz w:val="20"/>
        </w:rPr>
        <w:t xml:space="preserve">A randomized, double-masked, placebo controlled single-ascending dose and multiple-ascending dose trial was conducted in the United Kingdom to evaluate the safety, tolerability and PK and pharmacodynamics of OCS-05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dosing through the intravenous infusion of healthy volunteers with the drug candidate. This trial was designed to include four interlocking cohorts of eight adult subjects each to evaluate eight single ascending doses, with an additional two cohorts of eight adult subjects each included in the two multiple ascending dose trials. The single ascending dose cohorts were administered drug in doses ranging from .05 mg/kg to 3.2 mg/kg. The two cohorts in the multiple ascending dose trial received either a 2.4 mg/kg dose or a 3.0 mg/kg dose, once daily, for five consecutive days. In this trial, it was observed that OCS-05 was well tolerated with no serious AEs noted. Human PK data produced by this trial showed good correlation with data produced in animal studies of the compound. This trial was conducted under a clinical trial protocol approved by European regulatory authorities. </w:t>
      </w:r>
    </w:p>
    <w:p>
      <w:pPr>
        <w:pStyle w:val="TextBody"/>
        <w:bidi w:val="0"/>
        <w:spacing w:before="360" w:after="0"/>
        <w:jc w:val="left"/>
        <w:rPr>
          <w:rFonts w:ascii="Times New Roman" w:hAnsi="Times New Roman"/>
          <w:i/>
          <w:sz w:val="20"/>
        </w:rPr>
      </w:pPr>
      <w:r>
        <w:rPr>
          <w:rFonts w:ascii="Times New Roman" w:hAnsi="Times New Roman"/>
          <w:i/>
          <w:sz w:val="20"/>
        </w:rPr>
        <w:t xml:space="preserve">We are investigating OCS-05 as a treatment for AON in a First-in-Patient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prior clinical and preclinical trials of OCS-05 in promoting disease modifying effects, together with the safety and PK profile observed in this first-in-human clinical trial enabled us to advance the compound into a First-in-Patient clinical proof-of-concept trial. The </w:t>
      </w:r>
      <w:r>
        <w:rPr>
          <w:rFonts w:ascii="Times New Roman" w:hAnsi="Times New Roman"/>
          <w:b/>
          <w:sz w:val="20"/>
        </w:rPr>
        <w:t>A</w:t>
      </w:r>
      <w:r>
        <w:rPr>
          <w:rFonts w:ascii="Times New Roman" w:hAnsi="Times New Roman"/>
          <w:sz w:val="20"/>
        </w:rPr>
        <w:t>cute Opti</w:t>
      </w:r>
      <w:r>
        <w:rPr>
          <w:rFonts w:ascii="Times New Roman" w:hAnsi="Times New Roman"/>
          <w:b/>
          <w:sz w:val="20"/>
        </w:rPr>
        <w:t xml:space="preserve">C </w:t>
      </w:r>
      <w:r>
        <w:rPr>
          <w:rFonts w:ascii="Times New Roman" w:hAnsi="Times New Roman"/>
          <w:sz w:val="20"/>
        </w:rPr>
        <w:t>Ne</w:t>
      </w:r>
      <w:r>
        <w:rPr>
          <w:rFonts w:ascii="Times New Roman" w:hAnsi="Times New Roman"/>
          <w:b/>
          <w:sz w:val="20"/>
        </w:rPr>
        <w:t>U</w:t>
      </w:r>
      <w:r>
        <w:rPr>
          <w:rFonts w:ascii="Times New Roman" w:hAnsi="Times New Roman"/>
          <w:sz w:val="20"/>
        </w:rPr>
        <w:t>r</w:t>
      </w:r>
      <w:r>
        <w:rPr>
          <w:rFonts w:ascii="Times New Roman" w:hAnsi="Times New Roman"/>
          <w:b/>
          <w:sz w:val="20"/>
        </w:rPr>
        <w:t>IT</w:t>
      </w:r>
      <w:r>
        <w:rPr>
          <w:rFonts w:ascii="Times New Roman" w:hAnsi="Times New Roman"/>
          <w:sz w:val="20"/>
        </w:rPr>
        <w:t>is of Dem</w:t>
      </w:r>
      <w:r>
        <w:rPr>
          <w:rFonts w:ascii="Times New Roman" w:hAnsi="Times New Roman"/>
          <w:b/>
          <w:sz w:val="20"/>
        </w:rPr>
        <w:t>Y</w:t>
      </w:r>
      <w:r>
        <w:rPr>
          <w:rFonts w:ascii="Times New Roman" w:hAnsi="Times New Roman"/>
          <w:sz w:val="20"/>
        </w:rPr>
        <w:t>elinating Origin (</w:t>
      </w:r>
      <w:r>
        <w:rPr>
          <w:rFonts w:ascii="Times New Roman" w:hAnsi="Times New Roman"/>
          <w:i/>
          <w:sz w:val="20"/>
        </w:rPr>
        <w:t>ACUITY</w:t>
      </w:r>
      <w:r>
        <w:rPr>
          <w:rFonts w:ascii="Times New Roman" w:hAnsi="Times New Roman"/>
          <w:sz w:val="20"/>
        </w:rPr>
        <w:t xml:space="preserve">) trial, a randomized, double-masked, placebo controlled, multiple center trial, is a First-in-Patient trial enrolling patients diagnosed with AON within ten days of acute disease episode onset. The objective of this study is to assess the safety and tolerability of OCS-05 along with initial signs of efficacy. In addition to the trials primary safety endpoint, a key secondary endpoint will be the effect of OCS-05 on retinal layer thickness and other visual parameters in the affected eye. The study is currently being conducted in France under French regulatory guidance.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positive outcomes in this trial could support the compounds possible development as a potential treatment in other ophthalmic conditions involving the posterior segment including glaucoma, geographic atrophy, DR as well as certain diseases of the anterior segment including corneal keratitis. The novel mechanism of action of OCS-05 may enable it to demonstrate benefit in treating these additional ocular conditions and may additionally allow its development in non-ocular neurological disorders involving neuronal inflammation such as MS. </w:t>
      </w:r>
    </w:p>
    <w:p>
      <w:pPr>
        <w:pStyle w:val="TextBody"/>
        <w:bidi w:val="0"/>
        <w:spacing w:before="240" w:after="0"/>
        <w:jc w:val="left"/>
        <w:rPr>
          <w:rFonts w:ascii="Times New Roman" w:hAnsi="Times New Roman"/>
          <w:sz w:val="20"/>
        </w:rPr>
      </w:pPr>
      <w:r>
        <w:rPr>
          <w:rFonts w:ascii="Times New Roman" w:hAnsi="Times New Roman"/>
          <w:sz w:val="20"/>
        </w:rPr>
        <w:t>In 2016, the OCS-05 development program was placed on clinical hold by the FDA related to the absence of no observed adverse effects levels (</w:t>
      </w:r>
      <w:r>
        <w:rPr>
          <w:rFonts w:ascii="Times New Roman" w:hAnsi="Times New Roman"/>
          <w:i/>
          <w:sz w:val="20"/>
        </w:rPr>
        <w:t>NOAEL</w:t>
      </w:r>
      <w:r>
        <w:rPr>
          <w:rFonts w:ascii="Times New Roman" w:hAnsi="Times New Roman"/>
          <w:sz w:val="20"/>
        </w:rPr>
        <w:t>), in prior preclinical studies conducted by the sponsor at that time. After we licensed the asset from Accure, our strategy has included plans to work with DFS to complete the additional studies required to establish NOAEL, in order to enable our submission of an investigational new drug (</w:t>
      </w:r>
      <w:r>
        <w:rPr>
          <w:rFonts w:ascii="Times New Roman" w:hAnsi="Times New Roman"/>
          <w:i/>
          <w:sz w:val="20"/>
        </w:rPr>
        <w:t>IND</w:t>
      </w:r>
      <w:r>
        <w:rPr>
          <w:rFonts w:ascii="Times New Roman" w:hAnsi="Times New Roman"/>
          <w:sz w:val="20"/>
        </w:rPr>
        <w:t xml:space="preserve">) application with the FDA. </w:t>
      </w:r>
    </w:p>
    <w:p>
      <w:pPr>
        <w:pStyle w:val="TextBody"/>
        <w:bidi w:val="0"/>
        <w:spacing w:before="360" w:after="0"/>
        <w:jc w:val="left"/>
        <w:rPr>
          <w:rFonts w:ascii="Times New Roman" w:hAnsi="Times New Roman"/>
          <w:i/>
          <w:sz w:val="20"/>
        </w:rPr>
      </w:pPr>
      <w:r>
        <w:rPr>
          <w:rFonts w:ascii="Times New Roman" w:hAnsi="Times New Roman"/>
          <w:i/>
          <w:sz w:val="20"/>
        </w:rPr>
        <w:t xml:space="preserve">We are planning to investigate OCS-05s potential as a treatment for Neurotrophic Keratitis and should the outcome of the AON trial be positive, we will also evaluate the potential as a treatment for neuro-ophthalmology diseases such as Glaucoma. </w:t>
      </w:r>
    </w:p>
    <w:p>
      <w:pPr>
        <w:pStyle w:val="TextBody"/>
        <w:bidi w:val="0"/>
        <w:spacing w:before="120" w:after="0"/>
        <w:jc w:val="left"/>
        <w:rPr>
          <w:rFonts w:ascii="Times New Roman" w:hAnsi="Times New Roman"/>
          <w:sz w:val="20"/>
        </w:rPr>
      </w:pPr>
      <w:r>
        <w:rPr>
          <w:rFonts w:ascii="Times New Roman" w:hAnsi="Times New Roman"/>
          <w:sz w:val="20"/>
        </w:rPr>
        <w:t>Preclinical studies of OCS-05 in a model of glaucoma in Sprague rats showed results which support its potential to be developed as a treatment for glaucoma. In these two experiments, high intraocular pressure was induced in rats by injecting hypertonic saline solution into the episcleral vein of one eye of each rat, and then the rats were treated for six weeks. In one experiment, rats in the active group were treated with OCS-05 as an eye drop twice daily for six weeks, rats in the positive control group received nerve growth factor (</w:t>
      </w:r>
      <w:r>
        <w:rPr>
          <w:rFonts w:ascii="Times New Roman" w:hAnsi="Times New Roman"/>
          <w:i/>
          <w:sz w:val="20"/>
        </w:rPr>
        <w:t>NGF</w:t>
      </w:r>
      <w:r>
        <w:rPr>
          <w:rFonts w:ascii="Times New Roman" w:hAnsi="Times New Roman"/>
          <w:sz w:val="20"/>
        </w:rPr>
        <w:t>), and rats in the control group received placebo of saline 5% dimethyl sulfoxide (</w:t>
      </w:r>
      <w:r>
        <w:rPr>
          <w:rFonts w:ascii="Times New Roman" w:hAnsi="Times New Roman"/>
          <w:i/>
          <w:sz w:val="20"/>
        </w:rPr>
        <w:t>DMSO</w:t>
      </w:r>
      <w:r>
        <w:rPr>
          <w:rFonts w:ascii="Times New Roman" w:hAnsi="Times New Roman"/>
          <w:sz w:val="20"/>
        </w:rPr>
        <w:t>). In the other experiment, rats in the active group were treated with OCS-05 as an intravitreal injection once every two weeks, for six weeks, and rats in the control group received placebo of saline 5% DMSO. Retinal ganglion cells (</w:t>
      </w:r>
      <w:r>
        <w:rPr>
          <w:rFonts w:ascii="Times New Roman" w:hAnsi="Times New Roman"/>
          <w:i/>
          <w:sz w:val="20"/>
        </w:rPr>
        <w:t>RGCs</w:t>
      </w:r>
      <w:r>
        <w:rPr>
          <w:rFonts w:ascii="Times New Roman" w:hAnsi="Times New Roman"/>
          <w:sz w:val="20"/>
        </w:rPr>
        <w:t>) count was measured via haematoxylin and eosin stain (</w:t>
      </w:r>
      <w:r>
        <w:rPr>
          <w:rFonts w:ascii="Times New Roman" w:hAnsi="Times New Roman"/>
          <w:i/>
          <w:sz w:val="20"/>
        </w:rPr>
        <w:t>H &amp; E</w:t>
      </w:r>
      <w:r>
        <w:rPr>
          <w:rFonts w:ascii="Times New Roman" w:hAnsi="Times New Roman"/>
          <w:sz w:val="20"/>
        </w:rPr>
        <w:t xml:space="preserve">) histological quantification, and IOP was also measured. </w:t>
      </w:r>
    </w:p>
    <w:p>
      <w:pPr>
        <w:pStyle w:val="TextBody"/>
        <w:bidi w:val="0"/>
        <w:spacing w:before="240" w:after="0"/>
        <w:jc w:val="left"/>
        <w:rPr>
          <w:rFonts w:ascii="Times New Roman" w:hAnsi="Times New Roman"/>
          <w:sz w:val="20"/>
        </w:rPr>
      </w:pPr>
      <w:r>
        <w:rPr>
          <w:rFonts w:ascii="Times New Roman" w:hAnsi="Times New Roman"/>
          <w:sz w:val="20"/>
        </w:rPr>
        <w:t xml:space="preserve">Sprague rats displayed significant loss of RGCs one month after the induction of ocular hypertension. In animals treated with OCS-05, either as eye drops or through intravitreal injection, there were statistically significant increases in RGCs surviving compared with those that received the placebo. In the experiment which included a positive control of NGF, OCS-05 treatment showed a similar effect to that seen with NGF. In addition, IOP did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significantly decrease with administration of OCS-05. We believe this data suggests that OCS-05 may promote neuronal survival in this animal model of glaucoma via neuroprotection (and not by reversing the induced ocular hypertension).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7130" cy="163131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707130" cy="16313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OCS-05 (eyedrops and intravitreal) prevents RGCs damage without reducing intraocular pressure </w:t>
      </w:r>
    </w:p>
    <w:p>
      <w:pPr>
        <w:pStyle w:val="TextBody"/>
        <w:bidi w:val="0"/>
        <w:spacing w:before="240" w:after="0"/>
        <w:jc w:val="left"/>
        <w:rPr>
          <w:rFonts w:ascii="Times New Roman" w:hAnsi="Times New Roman"/>
          <w:sz w:val="20"/>
        </w:rPr>
      </w:pPr>
      <w:r>
        <w:rPr>
          <w:rFonts w:ascii="Times New Roman" w:hAnsi="Times New Roman"/>
          <w:sz w:val="20"/>
        </w:rPr>
        <w:t xml:space="preserve">Given the results from these preclinical studies, we plan to further study OCS-05, and if results from our ACUITY trial in AON further support OCS-05s potential as a neuroprotective compound, we may prepare for and initiate clinical development of OCS-05 in glaucoma. Glaucoma represents a large market, and we are not currently aware of the existence of any other compound in a similar or more advanced stage of development as a neuroprotective drug for glaucoma. </w:t>
      </w:r>
    </w:p>
    <w:p>
      <w:pPr>
        <w:pStyle w:val="TextBody"/>
        <w:bidi w:val="0"/>
        <w:spacing w:before="240" w:after="0"/>
        <w:jc w:val="left"/>
        <w:rPr>
          <w:rFonts w:ascii="Times New Roman" w:hAnsi="Times New Roman"/>
          <w:sz w:val="20"/>
        </w:rPr>
      </w:pPr>
      <w:r>
        <w:rPr>
          <w:rFonts w:ascii="Times New Roman" w:hAnsi="Times New Roman"/>
          <w:sz w:val="20"/>
        </w:rPr>
        <w:t>Additionally, we also plan to further study OCS-05 for its potential to enter clinical development as a treatment for neurotrophic keratitis (</w:t>
      </w:r>
      <w:r>
        <w:rPr>
          <w:rFonts w:ascii="Times New Roman" w:hAnsi="Times New Roman"/>
          <w:i/>
          <w:sz w:val="20"/>
        </w:rPr>
        <w:t>NK</w:t>
      </w:r>
      <w:r>
        <w:rPr>
          <w:rFonts w:ascii="Times New Roman" w:hAnsi="Times New Roman"/>
          <w:sz w:val="20"/>
        </w:rPr>
        <w:t>). NK is a rare eye disorder which results from damage or loss of function of nerves which innervate the cornea, which can lead to corneal perforation, corneal scarring, corneal melting, loss of vision, or loss of the eye. In 2018, the FDA approved the NGF drug cenergermin (</w:t>
      </w:r>
      <w:r>
        <w:rPr>
          <w:rFonts w:ascii="Times New Roman" w:hAnsi="Times New Roman"/>
          <w:i/>
          <w:sz w:val="20"/>
        </w:rPr>
        <w:t>Oxervate</w:t>
      </w:r>
      <w:r>
        <w:rPr>
          <w:rFonts w:ascii="Times New Roman" w:hAnsi="Times New Roman"/>
          <w:sz w:val="20"/>
        </w:rPr>
        <w:t xml:space="preserve">) to treat NK. However, Oxervate may be cost prohibitive for patients and payors, as ASCRS Eyeworld estimated in 2020 that Oxervate costs $11,000 per week for an 8-week treatment course for NK. </w:t>
      </w:r>
    </w:p>
    <w:p>
      <w:pPr>
        <w:pStyle w:val="TextBody"/>
        <w:bidi w:val="0"/>
        <w:spacing w:before="240" w:after="0"/>
        <w:jc w:val="left"/>
        <w:rPr>
          <w:rFonts w:ascii="Times New Roman" w:hAnsi="Times New Roman"/>
          <w:sz w:val="20"/>
        </w:rPr>
      </w:pPr>
      <w:r>
        <w:rPr>
          <w:rFonts w:ascii="Times New Roman" w:hAnsi="Times New Roman"/>
          <w:sz w:val="20"/>
        </w:rPr>
        <w:t xml:space="preserve">Given that preclinical studies of OCS-05 have shown data suggesting that the OCS-05 could provide neuroprotective benefits, we believe it may have potential to treat the nerve impairment underlying NK. If results from our ACUITY trial in AON further support OCS-05s potential as a neuroprotective compound, we may prepare for and initiate clinical development of OCS-05 in NK. We are currently not aware of the existence any other drugs except for Oxervate which are approved or in a similar or more advanced stage of development as a treatment for NK.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conducting formulation studies to develop a topical formulation of OCS-05 which can be used in further preclinical or in clinical development of OCS-05 in glaucoma or in NK.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Discovery Initiatives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five clinical development programs involving OCS-01, OCS-02 and OCS-05, we also are engaged in a number of earlier preclinical development initiatives, including the evaluation of OCS-03 as a possible treatment for corneal neovascularization, a common disorder caused by the aberrant development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blood vessels into the cornea and pterygium, a pink colored growth that originates in the conjunctiva. We are also assessing the preclinical candidate OCS-04 as a potential therapeutic to prevent rejection in patients receiving corneal transplants.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Licenses, Partnerships and Collaborations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License Agreement with Novartis for OCS-02 </w:t>
      </w:r>
    </w:p>
    <w:p>
      <w:pPr>
        <w:pStyle w:val="TextBody"/>
        <w:bidi w:val="0"/>
        <w:spacing w:before="120" w:after="0"/>
        <w:jc w:val="left"/>
        <w:rPr>
          <w:rFonts w:ascii="Times New Roman" w:hAnsi="Times New Roman"/>
          <w:sz w:val="20"/>
        </w:rPr>
      </w:pPr>
      <w:r>
        <w:rPr>
          <w:rFonts w:ascii="Times New Roman" w:hAnsi="Times New Roman"/>
          <w:sz w:val="20"/>
        </w:rPr>
        <w:t>Pursuant to a license agreement, dated as of December 19, 2018, as amended, by and between us and Novartis (the </w:t>
      </w:r>
      <w:r>
        <w:rPr>
          <w:rFonts w:ascii="Times New Roman" w:hAnsi="Times New Roman"/>
          <w:i/>
          <w:sz w:val="20"/>
        </w:rPr>
        <w:t>Novartis Agreement</w:t>
      </w:r>
      <w:r>
        <w:rPr>
          <w:rFonts w:ascii="Times New Roman" w:hAnsi="Times New Roman"/>
          <w:sz w:val="20"/>
        </w:rPr>
        <w:t xml:space="preserve">), we obtained an exclusive, royalty-bearing, sublicensable (subject to certain conditions), assignable (subject to certain conditions), worldwide license under certain patents, know-how and manufacturing platform technology to develop, manufacture and commercialize pharmaceutical, therapeutic or diagnostic products containing a specified single chain antibody fragment formulation as an active ingredient in the licensed field as defined in the Novartis Agreement. The license granted to us by Novartis includes sublicenses of rights granted to Novartis by certain third parties, and our license to such rights is expressly subject to the applicable terms and conditions of the agreements between Novartis and such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are deemed the owner of any inventions that are (a) created solely by or on behalf of us pursuant to the Novartis Agreement and (b) severable from the licensed products, and grant Novartis a first right to negotiate a worldwide, royalty-bearing license under any patents directed at such inventions for purposes outside of the licensed field. We also grant Novartis a worldwide, non-exclusive, perpetual, irrevocable, royalty-free, fully paid-up license back under any patents owned by us that (i) cover inventions arising from the Novartis Agreement, the practice of which would infringe the patents licensed to us by Novartis, or (ii) otherwise incorporate Novartis proprietary information, in each case, for certain uses outside of the licensed field. </w:t>
      </w:r>
    </w:p>
    <w:p>
      <w:pPr>
        <w:pStyle w:val="TextBody"/>
        <w:bidi w:val="0"/>
        <w:spacing w:before="240" w:after="0"/>
        <w:jc w:val="left"/>
        <w:rPr>
          <w:rFonts w:ascii="Times New Roman" w:hAnsi="Times New Roman"/>
          <w:sz w:val="20"/>
        </w:rPr>
      </w:pPr>
      <w:r>
        <w:rPr>
          <w:rFonts w:ascii="Times New Roman" w:hAnsi="Times New Roman"/>
          <w:sz w:val="20"/>
        </w:rPr>
        <w:t>We made an initial payment to Alcon of CHF 4.7 million ($4.7 million at the exchange rate at the time of payment) in cash. We originally entered into the Novartis Agreement with Alcon Research, Ltd. (</w:t>
      </w:r>
      <w:r>
        <w:rPr>
          <w:rFonts w:ascii="Times New Roman" w:hAnsi="Times New Roman"/>
          <w:i/>
          <w:sz w:val="20"/>
        </w:rPr>
        <w:t>Alcon</w:t>
      </w:r>
      <w:r>
        <w:rPr>
          <w:rFonts w:ascii="Times New Roman" w:hAnsi="Times New Roman"/>
          <w:sz w:val="20"/>
        </w:rPr>
        <w:t>), which subsequently assigned its rights and obligations under the Novartis Agreement to Novartis in connection with Alcons spin-off from Novartis. As of December 31, 2022, we were obligated to pay Novartis additional payments of up to CHF 89.7 million ($97.0 million at the December 31, 2022 exchange rate) in the aggregate upon the achievement of certain development, regulatory, sales and other milestones and tiered royalties ranging from a mid-single digit to a mid-teen percentage on net sales. In consideration for the exclusive sublicense from Novartis under certain third-party intellectual property rights, we are obligated to pay a low-single digit royalty on our net sales of the licensed product, however, such payments will be deducted from royalties payable to Novartis. Our royalty payment obligations are subject to certain reductions and expire with respect to any licensed product on a country-by-country basis upon the later of (a) the expiration of the last to expire valid claim of any licensed patent covering any such licensed product in such country; (b) the expiration of the period of data exclusivity in any country worldwide; or (c) twelve (12) years after first commercial sale of such licensed product in such country (</w:t>
      </w:r>
      <w:r>
        <w:rPr>
          <w:rFonts w:ascii="Times New Roman" w:hAnsi="Times New Roman"/>
          <w:i/>
          <w:sz w:val="20"/>
        </w:rPr>
        <w:t>Royalty 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Novartis Agreement, we are obligated to use diligent efforts to develop, manufacture or have manufactured, and commercialize the licensed products in the licensed field worldwide. The Novartis Agreement will expire upon the last-to-expire Royalty Term. We may terminate the Novartis Agreement without cause at any time upon advance written notice to Novartis. Upon written notice to Novartis, we may terminate the Novartis Agreement for cause due to the following events: (a) an insolvency event occurs; (b) Novartis materially breaches its obligations under the Novartis Agreement and fails to cure such breach within a specified period of time; or (c) upon advance written notice for material scientific, technical or medical reasons or in case of a material adverse change that renders further continuation of the Novartis Agreement by us commercially unreasonable or otherwise not viable. Upon written notice to us, Novartis may terminate the Novartis Agreement for cause due to the following events: (i) we fail to pay any undisputed amount due under the Novartis Agreement and we fail to remedy such failure within a specified period of time; (ii) an insolvency event occurs; (iii) we materially breach our obligations under the Novartis Agreement and fail to cure such breach within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period of time; or (iv) following negative clinical trial results, we terminate development of the licensed product and do not pursue any further indications in the licensed field.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Accure for OCS-05 </w:t>
      </w:r>
    </w:p>
    <w:p>
      <w:pPr>
        <w:pStyle w:val="TextBody"/>
        <w:bidi w:val="0"/>
        <w:spacing w:before="120" w:after="0"/>
        <w:jc w:val="left"/>
        <w:rPr>
          <w:rFonts w:ascii="Times New Roman" w:hAnsi="Times New Roman"/>
          <w:sz w:val="20"/>
        </w:rPr>
      </w:pPr>
      <w:r>
        <w:rPr>
          <w:rFonts w:ascii="Times New Roman" w:hAnsi="Times New Roman"/>
          <w:sz w:val="20"/>
        </w:rPr>
        <w:t>Pursuant to a license agreement, dated as of January 29, 2022, by and between us and Accure (the </w:t>
      </w:r>
      <w:r>
        <w:rPr>
          <w:rFonts w:ascii="Times New Roman" w:hAnsi="Times New Roman"/>
          <w:i/>
          <w:sz w:val="20"/>
        </w:rPr>
        <w:t>Accure Agreement</w:t>
      </w:r>
      <w:r>
        <w:rPr>
          <w:rFonts w:ascii="Times New Roman" w:hAnsi="Times New Roman"/>
          <w:sz w:val="20"/>
        </w:rPr>
        <w:t xml:space="preserve">), we obtained an exclusive, worldwide, sublicensable (subject to certain conditions) and transferable (subject to certain conditions) license under certain patents, know-how and inventory of Accure for any and all uses and purposes, including to perform research, development, manufacturing and commercialization activities in any manner and for any purpose. The licensed patents are co-owned by Accure with third parties who have reserved the right to use the licensed patents for education and research purposes pursuant to an inter-institutional agreement. </w:t>
      </w:r>
    </w:p>
    <w:p>
      <w:pPr>
        <w:pStyle w:val="TextBody"/>
        <w:bidi w:val="0"/>
        <w:spacing w:before="240" w:after="0"/>
        <w:jc w:val="left"/>
        <w:rPr>
          <w:rFonts w:ascii="Times New Roman" w:hAnsi="Times New Roman"/>
          <w:sz w:val="20"/>
        </w:rPr>
      </w:pPr>
      <w:r>
        <w:rPr>
          <w:rFonts w:ascii="Times New Roman" w:hAnsi="Times New Roman"/>
          <w:sz w:val="20"/>
        </w:rPr>
        <w:t>As of December 31, 2022, Legacy Oculis has paid the full contractual non-refundable up-front fee of CHF 3.0 million and reimbursed costs in the amount of approximately CHF 0.5 million. As of December 31, 2022, we were obligated to pay Accure (a) up to CHF 103.6 million ($112.1 million at the December 31, 2022 exchange rate) in the aggregate upon the achievement of certain development, regulatory and sales milestones; (b) tiered royalties ranging from a mid-single digit to a low mid-teen percentage on net sales of licensed products; and (c) a percentage in the high teens on sublicensing revenues received any time after 36 months from the agreement effective date, and a higher percentage on sublicensing revenues received prior to such date, in all cases subject, in the case of this clause (c), to reduction for any amounts that were previously paid or are concurrently or later paid by us to Accure pursuant to our milestone payment obligations. Our royalty payment obligations are subject to certain reductions and expire on a licensed product-by-licensed product and country-by-country basis upon the later of (i) the expiration of the last valid claim of any licensed patent covering such licensed product in such country; (ii) the expiration of such licensed products Orphan Drug status, if any, in such country; or (iii) ten (10) years following the date of first commercial sale of such licensed product in such country (the </w:t>
      </w:r>
      <w:r>
        <w:rPr>
          <w:rFonts w:ascii="Times New Roman" w:hAnsi="Times New Roman"/>
          <w:i/>
          <w:sz w:val="20"/>
        </w:rPr>
        <w:t>Payment</w:t>
      </w:r>
      <w:r>
        <w:rPr>
          <w:rFonts w:ascii="Times New Roman" w:hAnsi="Times New Roman"/>
          <w:sz w:val="20"/>
        </w:rPr>
        <w:t xml:space="preserve"> </w:t>
      </w:r>
      <w:r>
        <w:rPr>
          <w:rFonts w:ascii="Times New Roman" w:hAnsi="Times New Roman"/>
          <w:i/>
          <w:sz w:val="20"/>
        </w:rPr>
        <w:t>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Accure Agreement, we are obligated to use commercially reasonable efforts to develop and seek regulatory approval for a licensed product in major countries of the territory as defined in the Accure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Accure Agreement will expire on a licensed product-by-licensed product and country-by-country basis upon the expiration of the applicable Payment Period with respect to such licensed product in such country. We may terminate the Accure Agreement in whole or in part at any time upon advance written notice (a) for documented reasonable scientific, regulatory, commercial reasons related to the licensed product without incurring any penalty or liability to Accure and (b) for no reason. Each party may terminate the Accure Agreement with immediate effect upon written notice to the other party (i) in the event such other party commits a material breach of its obligations under the Accure Agreement and fails to cure that breach within a specified period of time or (ii) with certain exceptions, upon such other partys bankruptcy. Accure may terminate the Accure Agreement with immediate effect upon written notice to us if we file any action to invalidate any of the licensed patents or fail to maintain the licensed patents in major countries of the territory as defined in the Accure Agreement, or, subject to certain exceptions, if we fail to meet certain development obligations and are unable to agree upon modifications to the development plan with Accure.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Strategy </w:t>
      </w:r>
    </w:p>
    <w:p>
      <w:pPr>
        <w:pStyle w:val="TextBody"/>
        <w:bidi w:val="0"/>
        <w:spacing w:before="120" w:after="0"/>
        <w:jc w:val="left"/>
        <w:rPr>
          <w:rFonts w:ascii="Times New Roman" w:hAnsi="Times New Roman"/>
          <w:sz w:val="20"/>
        </w:rPr>
      </w:pPr>
      <w:r>
        <w:rPr>
          <w:rFonts w:ascii="Times New Roman" w:hAnsi="Times New Roman"/>
          <w:sz w:val="20"/>
        </w:rPr>
        <w:t>We oversee and manage third-party contract manufacturing organizations (</w:t>
      </w:r>
      <w:r>
        <w:rPr>
          <w:rFonts w:ascii="Times New Roman" w:hAnsi="Times New Roman"/>
          <w:i/>
          <w:sz w:val="20"/>
        </w:rPr>
        <w:t>CMOs</w:t>
      </w:r>
      <w:r>
        <w:rPr>
          <w:rFonts w:ascii="Times New Roman" w:hAnsi="Times New Roman"/>
          <w:sz w:val="20"/>
        </w:rPr>
        <w:t xml:space="preserve">), to support development and manufacture of product candidates for our clinical trials, and, if any product candidates receive marketing approval, we expect to rely on such manufacturers to meet commercial demand. We expect this strategy will enable us to maintain a more efficient operating and cost infrastructure, avoiding dependence on our own manufacturing facility and equipment, while simultaneously enabling us to focus our expertise on the clinical development and future commercialization of our products, if approved. Currently, we rely on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agreements with third-party contract manufacturers for developing and manufacturing API/drug substance/drug product for OCS-01, OCS-02 and OCS-05, and we expect to enter into commercial supply agreements with such manufacturers prior to any potential approval. We continue to develop and improve the manufacturing processes for OCS-02 and OCS-05 and to address the requirements in these highly regulated markets. Improvement of manufacturing processes may involve transferring the development and manufacturing to another CMO, taking into account technical, quality and economic aspects. </w:t>
      </w:r>
    </w:p>
    <w:p>
      <w:pPr>
        <w:pStyle w:val="TextBody"/>
        <w:bidi w:val="0"/>
        <w:spacing w:before="240" w:after="0"/>
        <w:jc w:val="left"/>
        <w:rPr>
          <w:rFonts w:ascii="Times New Roman" w:hAnsi="Times New Roman"/>
          <w:sz w:val="20"/>
        </w:rPr>
      </w:pPr>
      <w:r>
        <w:rPr>
          <w:rFonts w:ascii="Times New Roman" w:hAnsi="Times New Roman"/>
          <w:sz w:val="20"/>
        </w:rPr>
        <w:t xml:space="preserve">Each of OCS-01, OCS-02 and OCS-05 is manufactured via conventional pharmaceutical processing procedures, employing commercially available excipients and packaging materials. The procedures and equipment employed for manufacture and analysis are consistent with standard pharmaceutical production, and are transferable to a range of manufacturing facilities, if needed.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treatment of ocular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current standard of care treatments for patients with ocular diseases, numerous commercial and academic preclinical studies and clinical trials are being undertaken by a large number of parties to assess novel technologies and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Several large pharmaceutical and biopharmaceutical companies that have commercialized, or are developing treatments for ocular diseases, compete with us. Companies that compete with us directly on the level of the development of product candidates targeting DME include Abbvie, Alimera Sciences, Bayer, Novartis, Regeneron and Roche; companies that have commercialized or are developing drug candidates to treat inflammation and pain associated with ocular surgery include Abbvie, Alcon, Bausch + Lomb, Novartis and Teva Pharmaceuticals; companies that compete with us in the area of DED include Abbvie, EyePoint Pharmaceuticals, Aldeyra, Alcon, Novartis, Viatris and Sun Pharmaceuticals; and companies engaged in the commercialization or development of therapeutics to treat uveitis include Abbvie, Bausch + Lomb and Novartis, among others. We are also aware of an eye drop product candidate in clinical development by Ocuterra for the treatment of diabetic retinopathy and DME, an indication related to the indication for which we are developing OCS-01. </w:t>
      </w:r>
    </w:p>
    <w:p>
      <w:pPr>
        <w:pStyle w:val="TextBody"/>
        <w:bidi w:val="0"/>
        <w:spacing w:before="240" w:after="0"/>
        <w:jc w:val="left"/>
        <w:rPr>
          <w:rFonts w:ascii="Times New Roman" w:hAnsi="Times New Roman"/>
          <w:sz w:val="20"/>
        </w:rPr>
      </w:pPr>
      <w:r>
        <w:rPr>
          <w:rFonts w:ascii="Times New Roman" w:hAnsi="Times New Roman"/>
          <w:sz w:val="20"/>
        </w:rPr>
        <w:t xml:space="preserve">Many of our competitors, either alone or in combination with their respective strategic partners, have significantly greater financial resources and expertise in research and development, manufacturing,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establishing clinical trial sites, patient registration for clinical trials and acquiring technologies complementary to, or necessary for, our programs. </w:t>
      </w:r>
    </w:p>
    <w:p>
      <w:pPr>
        <w:pStyle w:val="TextBody"/>
        <w:bidi w:val="0"/>
        <w:spacing w:before="240" w:after="0"/>
        <w:jc w:val="left"/>
        <w:rPr>
          <w:rFonts w:ascii="Times New Roman" w:hAnsi="Times New Roman"/>
          <w:sz w:val="20"/>
        </w:rPr>
      </w:pPr>
      <w:r>
        <w:rPr>
          <w:rFonts w:ascii="Times New Roman" w:hAnsi="Times New Roman"/>
          <w:sz w:val="20"/>
        </w:rPr>
        <w:t xml:space="preserve">Our commercial opportunities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Intellectual property is of vital importance in our field and in biotechnology generally. We seek to protect and enhance proprietary technology, inventions, and improvements that are commercially important to the development of our business by obtaining, maintaining, enforcing and defending intellectual property rights, including patent rights, whether owned or licensed from third parties. We will also seek to rely on regulatory protection afforded through inclusion in expedited development and review, data exclusivity, market exclusivity and patent term extensions where available. </w:t>
      </w:r>
    </w:p>
    <w:p>
      <w:pPr>
        <w:pStyle w:val="TextBody"/>
        <w:bidi w:val="0"/>
        <w:spacing w:before="240" w:after="0"/>
        <w:jc w:val="left"/>
        <w:rPr>
          <w:rFonts w:ascii="Times New Roman" w:hAnsi="Times New Roman"/>
          <w:sz w:val="20"/>
        </w:rPr>
      </w:pPr>
      <w:r>
        <w:rPr>
          <w:rFonts w:ascii="Times New Roman" w:hAnsi="Times New Roman"/>
          <w:sz w:val="20"/>
        </w:rPr>
        <w:t xml:space="preserve">We have sought patent protection in the United States and internationally related to our novel drug targets, composition of matter, formulations and other inventions and improvements that are central to our R&amp;D efforts. For our product candidates, our strategy is to pursue patent protection covering compositions of matter, formulations and methods of use. In addition, we seek to identify additional means of obtaining patent protection, including specific therapeutic indications and dosing regimen-related claims, which may enhance commercial success. We also rely on trade secrets that may be important to the development of our business. Trade secrets are difficult to protect and provide us with only limited protection.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our owned and exclusively in-licensed patent portfolio included 11 issued U.S. patents, five issued European patents validated in multiple jurisdictions, and 45 issued patents in other foreign jurisdictions, as well as six pending non-provisional U.S. patent applications, and 65 foreign pending patent applications, including five pending European patent applications, and one pending PCT application related to our different product candidates, namely, OCS-01, OCS-02, OCS-03, OCS-04 and OCS-05. </w:t>
      </w:r>
    </w:p>
    <w:p>
      <w:pPr>
        <w:pStyle w:val="TextBody"/>
        <w:bidi w:val="0"/>
        <w:spacing w:before="360" w:after="0"/>
        <w:jc w:val="left"/>
        <w:rPr>
          <w:rFonts w:ascii="Times New Roman" w:hAnsi="Times New Roman"/>
          <w:i/>
          <w:sz w:val="20"/>
        </w:rPr>
      </w:pPr>
      <w:r>
        <w:rPr>
          <w:rFonts w:ascii="Times New Roman" w:hAnsi="Times New Roman"/>
          <w:i/>
          <w:sz w:val="20"/>
        </w:rPr>
        <w:t xml:space="preserve">OCS-01 </w:t>
      </w:r>
    </w:p>
    <w:p>
      <w:pPr>
        <w:pStyle w:val="TextBody"/>
        <w:bidi w:val="0"/>
        <w:spacing w:before="120" w:after="0"/>
        <w:jc w:val="left"/>
        <w:rPr>
          <w:rFonts w:ascii="Times New Roman" w:hAnsi="Times New Roman"/>
          <w:sz w:val="20"/>
        </w:rPr>
      </w:pPr>
      <w:r>
        <w:rPr>
          <w:rFonts w:ascii="Times New Roman" w:hAnsi="Times New Roman"/>
          <w:sz w:val="20"/>
        </w:rPr>
        <w:t>Regarding our OCS-01 product candidate</w:t>
      </w:r>
      <w:r>
        <w:rPr>
          <w:rFonts w:ascii="Times New Roman" w:hAnsi="Times New Roman"/>
          <w:i/>
          <w:sz w:val="20"/>
        </w:rPr>
        <w:t xml:space="preserve">, </w:t>
      </w:r>
      <w:r>
        <w:rPr>
          <w:rFonts w:ascii="Times New Roman" w:hAnsi="Times New Roman"/>
          <w:sz w:val="20"/>
        </w:rPr>
        <w:t xml:space="preserve">as of December 31, 2022, we owned a patent family that consisted of three issued U.S. patents and one granted European patent validated in 12 jurisdictions (Belgium, France, Germany, Great Britain, Iceland, Ireland, Italy, the Netherlands, Poland, Spain, Switzerland, Turkey) with claims covering the composition including dexamethasone. These patents will expire in 2026,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we owned a second patent family that consisted of two issued U.S. patents, two pending non-provisional U.S. patent applications, one granted European patent validated in 41 jurisdictions (Albania, Austria, Belgium, Bosnia and Herzegovina, Bulgaria, Croatia, Cyprus, Czech Republic, Denmark, Estonia, Germany, Great Britain, Greece, Finland, France, Hungary, Iceland, Ireland, Italy, Latvia, Lithuania, Luxembourg, Malta, Republic of Moldova, Monaco, Montenegro, Morocco, the Netherlands, North Macedonia, Norway, Poland, Portugal, Romania, San Marino, Serbia, Slovakia, Slovenia, Spain, Sweden, Switzerland, Turkey), nine issued patents in other foreign jurisdictions (Colombia, Eurasia, India, Japan, Mexico, South Africa (two patents), Taiwan, Ukraine) and 16 pending foreign patent applications, including one pending European patent application, with claims covering the composition of matter of OCS-01. Patents (including any patents that issue from such patent applications) in this family will expire in 2037,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we also owned a patent family that consisted of one U.S. non-provisional patent application and 21 additional foreign patent applications in other jurisdictions, including one European patent application, directed to specific formulations of OCS-01 and methods for stabilizing the composition for use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eye drop. Patents, if issued from patent applications in this family, will expire in 2040, without giving effect to any potential patent term extensions and patent term adjustments and assuming payment of all appropriate maintenance, renewal, annuity or other governmental fees. </w:t>
      </w:r>
    </w:p>
    <w:p>
      <w:pPr>
        <w:pStyle w:val="TextBody"/>
        <w:bidi w:val="0"/>
        <w:spacing w:before="360" w:after="0"/>
        <w:jc w:val="left"/>
        <w:rPr>
          <w:rFonts w:ascii="Times New Roman" w:hAnsi="Times New Roman"/>
          <w:i/>
          <w:sz w:val="20"/>
        </w:rPr>
      </w:pPr>
      <w:r>
        <w:rPr>
          <w:rFonts w:ascii="Times New Roman" w:hAnsi="Times New Roman"/>
          <w:i/>
          <w:sz w:val="20"/>
        </w:rPr>
        <w:t xml:space="preserve">OCS-02 </w:t>
      </w:r>
    </w:p>
    <w:p>
      <w:pPr>
        <w:pStyle w:val="TextBody"/>
        <w:bidi w:val="0"/>
        <w:spacing w:before="120" w:after="0"/>
        <w:jc w:val="left"/>
        <w:rPr>
          <w:rFonts w:ascii="Times New Roman" w:hAnsi="Times New Roman"/>
          <w:sz w:val="20"/>
        </w:rPr>
      </w:pPr>
      <w:r>
        <w:rPr>
          <w:rFonts w:ascii="Times New Roman" w:hAnsi="Times New Roman"/>
          <w:sz w:val="20"/>
        </w:rPr>
        <w:t xml:space="preserve">Regarding our OCS-02 product candidate, as of December 31, 2022, we exclusively licensed from Novartis under the Novartis Agreement, in the licensed field as defined in the Novartis Agreement, one patent family that consisted of three issued U.S. patents and two granted European patents (respectively one European patent validated in 36 jurisdictions (Albania, Austria, Belgium, Bulgaria, Croatia, Cyprus, Czech Republic, Denmark, Estonia, Finland, France, Germany, Great Britain, Greece, Hungary, Iceland, Ireland, Italy, Latvia, Lithuania, Luxembourg, Malta, Monaco, the Netherlands, North Macedonia, Norway, Poland, Portugal, Romania, Serbia, Slovakia, Slovenia, Spain, Sweden, Switzerland, Turkey) and another European patent validated in six jurisdictions (France, Germany, Great Britain, Italy, Spain, Switzerland), 28 issued patents in other foreign jurisdictions (Argentina, Australia (three patents), Brazil, Canada, Chile (two patents), China (two patents), India, Hong-Kong (two patents), Japan (two patents), Republic of Korea (two patents), Mexico (three patents), Philippines, Russia, South Africa, Taiwan (three patents), Ukraine, Uruguay) and five patent applications pending in other foreign jurisdictions, with claims covering composition of matter of OCS-02 or methods of use. Patents (including any patents that issue from such patent applications) will expire in 2031,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December 31, 2022, we exclusively licensed from Novartis under the Novartis Agreement, in the licensed field as defined in the Novartis Agreement, six additional patent families covering composition of matter of OCS-02 or methods of use, including a biomarker for patient selection, which patents (including any patents that issue from patent applications in these families) will expire between 2023 and 2037, without giving effect to any potential patent term extensions and patent term adjustments and assuming payment of all appropriate maintenance, renewal, annuity or other governmental fees. Under the terms of the Novartis Agreement, Novartis is responsible for the prosecution and maintenance of these six patent families. </w:t>
      </w:r>
    </w:p>
    <w:p>
      <w:pPr>
        <w:pStyle w:val="TextBody"/>
        <w:bidi w:val="0"/>
        <w:spacing w:before="360" w:after="0"/>
        <w:jc w:val="left"/>
        <w:rPr>
          <w:rFonts w:ascii="Times New Roman" w:hAnsi="Times New Roman"/>
          <w:i/>
          <w:sz w:val="20"/>
        </w:rPr>
      </w:pPr>
      <w:r>
        <w:rPr>
          <w:rFonts w:ascii="Times New Roman" w:hAnsi="Times New Roman"/>
          <w:i/>
          <w:sz w:val="20"/>
        </w:rPr>
        <w:t xml:space="preserve">OCS-03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also owned one pending PCT application and one non-provisional U.S. patent application with claims covering composition of matter of OCS-3 and its use. In order for any future patent applications to claim the benefit of such PCT application, they must be filed not later than 30 or 31 months (depending on the jurisdiction) after the filing date of such PCT application. Patents, if issued from national or regional, as applicable, phases of such PCT application, will expire in 2041, national or regional phase, as applicable, filings within the 30 or 31 month, as applicable, period, and without giving effect to any potential patent term extensions and patent term adjustments and assuming payment of all appropriate maintenance, renewal, annuity or other governmental fees. Patents, if issued from such U.S. patent application, will expire in 2041, without giving effect to any potential patent term extensions and patent term adjustments and assuming payment of all appropriate maintenance, renewal, annuity or other governmental fees. </w:t>
      </w:r>
    </w:p>
    <w:p>
      <w:pPr>
        <w:pStyle w:val="TextBody"/>
        <w:bidi w:val="0"/>
        <w:spacing w:before="360" w:after="0"/>
        <w:jc w:val="left"/>
        <w:rPr>
          <w:rFonts w:ascii="Times New Roman" w:hAnsi="Times New Roman"/>
          <w:i/>
          <w:sz w:val="20"/>
        </w:rPr>
      </w:pPr>
      <w:r>
        <w:rPr>
          <w:rFonts w:ascii="Times New Roman" w:hAnsi="Times New Roman"/>
          <w:i/>
          <w:sz w:val="20"/>
        </w:rPr>
        <w:t xml:space="preserve">OCS-04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also owned a priority European patent application with claims covering composition of matter of OCS-04 and manufacturing processes. In order for any future patent applications to claim the benefit of such priority application, they must be filed not later than 12 months after the filing date of such priority application. Patents, if issued from the patent applications claiming the benefit of such priority application, if issued, will expire in 2042 or 2043, assuming a filing within the 12-month priority period, without giving effect to any potential patent term extensions and patent term adjustments and assuming payment of all appropriate maintenance, renewal, annuity or other governmental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OCS-05 </w:t>
      </w:r>
    </w:p>
    <w:p>
      <w:pPr>
        <w:pStyle w:val="TextBody"/>
        <w:bidi w:val="0"/>
        <w:spacing w:before="120" w:after="0"/>
        <w:jc w:val="left"/>
        <w:rPr>
          <w:rFonts w:ascii="Times New Roman" w:hAnsi="Times New Roman"/>
          <w:sz w:val="20"/>
        </w:rPr>
      </w:pPr>
      <w:r>
        <w:rPr>
          <w:rFonts w:ascii="Times New Roman" w:hAnsi="Times New Roman"/>
          <w:sz w:val="20"/>
        </w:rPr>
        <w:t>Regarding our OCS-05 product candidate</w:t>
      </w:r>
      <w:r>
        <w:rPr>
          <w:rFonts w:ascii="Times New Roman" w:hAnsi="Times New Roman"/>
          <w:i/>
          <w:sz w:val="20"/>
        </w:rPr>
        <w:t xml:space="preserve">, </w:t>
      </w:r>
      <w:r>
        <w:rPr>
          <w:rFonts w:ascii="Times New Roman" w:hAnsi="Times New Roman"/>
          <w:sz w:val="20"/>
        </w:rPr>
        <w:t xml:space="preserve">as of December 31, 2022, we exclusively licensed from Accure under the Accure Agreement a patent family that consisted of three issued U.S. patents and one granted European patent validated in 24 jurisdictions (Austria, Belgium, Croatia, Czech Republic, Denmark, Finland, France, Germany, Great Britain, Greece, Hungary, Ireland, Italy, Luxembourg, Malta, the Netherlands, Norway, Poland, Portugal, Slovenia, Spain, Sweden, Switzerland, Turkey), as well as 10 issued patents (Australia, Brazil, Canada, China, India, Israel, Japan, Republic of Korea, Mexico, Russia) in other foreign jurisdictions, with claims covering composition of matter of OCS-05. These patents (including any patents that issue from such patent applications) will expire in 2031,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we also exclusively licensed from Accure under the Accure Agreement a patent family that consisted of one pending non-provisional U.S. patent application and 15 pending foreign patent applications, including one pending European patent application, directed to the method of use of the composition of OCS-05 in combination with active compounds. Patents, if issued from such patent applications, will expire in 2040,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we also exclusively licensed from Accure under the Accure Agreement a patent family consisting of one pending non-provisional U.S. patent application and six pending foreign patent applications, including one pending European patent application, with claims directed to specific dosage regimen for administering the active pharmaceutical ingredient of OCS-05. Patents, if issued from such patent applications, will expire in 2040,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we also owned a priority European patent application with claims covering a manufacturing process of OCS-05 and OCS-05s intermediate synthesis products. In order for any future patent applications to claim the benefit of such priority application, such future patent applications must be filed no later than 12 months after the filing date of such priority application. Patents, if issued from the patent applications claiming the benefit of such priority application, will expire in 2042 or 2043, assuming a filing within the 12-month priority period, without giving effect to any potential patent term extensions and patent term adjustments and assuming payment of all appropriate maintenance, renewal, annuity or other governmental fees. </w:t>
      </w:r>
    </w:p>
    <w:p>
      <w:pPr>
        <w:pStyle w:val="TextBody"/>
        <w:bidi w:val="0"/>
        <w:spacing w:before="240" w:after="0"/>
        <w:jc w:val="left"/>
        <w:rPr>
          <w:rFonts w:ascii="Times New Roman" w:hAnsi="Times New Roman"/>
          <w:sz w:val="20"/>
        </w:rPr>
      </w:pPr>
      <w:r>
        <w:rPr>
          <w:rFonts w:ascii="Times New Roman" w:hAnsi="Times New Roman"/>
          <w:sz w:val="20"/>
        </w:rPr>
        <w:t>Our commercial success will depend in part on obtaining, maintaining, protecting and enforcing patent protection and trade secret protection of our current and future product candidates and the methods used to develop and manufacture them, as well as successfully defending any such patents against third-party challenges, enforcing such patents against third-party infringers, and operating without infringing on, misappropriating or otherwise violating the intellectual property or proprietary rights of others. Our ability to stop third parties from making, using, selling, offering to sell or importing our product candidates will depend on the extent to which we have rights under valid and enforceable patents or trade secrets that cover these activities. We cannot be sure that patents will be issued with respect to any of our owned or in-licensed pending patent applications or with respect to any patent applications filed by us or our licensors in the future, nor can we be sure that any patents that may be granted to us or our licensors in the future will be commercially useful in protecting our product candidates, discovery programs and processes. For this and more comprehensive risks related to our intellectual property, please see the section entitled </w:t>
      </w:r>
      <w:r>
        <w:rPr>
          <w:rFonts w:ascii="Times New Roman" w:hAnsi="Times New Roman"/>
          <w:i/>
          <w:sz w:val="20"/>
        </w:rPr>
        <w:t>Risk FactorsRisks Related to Our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terms of individual patents depend upon the legal term of the patents in the countries in which they are obtained. In most countries in which we file, including the United States, the patent term is 20 years from the earliest date of filing a non-provisional patent application. In the United States, a patents term may be lengthened by patent term adjustment, which compensates a patentee for administrative delays by the U.S. Patent and Trademark Office (</w:t>
      </w:r>
      <w:r>
        <w:rPr>
          <w:rFonts w:ascii="Times New Roman" w:hAnsi="Times New Roman"/>
          <w:i/>
          <w:sz w:val="20"/>
        </w:rPr>
        <w:t>USPTO</w:t>
      </w:r>
      <w:r>
        <w:rPr>
          <w:rFonts w:ascii="Times New Roman" w:hAnsi="Times New Roman"/>
          <w:sz w:val="20"/>
        </w:rPr>
        <w:t xml:space="preserve">), in examining and granting a patent, or may be shortened if a patent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terminally disclaimed over an earlier filed patent. In the United States, the term of a patent that covers an FDA-approved drug may also be eligible for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subject drug candidate is under regulatory review. U.S.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to extend the term of a patent that covers an approved drug are available in Europe and other foreign jurisdictions.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that such extensions should be granted, and if granted, the length of such extensions. For more information regarding the risks related to our intellectual property, see section entitled </w:t>
      </w:r>
      <w:r>
        <w:rPr>
          <w:rFonts w:ascii="Times New Roman" w:hAnsi="Times New Roman"/>
          <w:i/>
          <w:sz w:val="20"/>
        </w:rPr>
        <w:t>Risk FactorsRisks Related to Our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file U.S. non-provisional applications and Patent Cooperation Treaty (</w:t>
      </w:r>
      <w:r>
        <w:rPr>
          <w:rFonts w:ascii="Times New Roman" w:hAnsi="Times New Roman"/>
          <w:i/>
          <w:sz w:val="20"/>
        </w:rPr>
        <w:t>PCT</w:t>
      </w:r>
      <w:r>
        <w:rPr>
          <w:rFonts w:ascii="Times New Roman" w:hAnsi="Times New Roman"/>
          <w:sz w:val="20"/>
        </w:rPr>
        <w:t xml:space="preserve">), applications that claim the benefit of the priority date of earlier filed priority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is not issued as a patent, it allows the applicant to seek protection in any of the member states through national-phase applications. At the end of the period of two and a half years from the first priority date of the patent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 </w:t>
      </w:r>
    </w:p>
    <w:p>
      <w:pPr>
        <w:pStyle w:val="TextBody"/>
        <w:bidi w:val="0"/>
        <w:spacing w:before="240" w:after="0"/>
        <w:jc w:val="left"/>
        <w:rPr>
          <w:rFonts w:ascii="Times New Roman" w:hAnsi="Times New Roman"/>
          <w:sz w:val="20"/>
        </w:rPr>
      </w:pPr>
      <w:r>
        <w:rPr>
          <w:rFonts w:ascii="Times New Roman" w:hAnsi="Times New Roman"/>
          <w:sz w:val="20"/>
        </w:rPr>
        <w:t xml:space="preserve">For all patent applications, we determine claiming strategy on a case-by-case basis. Advice of counsel and our business model and needs are always considered.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in our portfolio, as well as the pending and issued patent claims to pursue maximum coverage and value for our processes and compositions, given existing patent office rules and regulations. Further, claims may be narrowed during patent prosecution, to the extent allowed, to meet our intellectual property and business needs. </w:t>
      </w:r>
    </w:p>
    <w:p>
      <w:pPr>
        <w:pStyle w:val="TextBody"/>
        <w:bidi w:val="0"/>
        <w:spacing w:before="240" w:after="0"/>
        <w:jc w:val="left"/>
        <w:rPr>
          <w:rFonts w:ascii="Times New Roman" w:hAnsi="Times New Roman"/>
          <w:sz w:val="20"/>
        </w:rPr>
      </w:pPr>
      <w:r>
        <w:rPr>
          <w:rFonts w:ascii="Times New Roman" w:hAnsi="Times New Roman"/>
          <w:sz w:val="20"/>
        </w:rPr>
        <w:t xml:space="preserve">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or our licensors may not obtain or maintain adequate patent protection for any of our future product candidates or for our Optireach® technology platform. We cannot predict whether the owned or in-licensed patent applications we are currently pursuing will issue as patents in any particular jurisdiction or whether the claims of any issued patents we own or in-license will provide sufficient proprietary protection from competitors. Any patents that we own or in-license may be challenged, circumvented or invalidated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patent positions of biotechnology companies like ours are generally uncertain and involve complex legal, scientific and factual questions. Our commercial success will also depend in part on not infringing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misappropriating or otherwise violating the intellectual property or proprietary rights of third parties. Third-party patents could require us to alter our development or commercial strategies, or our product candidates or processes, obtain licenses or cease certain activities. Our breach of any license agreements or our failure to obtain a license to intellectual property or proprietary rights required to develop or commercialize our product candidates or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please see the section entitled </w:t>
      </w:r>
      <w:r>
        <w:rPr>
          <w:rFonts w:ascii="Times New Roman" w:hAnsi="Times New Roman"/>
          <w:i/>
          <w:sz w:val="20"/>
        </w:rPr>
        <w:t>Risk FactorsRisks Related to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addition to patent protection, we also rely on trademark registration, trade secrets, know how, other proprietary information and continuing technological innovation to develop and maintain our competitive position. As of December 31, 2022, we owned four international trademark registrations (either granted or still under examination in several countries, including three which have been granted in the United States), one registered U.S. trademark, 11 trademarks registered in countries outside of the United States and two pending trademark applications in countries outside the United States.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please see the section entitled </w:t>
      </w:r>
      <w:r>
        <w:rPr>
          <w:rFonts w:ascii="Times New Roman" w:hAnsi="Times New Roman"/>
          <w:i/>
          <w:sz w:val="20"/>
        </w:rPr>
        <w:t>Risk FactorsRisks Related to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 available to expand market exclusivity, our strategy is to obtain, or license additional intellectual property or proprietary rights related to current or contemplated development platforms, core elements of technology and/ or clinical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 approval monitoring and reporting, marketing, and export and import of products such as those we are developing. Generally, before a new drug or biologic can be marketed, considerable data must be generated, which demonstrate the products quality, safety, and efficacy. Such data must then be organized into a format specific for each regulatory authority, submitted for review and approved by the regulatory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In the United States, the FDA regulates drugs and biologics under the federal Food, Drug, and Cosmetic Act (</w:t>
      </w:r>
      <w:r>
        <w:rPr>
          <w:rFonts w:ascii="Times New Roman" w:hAnsi="Times New Roman"/>
          <w:i/>
          <w:sz w:val="20"/>
        </w:rPr>
        <w:t>FDCA</w:t>
      </w:r>
      <w:r>
        <w:rPr>
          <w:rFonts w:ascii="Times New Roman" w:hAnsi="Times New Roman"/>
          <w:sz w:val="20"/>
        </w:rPr>
        <w:t xml:space="preserve">), and its implementing regulations. Biologics are additionally subject to regulations under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Health Service Act.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w:t>
      </w:r>
    </w:p>
    <w:p>
      <w:pPr>
        <w:pStyle w:val="TextBody"/>
        <w:bidi w:val="0"/>
        <w:spacing w:before="240" w:after="0"/>
        <w:jc w:val="left"/>
        <w:rPr>
          <w:rFonts w:ascii="Times New Roman" w:hAnsi="Times New Roman"/>
          <w:sz w:val="20"/>
        </w:rPr>
      </w:pPr>
      <w:r>
        <w:rPr>
          <w:rFonts w:ascii="Times New Roman" w:hAnsi="Times New Roman"/>
          <w:sz w:val="20"/>
        </w:rPr>
        <w:t xml:space="preserve">The process required by the FDA before a biopharmaceutical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completion of nonclinical laboratory tests, animal studies, and formulation studies in accordance with FDAs good laboratory requirements and other applicable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approval by an independent Institutional Review Board (</w:t>
            </w:r>
            <w:r>
              <w:rPr>
                <w:rFonts w:ascii="Times New Roman" w:hAnsi="Times New Roman"/>
                <w:i/>
                <w:sz w:val="20"/>
              </w:rPr>
              <w:t>IRB</w:t>
            </w:r>
            <w:r>
              <w:rPr>
                <w:rFonts w:ascii="Times New Roman" w:hAnsi="Times New Roman"/>
                <w:sz w:val="20"/>
              </w:rPr>
              <w:t xml:space="preserve">) ethics committee, either centralized or with respect to each clinical site, before each clinical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cGCP requirements to establish the safety and efficacy of the proposed drug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the FDA of an NDA or Biologics License Application (</w:t>
            </w:r>
            <w:r>
              <w:rPr>
                <w:rFonts w:ascii="Times New Roman" w:hAnsi="Times New Roman"/>
                <w:i/>
                <w:sz w:val="20"/>
              </w:rPr>
              <w:t>BLA</w:t>
            </w:r>
            <w:r>
              <w:rPr>
                <w:rFonts w:ascii="Times New Roman" w:hAnsi="Times New Roman"/>
                <w:sz w:val="20"/>
              </w:rPr>
              <w:t xml:space="preserve">)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determination by the FDA within 60 days of its receipt of an NDA or BLA to accept the filing for substantive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facility or facilities at which the biopharmaceutical is produced to assess compliance with cGMP regulations to ensure that the facilities, methods and controls are adequate to preserve the biopharmaceuticals identity, strength, quality, and purity, and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NDA or BLA to permit commercial marketing of the product for particular indications for use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beginning the first clinical trial with a product candidate in the United States, we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Times New Roman" w:hAnsi="Times New Roman"/>
          <w:i/>
          <w:sz w:val="20"/>
        </w:rPr>
        <w:t>in vitro</w:t>
      </w:r>
      <w:r>
        <w:rPr>
          <w:rFonts w:ascii="Times New Roman" w:hAnsi="Times New Roman"/>
          <w:sz w:val="20"/>
        </w:rPr>
        <w:t xml:space="preserve"> studies assessing the toxicology, PK,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 </w:t>
      </w:r>
    </w:p>
    <w:p>
      <w:pPr>
        <w:pStyle w:val="TextBody"/>
        <w:bidi w:val="0"/>
        <w:spacing w:before="240" w:after="0"/>
        <w:jc w:val="left"/>
        <w:rPr>
          <w:rFonts w:ascii="Times New Roman" w:hAnsi="Times New Roman"/>
          <w:sz w:val="20"/>
        </w:rPr>
      </w:pPr>
      <w:r>
        <w:rPr>
          <w:rFonts w:ascii="Times New Roman" w:hAnsi="Times New Roman"/>
          <w:sz w:val="20"/>
        </w:rPr>
        <w:t xml:space="preserve">Human clinical trials are typically conducted in three sequential phases that may overlap or be combined: </w:t>
      </w:r>
    </w:p>
    <w:p>
      <w:pPr>
        <w:pStyle w:val="TextBody"/>
        <w:bidi w:val="0"/>
        <w:spacing w:before="240" w:after="0"/>
        <w:jc w:val="left"/>
        <w:rPr>
          <w:rFonts w:ascii="Times New Roman" w:hAnsi="Times New Roman"/>
          <w:sz w:val="20"/>
        </w:rPr>
      </w:pPr>
      <w:r>
        <w:rPr>
          <w:rFonts w:ascii="Times New Roman" w:hAnsi="Times New Roman"/>
          <w:i/>
          <w:sz w:val="20"/>
        </w:rPr>
        <w:t>Phase One</w:t>
      </w:r>
      <w:r>
        <w:rPr>
          <w:rFonts w:ascii="Times New Roman" w:hAnsi="Times New Roman"/>
          <w:sz w:val="20"/>
        </w:rPr>
        <w:t xml:space="preserve">: Phase 1 clinical trials are designed to test a new therapy in a small group of people for the first time to evaluate safety (e.g., to determine a safe dosage range and to identify adverse effects). It can include healthy participants or patients. </w:t>
      </w:r>
    </w:p>
    <w:p>
      <w:pPr>
        <w:pStyle w:val="TextBody"/>
        <w:bidi w:val="0"/>
        <w:spacing w:before="240" w:after="0"/>
        <w:jc w:val="left"/>
        <w:rPr>
          <w:rFonts w:ascii="Times New Roman" w:hAnsi="Times New Roman"/>
          <w:sz w:val="20"/>
        </w:rPr>
      </w:pPr>
      <w:r>
        <w:rPr>
          <w:rFonts w:ascii="Times New Roman" w:hAnsi="Times New Roman"/>
          <w:i/>
          <w:sz w:val="20"/>
        </w:rPr>
        <w:t>Phase Two</w:t>
      </w:r>
      <w:r>
        <w:rPr>
          <w:rFonts w:ascii="Times New Roman" w:hAnsi="Times New Roman"/>
          <w:sz w:val="20"/>
        </w:rPr>
        <w:t xml:space="preserve">: Phase 2 clinical trials are designed to study an investigational therapy in a larger group of people to determine efficacy and to further evaluate its safety. It is conducted in participants with the condition or disease under study and will determine common short-term adverse effects and risks. </w:t>
      </w:r>
    </w:p>
    <w:p>
      <w:pPr>
        <w:pStyle w:val="TextBody"/>
        <w:bidi w:val="0"/>
        <w:spacing w:before="240" w:after="0"/>
        <w:jc w:val="left"/>
        <w:rPr>
          <w:rFonts w:ascii="Times New Roman" w:hAnsi="Times New Roman"/>
          <w:sz w:val="20"/>
        </w:rPr>
      </w:pPr>
      <w:r>
        <w:rPr>
          <w:rFonts w:ascii="Times New Roman" w:hAnsi="Times New Roman"/>
          <w:i/>
          <w:sz w:val="20"/>
        </w:rPr>
        <w:t>Phase Three</w:t>
      </w:r>
      <w:r>
        <w:rPr>
          <w:rFonts w:ascii="Times New Roman" w:hAnsi="Times New Roman"/>
          <w:sz w:val="20"/>
        </w:rPr>
        <w:t xml:space="preserve">: Phase 3 clinical trials are designed to study the efficacy of the investigational therapy in large groups of patients by comparing the therapy to other standard or experimental therapies as well as to monitor adverse effects, and to collect information that will allow the therapy being studied to be used safely. </w:t>
      </w:r>
    </w:p>
    <w:p>
      <w:pPr>
        <w:pStyle w:val="TextBody"/>
        <w:bidi w:val="0"/>
        <w:spacing w:before="240" w:after="0"/>
        <w:jc w:val="left"/>
        <w:rPr>
          <w:rFonts w:ascii="Times New Roman" w:hAnsi="Times New Roman"/>
          <w:sz w:val="20"/>
        </w:rPr>
      </w:pPr>
      <w:r>
        <w:rPr>
          <w:rFonts w:ascii="Times New Roman" w:hAnsi="Times New Roman"/>
          <w:sz w:val="20"/>
        </w:rPr>
        <w:t xml:space="preserve">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 or BLA. </w:t>
      </w:r>
    </w:p>
    <w:p>
      <w:pPr>
        <w:pStyle w:val="TextBody"/>
        <w:bidi w:val="0"/>
        <w:spacing w:before="240" w:after="0"/>
        <w:jc w:val="left"/>
        <w:rPr>
          <w:rFonts w:ascii="Times New Roman" w:hAnsi="Times New Roman"/>
          <w:sz w:val="20"/>
        </w:rPr>
      </w:pPr>
      <w:r>
        <w:rPr>
          <w:rFonts w:ascii="Times New Roman" w:hAnsi="Times New Roman"/>
          <w:sz w:val="20"/>
        </w:rPr>
        <w:t xml:space="preserve">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development of a new biopharmaceutical,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regulations. The manufacturing process must be capable of consistently producing quality batches of the product candidate and,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AEs, findings from other studies suggesting a significant risk to humans exposed to the same or similar drugs, findings from animal or </w:t>
      </w:r>
      <w:r>
        <w:rPr>
          <w:rFonts w:ascii="Times New Roman" w:hAnsi="Times New Roman"/>
          <w:i/>
          <w:sz w:val="20"/>
        </w:rPr>
        <w:t>in vitro</w:t>
      </w:r>
      <w:r>
        <w:rPr>
          <w:rFonts w:ascii="Times New Roman" w:hAnsi="Times New Roman"/>
          <w:sz w:val="20"/>
        </w:rPr>
        <w:t xml:space="preserve"> testing suggesting a significant risk to humans, and any clinically important increased incidence of a serious suspected adverse reaction compared to that listed in the protocol or investigator brochure.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NDA or BLA Review and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or BLA requesting approval to market the product. The submission of an NDA or BLA is subject to the payment of substantial user fees, although a waiver of such fees may be obtained under certain limited circumstances. Additionally, no user fees are assessed on NDAs or BLAs for products designated as orphan drugs, unless the product also includes a non-orphan indication. </w:t>
      </w:r>
    </w:p>
    <w:p>
      <w:pPr>
        <w:pStyle w:val="TextBody"/>
        <w:bidi w:val="0"/>
        <w:spacing w:before="240" w:after="0"/>
        <w:jc w:val="left"/>
        <w:rPr>
          <w:rFonts w:ascii="Times New Roman" w:hAnsi="Times New Roman"/>
          <w:sz w:val="20"/>
        </w:rPr>
      </w:pPr>
      <w:r>
        <w:rPr>
          <w:rFonts w:ascii="Times New Roman" w:hAnsi="Times New Roman"/>
          <w:sz w:val="20"/>
        </w:rPr>
        <w:t xml:space="preserve">The FDA reviews an NDA or BLA to determine, among other things, whether a product is safe and effective for its intended use and whether its manufacturing is cGMP-compliant to assure and preserve the products identity, strength, quality, and purity. Under the Prescription Drug User Fee Act (PDUFA) guidelines, the FDA has a goal of ten months from the date of filing of a standard NDA or BLA for a new molecular entity to review and act on the submission. This review typically takes 12 months from the date the NDA or BLA is submitted to FDA because the FDA has approximately two months to make a filing decision after the application is submitted. The FDA conducts a preliminary review of all NDAs or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w:t>
      </w:r>
    </w:p>
    <w:p>
      <w:pPr>
        <w:pStyle w:val="TextBody"/>
        <w:bidi w:val="0"/>
        <w:spacing w:before="240" w:after="0"/>
        <w:jc w:val="left"/>
        <w:rPr>
          <w:rFonts w:ascii="Times New Roman" w:hAnsi="Times New Roman"/>
          <w:sz w:val="20"/>
        </w:rPr>
      </w:pPr>
      <w:r>
        <w:rPr>
          <w:rFonts w:ascii="Times New Roman" w:hAnsi="Times New Roman"/>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an NDA or BLA, the FDA will typically inspect the facility or facilities where the product is manufactured. The FDA will not approve an application unless it determines that the manufacturing processes and facilities are in compliance with cGMP regulations and adequate to assure consistent production of the product within required specifications.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an NDA or BLA, it will issue an approval letter or a Complete Response Letter. An approval letter authorizes commercial marketing of the product with prescribing information for specific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indications. A Complete Response Letter indicates that the review cycle of the application is complete, and the application will not be approved in its present form. A Complete Response Letter usually describes the specific deficiencies in the application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application, addressing all of the deficiencies identified in the letter, or withdraw the application. Even if such data and information are submitted, the FDA may decide that the application does not satisfy the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particular indications and may entail limitations on the indicated uses for which such product may be marketed. For example, the FDA may approve the application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regulations,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regulations and impose reporting requirements upon us and any third-party manufacturers that we may decide to use. Accordingly, manufacturers must continue to expend time, money, and effort in the area of production and quality control to maintain compliance with cGMP regulations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holds on post-approval or Phase 4 clinical studies,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product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biopharmaceutical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Exclusivity </w:t>
      </w:r>
    </w:p>
    <w:p>
      <w:pPr>
        <w:pStyle w:val="TextBody"/>
        <w:bidi w:val="0"/>
        <w:spacing w:before="120" w:after="0"/>
        <w:jc w:val="left"/>
        <w:rPr>
          <w:rFonts w:ascii="Times New Roman" w:hAnsi="Times New Roman"/>
          <w:sz w:val="20"/>
        </w:rPr>
      </w:pPr>
      <w:r>
        <w:rPr>
          <w:rFonts w:ascii="Times New Roman" w:hAnsi="Times New Roman"/>
          <w:sz w:val="20"/>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w:t>
      </w:r>
      <w:r>
        <w:rPr>
          <w:rFonts w:ascii="Times New Roman" w:hAnsi="Times New Roman"/>
          <w:i/>
          <w:sz w:val="20"/>
        </w:rPr>
        <w:t>ANDA</w:t>
      </w:r>
      <w:r>
        <w:rPr>
          <w:rFonts w:ascii="Times New Roman" w:hAnsi="Times New Roman"/>
          <w:sz w:val="20"/>
        </w:rPr>
        <w:t>) or an NDA submitted under Section 505(b)(2) (</w:t>
      </w:r>
      <w:r>
        <w:rPr>
          <w:rFonts w:ascii="Times New Roman" w:hAnsi="Times New Roman"/>
          <w:i/>
          <w:sz w:val="20"/>
        </w:rPr>
        <w:t>505(b)(2) NDA</w:t>
      </w:r>
      <w:r>
        <w:rPr>
          <w:rFonts w:ascii="Times New Roman" w:hAnsi="Times New Roman"/>
          <w:sz w:val="20"/>
        </w:rPr>
        <w:t xml:space="preserve">),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w:t>
      </w:r>
    </w:p>
    <w:p>
      <w:pPr>
        <w:pStyle w:val="TextBody"/>
        <w:bidi w:val="0"/>
        <w:spacing w:before="240" w:after="0"/>
        <w:jc w:val="left"/>
        <w:rPr>
          <w:rFonts w:ascii="Times New Roman" w:hAnsi="Times New Roman"/>
          <w:sz w:val="20"/>
        </w:rPr>
      </w:pPr>
      <w:r>
        <w:rPr>
          <w:rFonts w:ascii="Times New Roman" w:hAnsi="Times New Roman"/>
          <w:sz w:val="20"/>
        </w:rPr>
        <w:t xml:space="preserve">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 </w:t>
      </w:r>
    </w:p>
    <w:p>
      <w:pPr>
        <w:pStyle w:val="TextBody"/>
        <w:bidi w:val="0"/>
        <w:spacing w:before="240" w:after="0"/>
        <w:jc w:val="left"/>
        <w:rPr>
          <w:rFonts w:ascii="Times New Roman" w:hAnsi="Times New Roman"/>
          <w:sz w:val="20"/>
        </w:rPr>
      </w:pPr>
      <w:r>
        <w:rPr>
          <w:rFonts w:ascii="Times New Roman" w:hAnsi="Times New Roman"/>
          <w:sz w:val="20"/>
        </w:rPr>
        <w:t xml:space="preserve">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505(b)(2) NDAs </w:t>
      </w:r>
    </w:p>
    <w:p>
      <w:pPr>
        <w:pStyle w:val="TextBody"/>
        <w:bidi w:val="0"/>
        <w:spacing w:before="120" w:after="0"/>
        <w:jc w:val="left"/>
        <w:rPr>
          <w:rFonts w:ascii="Times New Roman" w:hAnsi="Times New Roman"/>
          <w:sz w:val="20"/>
        </w:rPr>
      </w:pPr>
      <w:r>
        <w:rPr>
          <w:rFonts w:ascii="Times New Roman" w:hAnsi="Times New Roman"/>
          <w:sz w:val="20"/>
        </w:rPr>
        <w:t xml:space="preserve">A special type of NDA, commonly referred to as a Section 505(b)(2) NDA, enables the applicant in certain circumstances to rely, in part, on the FDAs prior findings in approving a similar product or published literature in support of its application. A Section 505(b)(2) NDA may provide an alternate path to FDA approval for a new or improved formulation, a new route of administration, or a new use of a previously approved product. Section 505(b)(2) permits the submission of an NDA where at least some of the information required for approval comes from studies not conducted by, or for, the applicant and for which the applicant has not obtained a right of reference. If the Section 505(b)(2) applicant can establish that reliance on the FDAs prior findings of safety and/or effectiveness is scientifically appropriate, it may eliminate the need to conduct certain preclinical or clinical studies of the new product. The FDA may also require companies to perform additional studies or measurements to support the change from the approved product. The FDA may then approve the new product candidate for all, or some, of the indications for which the referenced product has been approved, as well as for any new indication sought by the Section 505(b)(2) applicant. If we choose to rely on the 505(b)(2) process to seek approval for OCS-01, there can be no assurance that the FDA will agree with our use of that pathway.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Approval and Regulation of Companion Diagnostics </w:t>
      </w:r>
    </w:p>
    <w:p>
      <w:pPr>
        <w:pStyle w:val="TextBody"/>
        <w:bidi w:val="0"/>
        <w:spacing w:before="120" w:after="0"/>
        <w:jc w:val="left"/>
        <w:rPr>
          <w:rFonts w:ascii="Times New Roman" w:hAnsi="Times New Roman"/>
          <w:sz w:val="20"/>
        </w:rPr>
      </w:pPr>
      <w:r>
        <w:rPr>
          <w:rFonts w:ascii="Times New Roman" w:hAnsi="Times New Roman"/>
          <w:sz w:val="20"/>
        </w:rPr>
        <w:t xml:space="preserve">A therapeutic product may rely upon an </w:t>
      </w:r>
      <w:r>
        <w:rPr>
          <w:rFonts w:ascii="Times New Roman" w:hAnsi="Times New Roman"/>
          <w:i/>
          <w:sz w:val="20"/>
        </w:rPr>
        <w:t>in vitro</w:t>
      </w:r>
      <w:r>
        <w:rPr>
          <w:rFonts w:ascii="Times New Roman" w:hAnsi="Times New Roman"/>
          <w:sz w:val="20"/>
        </w:rPr>
        <w:t xml:space="preserve"> companion diagnostic for use in selecting the patients that will be more likely to respond to that therapy.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 The review of </w:t>
      </w:r>
      <w:r>
        <w:rPr>
          <w:rFonts w:ascii="Times New Roman" w:hAnsi="Times New Roman"/>
          <w:i/>
          <w:sz w:val="20"/>
        </w:rPr>
        <w:t>in vitro</w:t>
      </w:r>
      <w:r>
        <w:rPr>
          <w:rFonts w:ascii="Times New Roman" w:hAnsi="Times New Roman"/>
          <w:sz w:val="20"/>
        </w:rPr>
        <w:t xml:space="preserve"> companion diagnostics in conjunction with the review of our therapeutic product candidate OCS-02 will, therefore, likely involve coordination of review by the FDAs Center for Biologics Evaluation and Research and the FDAs Center for Devices and Radiological Health. </w:t>
      </w:r>
    </w:p>
    <w:p>
      <w:pPr>
        <w:pStyle w:val="TextBody"/>
        <w:bidi w:val="0"/>
        <w:spacing w:before="240" w:after="0"/>
        <w:jc w:val="left"/>
        <w:rPr>
          <w:rFonts w:ascii="Times New Roman" w:hAnsi="Times New Roman"/>
          <w:sz w:val="20"/>
        </w:rPr>
      </w:pPr>
      <w:r>
        <w:rPr>
          <w:rFonts w:ascii="Times New Roman" w:hAnsi="Times New Roman"/>
          <w:sz w:val="20"/>
        </w:rPr>
        <w:t xml:space="preserve">Under the FDCA, </w:t>
      </w:r>
      <w:r>
        <w:rPr>
          <w:rFonts w:ascii="Times New Roman" w:hAnsi="Times New Roman"/>
          <w:i/>
          <w:sz w:val="20"/>
        </w:rPr>
        <w:t>in vitro</w:t>
      </w:r>
      <w:r>
        <w:rPr>
          <w:rFonts w:ascii="Times New Roman" w:hAnsi="Times New Roman"/>
          <w:sz w:val="20"/>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three primary types of FDA marketing authorization applicable to a medical device include premarket notification, also called 510(k) clearance, premarket approval (</w:t>
      </w:r>
      <w:r>
        <w:rPr>
          <w:rFonts w:ascii="Times New Roman" w:hAnsi="Times New Roman"/>
          <w:i/>
          <w:sz w:val="20"/>
        </w:rPr>
        <w:t>PMA</w:t>
      </w:r>
      <w:r>
        <w:rPr>
          <w:rFonts w:ascii="Times New Roman" w:hAnsi="Times New Roman"/>
          <w:sz w:val="20"/>
        </w:rPr>
        <w:t xml:space="preserve">), and </w:t>
      </w:r>
      <w:r>
        <w:rPr>
          <w:rFonts w:ascii="Times New Roman" w:hAnsi="Times New Roman"/>
          <w:i/>
          <w:sz w:val="20"/>
        </w:rPr>
        <w:t xml:space="preserve">de novo </w:t>
      </w:r>
      <w:r>
        <w:rPr>
          <w:rFonts w:ascii="Times New Roman" w:hAnsi="Times New Roman"/>
          <w:sz w:val="20"/>
        </w:rPr>
        <w:t xml:space="preserve">classification requests.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EU/Rest of World Regulation </w:t>
      </w:r>
    </w:p>
    <w:p>
      <w:pPr>
        <w:pStyle w:val="TextBody"/>
        <w:bidi w:val="0"/>
        <w:spacing w:before="120" w:after="0"/>
        <w:jc w:val="left"/>
        <w:rPr>
          <w:rFonts w:ascii="Times New Roman" w:hAnsi="Times New Roman"/>
          <w:i/>
          <w:sz w:val="20"/>
        </w:rPr>
      </w:pPr>
      <w:r>
        <w:rPr>
          <w:rFonts w:ascii="Times New Roman" w:hAnsi="Times New Roman"/>
          <w:i/>
          <w:sz w:val="20"/>
        </w:rPr>
        <w:t xml:space="preserve">Conduct of Clinical Trials in the EU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there are a variety of regulations in other jurisdictions governing, among other things, clinical trials, commercial sales and distribution of medicinal products. Even if FDA approval of a particular product is obtained, it must still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In the EU, the Clinical Trials Regulation (EU) No 536/2014 entered into application on January 31, 2022. The Regulation is intended to harmonize and streamline clinical trial authorizations, simplify adverse-event reporting procedures, improve the supervision of clinical trials and increase their transparency. Specifically, the new Regulation, which is directly applicable in all EU Member States, introduces a streamlined application procedure via a single entry point, the EU portal, the Clinical Trials Information System (</w:t>
      </w:r>
      <w:r>
        <w:rPr>
          <w:rFonts w:ascii="Times New Roman" w:hAnsi="Times New Roman"/>
          <w:i/>
          <w:sz w:val="20"/>
        </w:rPr>
        <w:t>CTIS</w:t>
      </w:r>
      <w:r>
        <w:rPr>
          <w:rFonts w:ascii="Times New Roman" w:hAnsi="Times New Roman"/>
          <w:sz w:val="20"/>
        </w:rPr>
        <w:t xml:space="preserve">);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is assessed by the competent authorities of a reference member state selected by the trial sponsor largely of the type of clinical trial, risk-benefit analysis, and compliance with technical requirements. This assessment is then submitted to the competent authorities of all the concerned member states in which the trial is to be conducted for their review. Part II is assessed separately by the competent authorities and ECs in each EU member state concerned. Individual EU Member States shall retain the power to authorize the conduct of clinical trials on their territory. The extent to which on-going clinical trials will be governed by the Clinical Trials Regulation will depend on the duration of the individual clinical trial. If a clinical trial continues for more than three years from January 31, 2022, the Clinical Trials Regulation will at that time begin to apply to the clinical trial. </w:t>
      </w:r>
    </w:p>
    <w:p>
      <w:pPr>
        <w:pStyle w:val="TextBody"/>
        <w:bidi w:val="0"/>
        <w:spacing w:before="360" w:after="0"/>
        <w:jc w:val="left"/>
        <w:rPr>
          <w:rFonts w:ascii="Times New Roman" w:hAnsi="Times New Roman"/>
          <w:i/>
          <w:sz w:val="20"/>
        </w:rPr>
      </w:pPr>
      <w:r>
        <w:rPr>
          <w:rFonts w:ascii="Times New Roman" w:hAnsi="Times New Roman"/>
          <w:i/>
          <w:sz w:val="20"/>
        </w:rPr>
        <w:t xml:space="preserve">Pathways to Obtain a Marketing Authorization in the EU </w:t>
      </w:r>
    </w:p>
    <w:p>
      <w:pPr>
        <w:pStyle w:val="TextBody"/>
        <w:bidi w:val="0"/>
        <w:spacing w:before="120" w:after="0"/>
        <w:jc w:val="left"/>
        <w:rPr>
          <w:rFonts w:ascii="Times New Roman" w:hAnsi="Times New Roman"/>
          <w:sz w:val="20"/>
        </w:rPr>
      </w:pPr>
      <w:r>
        <w:rPr>
          <w:rFonts w:ascii="Times New Roman" w:hAnsi="Times New Roman"/>
          <w:sz w:val="20"/>
        </w:rPr>
        <w:t>In the European Economic Area (</w:t>
      </w:r>
      <w:r>
        <w:rPr>
          <w:rFonts w:ascii="Times New Roman" w:hAnsi="Times New Roman"/>
          <w:i/>
          <w:sz w:val="20"/>
        </w:rPr>
        <w:t>EEA</w:t>
      </w:r>
      <w:r>
        <w:rPr>
          <w:rFonts w:ascii="Times New Roman" w:hAnsi="Times New Roman"/>
          <w:sz w:val="20"/>
        </w:rPr>
        <w:t>), which consists of the 27 Member States of the European Union, as well as Norway, Iceland and Liechtenstein, medicinal products can only be commercialized after a related marketing authorization has been granted. A company may submit a marketing authorization application (</w:t>
      </w:r>
      <w:r>
        <w:rPr>
          <w:rFonts w:ascii="Times New Roman" w:hAnsi="Times New Roman"/>
          <w:i/>
          <w:sz w:val="20"/>
        </w:rPr>
        <w:t>MAA</w:t>
      </w:r>
      <w:r>
        <w:rPr>
          <w:rFonts w:ascii="Times New Roman" w:hAnsi="Times New Roman"/>
          <w:sz w:val="20"/>
        </w:rPr>
        <w:t>), either on the basis of the centralized, or decentralized procedure or mutual recognition procedure. Under the centralized procedure, MAAs are submitted to the EMA for scientific review by the EMAs Committee for Medicinal Products for Human Use (</w:t>
      </w:r>
      <w:r>
        <w:rPr>
          <w:rFonts w:ascii="Times New Roman" w:hAnsi="Times New Roman"/>
          <w:i/>
          <w:sz w:val="20"/>
        </w:rPr>
        <w:t>CHMP</w:t>
      </w:r>
      <w:r>
        <w:rPr>
          <w:rFonts w:ascii="Times New Roman" w:hAnsi="Times New Roman"/>
          <w:sz w:val="20"/>
        </w:rPr>
        <w:t xml:space="preserve">). The CHMP issues an opinion concerning whether the quality, safety and efficacy of the product has been demonstrated. The opinion is considered by the European Commission which is responsible for granting a centralized marketing authorization in the form of a binding European Commission decision. If the application is approved, the European Commission C grants a single marketing authorization that is valid throughout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National marketing authorizations, which are issued by the competent authorities of EEA countries and only cover their respective territory, are available for products not falling within the mandatory scope of the centralized procedure. Where a product has already been authorized for marketing in an EEA country, this national marketing authorization can be recognized in another EEA country through the mutual recognition procedure. The mutual recognition procedure provides for the EEA countries selected by the applicant to mutually recognize a national marketing authorization that has already been granted by the competent authority of another EEA country, referred to as the Reference Member State (</w:t>
      </w:r>
      <w:r>
        <w:rPr>
          <w:rFonts w:ascii="Times New Roman" w:hAnsi="Times New Roman"/>
          <w:i/>
          <w:sz w:val="20"/>
        </w:rPr>
        <w:t>RMS</w:t>
      </w:r>
      <w:r>
        <w:rPr>
          <w:rFonts w:ascii="Times New Roman" w:hAnsi="Times New Roman"/>
          <w:sz w:val="20"/>
        </w:rPr>
        <w:t xml:space="preserve">). The decentralized procedure is used when the product in question has yet to be granted a marketing authorization in any EEA country. Under this procedure the applicant can select the EEA country that will act as the RMS. In both the mutual recognition and decentralized procedures, the RMS reviews the application and submits its assessment of the application to the EEA countries for which marketing authorizations are being sought, referred to as Concerned Member States. </w:t>
      </w:r>
    </w:p>
    <w:p>
      <w:pPr>
        <w:pStyle w:val="TextBody"/>
        <w:bidi w:val="0"/>
        <w:spacing w:before="240" w:after="0"/>
        <w:jc w:val="left"/>
        <w:rPr>
          <w:rFonts w:ascii="Times New Roman" w:hAnsi="Times New Roman"/>
          <w:sz w:val="20"/>
        </w:rPr>
      </w:pPr>
      <w:r>
        <w:rPr>
          <w:rFonts w:ascii="Times New Roman" w:hAnsi="Times New Roman"/>
          <w:sz w:val="20"/>
        </w:rPr>
        <w:t xml:space="preserve">Within 90 days of receiving the application and assessment report, each Concerned Member State must decide whether to recognize the RMS assessment or reject it on the basis of potential serious risk to public health. If the disputed points cannot be resolved, the matter is first referred to the Heads of Medicines Agencies Coordination Group for Mutual Recognition and Decentralized Procedures for agreement. If the Heads of Medicines Agencies Coordination Group for Mutual Recognition and Decentralized Procedures cannot reach an agreement, a referral is made to the EMA. The CHMP will provide an opinion that will form the basis of a decision to be issued by the European Commission that is binding on all EEA countries. If the application is successful during the decentralized or mutual recognition procedure, national marketing authorizations will be granted by the competent authorities in each of the EEA countries chosen by the applicant. </w:t>
      </w:r>
    </w:p>
    <w:p>
      <w:pPr>
        <w:pStyle w:val="TextBody"/>
        <w:bidi w:val="0"/>
        <w:spacing w:before="240" w:after="0"/>
        <w:jc w:val="left"/>
        <w:rPr>
          <w:rFonts w:ascii="Times New Roman" w:hAnsi="Times New Roman"/>
          <w:sz w:val="20"/>
        </w:rPr>
      </w:pPr>
      <w:r>
        <w:rPr>
          <w:rFonts w:ascii="Times New Roman" w:hAnsi="Times New Roman"/>
          <w:sz w:val="20"/>
        </w:rPr>
        <w:t xml:space="preserve">In principle, a marketing authorization has an initial validity of five years. The marketing authorization may be renewed after five years on the basis of a re-evaluation of the risk-benefit balance by the EMA or by the competent authority of the EEA country in which the original marketing authorization was granted. To support the application, the marketing authorization holder must provide the EMA or the competent authority with a consolidated version of the eCTD (Common Technical Document) providing up to date data concerning the quality, safety and efficacy of the product, including all variations introduced since the marketing authorization was granted, at least nine months before the marketing authorization ceases to be valid. The European Commission or the competent authorities of the EEA countries may decide, on justified grounds relating to pharmacovigilance, to proceed with one further five year renewal period for the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EEA country within three years after authorization ceases to be valid (the so-called sunset clause). </w:t>
      </w:r>
    </w:p>
    <w:p>
      <w:pPr>
        <w:pStyle w:val="TextBody"/>
        <w:bidi w:val="0"/>
        <w:spacing w:before="240" w:after="0"/>
        <w:jc w:val="left"/>
        <w:rPr>
          <w:rFonts w:ascii="Times New Roman" w:hAnsi="Times New Roman"/>
          <w:sz w:val="20"/>
        </w:rPr>
      </w:pPr>
      <w:r>
        <w:rPr>
          <w:rFonts w:ascii="Times New Roman" w:hAnsi="Times New Roman"/>
          <w:sz w:val="20"/>
        </w:rPr>
        <w:t xml:space="preserve">In the EU, conditional marketing authorizations may be granted in the centralized procedure for a limited number of medicinal products for human use in cases where the related clinical dataset is not yet complete. A conditional marketing authorization may be granted for a medicinal product, if (i) the risk-benefit balance of the product is positive, (ii) it is likely that the applicant will be in a position to provide the required comprehensive data after the authorization, (iii) the medicinal product fulfills unmet medical needs and (iv) the benefit to public health of the immediate availability on the market of the medicinal product outweighs the risk inherent in the fact that additional data are still required. The authorization is valid for one year and must be renewed annually until all related conditions have been fulfilled. Once any pending studies are provided, the conditional marketing authorization can be converted into a traditional marketing authorization. However, if the conditions are not fulfilled within the timeframe set by the EMA, the marketing authorization will cease to be renewed. </w:t>
      </w:r>
    </w:p>
    <w:p>
      <w:pPr>
        <w:pStyle w:val="TextBody"/>
        <w:bidi w:val="0"/>
        <w:spacing w:before="240" w:after="0"/>
        <w:jc w:val="left"/>
        <w:rPr>
          <w:rFonts w:ascii="Times New Roman" w:hAnsi="Times New Roman"/>
          <w:sz w:val="20"/>
        </w:rPr>
      </w:pPr>
      <w:r>
        <w:rPr>
          <w:rFonts w:ascii="Times New Roman" w:hAnsi="Times New Roman"/>
          <w:sz w:val="20"/>
        </w:rPr>
        <w:t xml:space="preserve">A marketing authorization may also be granted under exceptional circumstances where the applicant can show that it is unable to provide comprehensive data on the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accepted ethical principles. Like a conditional marketing authorization, a marketing authorization granted in exceptional circumstances is reserved to medicinal products intended to be authorized for treatment of rare diseases or unmet medical needs for which the applicant does not hold a complete data set that is required for the grant of a standard marketing authorization. However, unlike the conditional marketing authorization, an applicant for authorization in exceptional circumstances is not subsequently required to provide the missing data. </w:t>
      </w:r>
    </w:p>
    <w:p>
      <w:pPr>
        <w:pStyle w:val="TextBody"/>
        <w:bidi w:val="0"/>
        <w:spacing w:before="240" w:after="0"/>
        <w:jc w:val="left"/>
        <w:rPr>
          <w:rFonts w:ascii="Times New Roman" w:hAnsi="Times New Roman"/>
          <w:sz w:val="20"/>
        </w:rPr>
      </w:pPr>
      <w:r>
        <w:rPr>
          <w:rFonts w:ascii="Times New Roman" w:hAnsi="Times New Roman"/>
          <w:sz w:val="20"/>
        </w:rPr>
        <w:t xml:space="preserve">Although the marketing authorization under exceptional circumstances is granted definitively, the risk-benefit balance of the medicinal product is reviewed annually and the marketing authorization is withdrawn in case the risk-benefit ratio is no longer favorable. </w:t>
      </w:r>
    </w:p>
    <w:p>
      <w:pPr>
        <w:pStyle w:val="TextBody"/>
        <w:bidi w:val="0"/>
        <w:spacing w:before="240" w:after="0"/>
        <w:jc w:val="left"/>
        <w:rPr>
          <w:rFonts w:ascii="Times New Roman" w:hAnsi="Times New Roman"/>
          <w:sz w:val="20"/>
        </w:rPr>
      </w:pPr>
      <w:r>
        <w:rPr>
          <w:rFonts w:ascii="Times New Roman" w:hAnsi="Times New Roman"/>
          <w:sz w:val="20"/>
        </w:rPr>
        <w:t>Innovative products that target an unmet medical need and are expected to be of major public health interest may be eligible for a number of expedited development and review programs, such as the Priority Medicines (</w:t>
      </w:r>
      <w:r>
        <w:rPr>
          <w:rFonts w:ascii="Times New Roman" w:hAnsi="Times New Roman"/>
          <w:i/>
          <w:sz w:val="20"/>
        </w:rPr>
        <w:t>PRIME</w:t>
      </w:r>
      <w:r>
        <w:rPr>
          <w:rFonts w:ascii="Times New Roman" w:hAnsi="Times New Roman"/>
          <w:sz w:val="20"/>
        </w:rPr>
        <w:t xml:space="preserve">),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 MAA,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 authorizations for distribution granted by the competent authorities of the EU member states. Marketing authorization holders and/or manufacturing and import authorization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In the EU, innovative medicinal products that are subject to marketing authorization on the basis of a full dossier and do not fall within the scope of the concept of global marketing authorization qualify for eight years of data exclusivity upon marketing authorization and an additional two years of market exclusivity. The concept of global marketing authorization prevents the same marketing authorization holder or members of the same group, or companies that have concluded tacit or explicit agreements concerning the marketing of the same medicinal product, from obtaining separate data and market exclusivity periods for medicinal products that contain the same active substance.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In the EU, Regulation (EC) No 1901/2006 provides that all MAAs for new medicinal products must include the results of trials conducted in the pediatric population, in compliance with a pediatric investigation plan (</w:t>
      </w:r>
      <w:r>
        <w:rPr>
          <w:rFonts w:ascii="Times New Roman" w:hAnsi="Times New Roman"/>
          <w:i/>
          <w:sz w:val="20"/>
        </w:rPr>
        <w:t>PIP</w:t>
      </w:r>
      <w:r>
        <w:rPr>
          <w:rFonts w:ascii="Times New Roman" w:hAnsi="Times New Roman"/>
          <w:sz w:val="20"/>
        </w:rPr>
        <w:t>), agreed with the EMAs Pediatric Committee (</w:t>
      </w:r>
      <w:r>
        <w:rPr>
          <w:rFonts w:ascii="Times New Roman" w:hAnsi="Times New Roman"/>
          <w:i/>
          <w:sz w:val="20"/>
        </w:rPr>
        <w:t>PDCO</w:t>
      </w:r>
      <w:r>
        <w:rPr>
          <w:rFonts w:ascii="Times New Roman" w:hAnsi="Times New Roman"/>
          <w:sz w:val="20"/>
        </w:rPr>
        <w:t xml:space="preserve">). The PIP sets out the timing and measures proposed to generate data to support a pediatric indication of the medicinal product for which marketing authorization is being sought. The PDCO may grant a deferral of the obligation to implement some or all of the measures provided in the PIP until there are sufficient data to demonstrate the efficacy and safety of the product in adults. Furthermore,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 For other countries outside of the European Union, such as certain countries in Eastern Europe, Latin America or Asia, the requirements governing the conduct of clinical trials, product approval, pricing and reimbursement vary from country to country. In all cases, the clinical trials are to be conducted in accordance with GCP and the applicable regulatory requirements and the ethical principles that have their origin in the Declaration of Helsinki. </w:t>
      </w:r>
    </w:p>
    <w:p>
      <w:pPr>
        <w:pStyle w:val="TextBody"/>
        <w:bidi w:val="0"/>
        <w:spacing w:before="360" w:after="0"/>
        <w:jc w:val="left"/>
        <w:rPr>
          <w:rFonts w:ascii="Times New Roman" w:hAnsi="Times New Roman"/>
          <w:i/>
          <w:sz w:val="20"/>
        </w:rPr>
      </w:pPr>
      <w:r>
        <w:rPr>
          <w:rFonts w:ascii="Times New Roman" w:hAnsi="Times New Roman"/>
          <w:i/>
          <w:sz w:val="20"/>
        </w:rPr>
        <w:t xml:space="preserve">Orphan Medicinal Products </w:t>
      </w:r>
    </w:p>
    <w:p>
      <w:pPr>
        <w:pStyle w:val="TextBody"/>
        <w:bidi w:val="0"/>
        <w:spacing w:before="120" w:after="0"/>
        <w:jc w:val="left"/>
        <w:rPr>
          <w:rFonts w:ascii="Times New Roman" w:hAnsi="Times New Roman"/>
          <w:sz w:val="20"/>
        </w:rPr>
      </w:pPr>
      <w:r>
        <w:rPr>
          <w:rFonts w:ascii="Times New Roman" w:hAnsi="Times New Roman"/>
          <w:sz w:val="20"/>
        </w:rPr>
        <w:t xml:space="preserve">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w:t>
      </w:r>
    </w:p>
    <w:p>
      <w:pPr>
        <w:pStyle w:val="TextBody"/>
        <w:bidi w:val="0"/>
        <w:spacing w:before="240" w:after="0"/>
        <w:jc w:val="left"/>
        <w:rPr>
          <w:rFonts w:ascii="Times New Roman" w:hAnsi="Times New Roman"/>
          <w:sz w:val="20"/>
        </w:rPr>
      </w:pPr>
      <w:r>
        <w:rPr>
          <w:rFonts w:ascii="Times New Roman" w:hAnsi="Times New Roman"/>
          <w:sz w:val="20"/>
        </w:rPr>
        <w:t xml:space="preserve">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 marketing authorization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establish that its product, although similar, is safer, more effective or otherwise clinically superior to the original orphan medicinal product. A company may voluntarily remove a product from the register of orphan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Where a marketing authorization is granted in relation to a medicinal product in the EU, the holder of the marketing authorization is required to comply with a range of regulatory requirements applicable to the manufacturing, marketing, promotion and sale of medicinal products. </w:t>
      </w:r>
    </w:p>
    <w:p>
      <w:pPr>
        <w:pStyle w:val="TextBody"/>
        <w:bidi w:val="0"/>
        <w:spacing w:before="240" w:after="0"/>
        <w:jc w:val="left"/>
        <w:rPr>
          <w:rFonts w:ascii="Times New Roman" w:hAnsi="Times New Roman"/>
          <w:sz w:val="20"/>
        </w:rPr>
      </w:pPr>
      <w:r>
        <w:rPr>
          <w:rFonts w:ascii="Times New Roman" w:hAnsi="Times New Roman"/>
          <w:sz w:val="20"/>
        </w:rPr>
        <w:t>Similar to the United States, both marketing authorization holders and manufacturers of medicinal products are subject to comprehensive regulatory oversight by the EMA, the European Commission and/or the competent regulatory authorities of the individual EEA countries.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w:t>
      </w:r>
      <w:r>
        <w:rPr>
          <w:rFonts w:ascii="Times New Roman" w:hAnsi="Times New Roman"/>
          <w:i/>
          <w:sz w:val="20"/>
        </w:rPr>
        <w:t>PSURs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new marketing authorization applications must include a risk management plan (</w:t>
      </w:r>
      <w:r>
        <w:rPr>
          <w:rFonts w:ascii="Times New Roman" w:hAnsi="Times New Roman"/>
          <w:i/>
          <w:sz w:val="20"/>
        </w:rPr>
        <w:t>RMP</w:t>
      </w:r>
      <w:r>
        <w:rPr>
          <w:rFonts w:ascii="Times New Roman" w:hAnsi="Times New Roman"/>
          <w:sz w:val="20"/>
        </w:rPr>
        <w:t xml:space="preserve">),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w:t>
      </w:r>
    </w:p>
    <w:p>
      <w:pPr>
        <w:pStyle w:val="TextBody"/>
        <w:bidi w:val="0"/>
        <w:spacing w:before="240" w:after="0"/>
        <w:jc w:val="left"/>
        <w:rPr>
          <w:rFonts w:ascii="Times New Roman" w:hAnsi="Times New Roman"/>
          <w:sz w:val="20"/>
        </w:rPr>
      </w:pPr>
      <w:r>
        <w:rPr>
          <w:rFonts w:ascii="Times New Roman" w:hAnsi="Times New Roman"/>
          <w:sz w:val="20"/>
        </w:rPr>
        <w:t>In the EU, the advertising and promotion of medicinal products are subject to both EU and EEA countries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directives, the details are governed by regulations in each member state and can differ from one country to another. For example, applicable laws require that promotional materials and advertising in relation to medicinal products comply with the products Summary of Product Characteristics (</w:t>
      </w:r>
      <w:r>
        <w:rPr>
          <w:rFonts w:ascii="Times New Roman" w:hAnsi="Times New Roman"/>
          <w:i/>
          <w:sz w:val="20"/>
        </w:rPr>
        <w:t>SmPC</w:t>
      </w:r>
      <w:r>
        <w:rPr>
          <w:rFonts w:ascii="Times New Roman" w:hAnsi="Times New Roman"/>
          <w:sz w:val="20"/>
        </w:rPr>
        <w:t xml:space="preserve">), as approved by the competent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 of Companion Diagnostics in the EU </w:t>
      </w:r>
    </w:p>
    <w:p>
      <w:pPr>
        <w:pStyle w:val="TextBody"/>
        <w:bidi w:val="0"/>
        <w:spacing w:before="120" w:after="0"/>
        <w:jc w:val="left"/>
        <w:rPr>
          <w:rFonts w:ascii="Times New Roman" w:hAnsi="Times New Roman"/>
          <w:sz w:val="20"/>
        </w:rPr>
      </w:pPr>
      <w:r>
        <w:rPr>
          <w:rFonts w:ascii="Times New Roman" w:hAnsi="Times New Roman"/>
          <w:sz w:val="20"/>
        </w:rPr>
        <w:t xml:space="preserve">In the EU, despite the absence of a legal definition, companion diagnostics are deemed to be </w:t>
      </w:r>
      <w:r>
        <w:rPr>
          <w:rFonts w:ascii="Times New Roman" w:hAnsi="Times New Roman"/>
          <w:i/>
          <w:sz w:val="20"/>
        </w:rPr>
        <w:t>in vitro</w:t>
      </w:r>
      <w:r>
        <w:rPr>
          <w:rFonts w:ascii="Times New Roman" w:hAnsi="Times New Roman"/>
          <w:sz w:val="20"/>
        </w:rPr>
        <w:t xml:space="preserve"> diagnostic medical devices and are governed by Directive 98/79/EC (</w:t>
      </w:r>
      <w:r>
        <w:rPr>
          <w:rFonts w:ascii="Times New Roman" w:hAnsi="Times New Roman"/>
          <w:i/>
          <w:sz w:val="20"/>
        </w:rPr>
        <w:t>IVDD</w:t>
      </w:r>
      <w:r>
        <w:rPr>
          <w:rFonts w:ascii="Times New Roman" w:hAnsi="Times New Roman"/>
          <w:sz w:val="20"/>
        </w:rPr>
        <w:t xml:space="preserve">). The IVDD currently regulates the placing on the market, the CE-marking, the essential requirements, the conformity assessment procedures, the registration obligations for manufacturers and devices as well as the vigilance procedure related to such products. </w:t>
      </w:r>
      <w:r>
        <w:rPr>
          <w:rFonts w:ascii="Times New Roman" w:hAnsi="Times New Roman"/>
          <w:i/>
          <w:sz w:val="20"/>
        </w:rPr>
        <w:t xml:space="preserve">In vitro </w:t>
      </w:r>
      <w:r>
        <w:rPr>
          <w:rFonts w:ascii="Times New Roman" w:hAnsi="Times New Roman"/>
          <w:sz w:val="20"/>
        </w:rPr>
        <w:t xml:space="preserve">diagnostic medical devices, including companion diagnostics, must comply with the requirements provided for in the IVDD, and with further requirements implemented at national level (as the case may be). </w:t>
      </w:r>
    </w:p>
    <w:p>
      <w:pPr>
        <w:pStyle w:val="TextBody"/>
        <w:bidi w:val="0"/>
        <w:spacing w:before="240" w:after="0"/>
        <w:jc w:val="left"/>
        <w:rPr>
          <w:rFonts w:ascii="Times New Roman" w:hAnsi="Times New Roman"/>
          <w:sz w:val="20"/>
        </w:rPr>
      </w:pPr>
      <w:r>
        <w:rPr>
          <w:rFonts w:ascii="Times New Roman" w:hAnsi="Times New Roman"/>
          <w:i/>
          <w:sz w:val="20"/>
        </w:rPr>
        <w:t>In vitro</w:t>
      </w:r>
      <w:r>
        <w:rPr>
          <w:rFonts w:ascii="Times New Roman" w:hAnsi="Times New Roman"/>
          <w:sz w:val="20"/>
        </w:rPr>
        <w:t xml:space="preserve"> diagnostic medical devices (including companion diagnostics) are currently required to conform with the essential requirements of the IVDD. To demonstrate compliance with the essential requirements laid down in Annex I to the IVDD, the manufacturer must conduct a conformity assessment procedure. </w:t>
      </w:r>
    </w:p>
    <w:p>
      <w:pPr>
        <w:pStyle w:val="TextBody"/>
        <w:bidi w:val="0"/>
        <w:spacing w:before="240" w:after="0"/>
        <w:jc w:val="left"/>
        <w:rPr>
          <w:rFonts w:ascii="Times New Roman" w:hAnsi="Times New Roman"/>
          <w:sz w:val="20"/>
        </w:rPr>
      </w:pPr>
      <w:r>
        <w:rPr>
          <w:rFonts w:ascii="Times New Roman" w:hAnsi="Times New Roman"/>
          <w:sz w:val="20"/>
        </w:rPr>
        <w:t xml:space="preserve">For general </w:t>
      </w:r>
      <w:r>
        <w:rPr>
          <w:rFonts w:ascii="Times New Roman" w:hAnsi="Times New Roman"/>
          <w:i/>
          <w:sz w:val="20"/>
        </w:rPr>
        <w:t>in vitro</w:t>
      </w:r>
      <w:r>
        <w:rPr>
          <w:rFonts w:ascii="Times New Roman" w:hAnsi="Times New Roman"/>
          <w:sz w:val="20"/>
        </w:rPr>
        <w:t xml:space="preserve"> diagnostic medical devices (i.e. all IVDs other than those covered by Annex II to the IVDD and IVDs for self-testing), the conformity assessment is performed through a self-assessment of the manufacturer without the intervention of a notified body which is an independent organization designated by the competent authorities of an EU member state to assess the conformity of devices before being placed on the market. The manufacturer must prepare an EC Declaration of Conformity confirming conformity of its products with the essential requirements laid down in the IVDD before placing the product on the EU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 contrast, the conformity assessment of </w:t>
      </w:r>
      <w:r>
        <w:rPr>
          <w:rFonts w:ascii="Times New Roman" w:hAnsi="Times New Roman"/>
          <w:i/>
          <w:sz w:val="20"/>
        </w:rPr>
        <w:t>in vitro</w:t>
      </w:r>
      <w:r>
        <w:rPr>
          <w:rFonts w:ascii="Times New Roman" w:hAnsi="Times New Roman"/>
          <w:sz w:val="20"/>
        </w:rPr>
        <w:t xml:space="preserve"> diagnostic medical devices for self-testing or that are listed in Annex II (i.e. essentially moderate and high risk reagents and reagent products) to the IVDD requires the intervention of a notified body. Following successful completion of a conformity assessment procedure the notified body will issue a CE Certificate of Conformity. The device manufacturer may, after having completed remaining related procedures and obligations, affix the CE mark to its medical device after having prepared and signed a related EC Declaration of Conformity. </w:t>
      </w:r>
    </w:p>
    <w:p>
      <w:pPr>
        <w:pStyle w:val="TextBody"/>
        <w:bidi w:val="0"/>
        <w:spacing w:before="240" w:after="0"/>
        <w:jc w:val="left"/>
        <w:rPr>
          <w:rFonts w:ascii="Times New Roman" w:hAnsi="Times New Roman"/>
          <w:sz w:val="20"/>
        </w:rPr>
      </w:pPr>
      <w:r>
        <w:rPr>
          <w:rFonts w:ascii="Times New Roman" w:hAnsi="Times New Roman"/>
          <w:sz w:val="20"/>
        </w:rPr>
        <w:t xml:space="preserve">The regulation of companion diagnostics will be subject to further requirements once the </w:t>
      </w:r>
      <w:r>
        <w:rPr>
          <w:rFonts w:ascii="Times New Roman" w:hAnsi="Times New Roman"/>
          <w:i/>
          <w:sz w:val="20"/>
        </w:rPr>
        <w:t>in vitro</w:t>
      </w:r>
      <w:r>
        <w:rPr>
          <w:rFonts w:ascii="Times New Roman" w:hAnsi="Times New Roman"/>
          <w:sz w:val="20"/>
        </w:rPr>
        <w:t xml:space="preserve"> diagnostic medical devices Regulation (No 2017/746), (</w:t>
      </w:r>
      <w:r>
        <w:rPr>
          <w:rFonts w:ascii="Times New Roman" w:hAnsi="Times New Roman"/>
          <w:i/>
          <w:sz w:val="20"/>
        </w:rPr>
        <w:t>IVDR</w:t>
      </w:r>
      <w:r>
        <w:rPr>
          <w:rFonts w:ascii="Times New Roman" w:hAnsi="Times New Roman"/>
          <w:sz w:val="20"/>
        </w:rPr>
        <w:t xml:space="preserve">), becomes applicable on May 26, 2022.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If the medicinal product has, or is in the process of, been authorized through the centralized procedure for the authorization of medicinal products, the notified body will, before it can issue a CE Certificate of Conformity, be required to seek a scientific opinion from the EMA on the suitability of the companion diagnostic for use in relation to the medicinal product concerned. For medicinal products that have or are in the process of authorization through any other route provided in EU legislation, the notified body must seek the opinion of the national competent authority of an EU Member State.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manufacturers are subject to additional healthcare laws, regulation, and enforcement by the U.S. federal government and by authorities in the states and foreign jurisdictions in which they conduct their business. Such laws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order, lease, furnishing, prescribing or recommendation of, any good or service, for which payment may be made under federal and state healthcare programs, such as Medicare and Medicaid. The term remuneration has been broadly interpreted to include anything of value. The Patient Protection and Affordable Care Act, as amended by the Health Care and Education Reconciliation Act, (collectively, the </w:t>
            </w:r>
            <w:r>
              <w:rPr>
                <w:rFonts w:ascii="Times New Roman" w:hAnsi="Times New Roman"/>
                <w:i/>
                <w:sz w:val="20"/>
              </w:rPr>
              <w:t>ACA</w:t>
            </w:r>
            <w:r>
              <w:rPr>
                <w:rFonts w:ascii="Times New Roman" w:hAnsi="Times New Roman"/>
                <w:sz w:val="20"/>
              </w:rPr>
              <w:t xml:space="preserve">), among other things, amended the intent requirement of the federal Anti-Kickback Statute such that a person or entity no longer needs to have actual knowledge of the statute or specific intent to violate, in order to commit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civil and criminal false claims laws, including the federal False Claims Act which can be enforced by private individuals on behalf of the government through civil whistleblower or qui tam actions, and civil monetary penalty laws prohibit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 In addition, a claim including items or services resulting from a violation of the federal Anti-Kickback Statute constitutes a false or fraudulent claim for purposes of the federal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Health Insurance Portability and Accountability Act of 1996 (</w:t>
            </w:r>
            <w:r>
              <w:rPr>
                <w:rFonts w:ascii="Times New Roman" w:hAnsi="Times New Roman"/>
                <w:i/>
                <w:sz w:val="20"/>
              </w:rPr>
              <w:t>HIPAA</w:t>
            </w:r>
            <w:r>
              <w:rPr>
                <w:rFonts w:ascii="Times New Roman" w:hAnsi="Times New Roman"/>
                <w:sz w:val="20"/>
              </w:rPr>
              <w:t xml:space="preserve">), which imposes criminal and civil liability for knowingly and willfully executing, or attempting to execute, a scheme to defraud any healthcare benefit program, including third-party payors, knowingly and willfully embezzling or stealing from a healthcare benefit program, willfully obstructing a criminal investigation of a healthcare offense, and knowingly and willfully falsifying, concealing or covering up a material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 or making any materially false, fictitious or fraudulent statements in connection with the delivery of or payment for healthcare benefits, items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HIPAA, as amended by the Health Information Technology for Economic and Clinical Health Act of 2009 (</w:t>
            </w:r>
            <w:r>
              <w:rPr>
                <w:rFonts w:ascii="Times New Roman" w:hAnsi="Times New Roman"/>
                <w:i/>
                <w:sz w:val="20"/>
              </w:rPr>
              <w:t>HITECH</w:t>
            </w:r>
            <w:r>
              <w:rPr>
                <w:rFonts w:ascii="Times New Roman" w:hAnsi="Times New Roman"/>
                <w:sz w:val="20"/>
              </w:rPr>
              <w:t xml:space="preserve">),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Physician Payments Sunshine Act, which requires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which is defined to include doctors, dentists, optometrists, podiatrists and chiropractors, other health care professionals (such as physician assistants and nurse practitioners), and teaching hospitals and ownership and investment interests held by some of these healthcare professionals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foreign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disgorgement,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 </w:t>
      </w:r>
    </w:p>
    <w:p>
      <w:pPr>
        <w:pStyle w:val="TextBody"/>
        <w:bidi w:val="0"/>
        <w:spacing w:before="240" w:after="0"/>
        <w:jc w:val="left"/>
        <w:rPr>
          <w:rFonts w:ascii="Times New Roman" w:hAnsi="Times New Roman"/>
          <w:sz w:val="20"/>
        </w:rPr>
      </w:pPr>
      <w:r>
        <w:rPr>
          <w:rFonts w:ascii="Times New Roman" w:hAnsi="Times New Roman"/>
          <w:sz w:val="20"/>
        </w:rPr>
        <w:t>The collection and use of personal health data in the EEA is governed by the General Data Protection Regulation ((EU) 2016/679), (</w:t>
      </w:r>
      <w:r>
        <w:rPr>
          <w:rFonts w:ascii="Times New Roman" w:hAnsi="Times New Roman"/>
          <w:i/>
          <w:sz w:val="20"/>
        </w:rPr>
        <w:t>GDPR</w:t>
      </w:r>
      <w:r>
        <w:rPr>
          <w:rFonts w:ascii="Times New Roman" w:hAnsi="Times New Roman"/>
          <w:sz w:val="20"/>
        </w:rPr>
        <w:t xml:space="preserve">), which became effective May 25, 2018. The GDPR applies to any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established in the EEA and to companies established outside the EEA that process personal data in connection with the offering of goods or services to data subjects in the EU or the monitoring of the behavior of data subjects in the EU. The GDPR enhances data protection obligations for controllers and processors of personal data, including stringent requirements relating to the consent of data subjects, expanded disclosures about how personal data is used, requirements to conduct privacy impact assessments for high-risk processing, limitations on retention of personal data and mandatory data breach notification and privacy by design requirements, and creates direct obligations on service providers acting as data processors. The GDPR also imposes strict rules on the transfer of personal data out of the EEA to countries that do not ensure the same level of protection, such as the United States. Failure to comply with the requirements of the GDPR and the related national data protection laws of the EEA countries may result in fines up to 20 million Euros or 4% of a companys global annual revenues for the preceding financial year, whichever is higher. Moreover, the GDPR grants data subjects the right to claim compensation for damages resulting from infringement of the GDPR. </w:t>
      </w:r>
    </w:p>
    <w:p>
      <w:pPr>
        <w:pStyle w:val="TextBody"/>
        <w:bidi w:val="0"/>
        <w:spacing w:before="240" w:after="0"/>
        <w:jc w:val="left"/>
        <w:rPr>
          <w:rFonts w:ascii="Times New Roman" w:hAnsi="Times New Roman"/>
          <w:sz w:val="20"/>
        </w:rPr>
      </w:pPr>
      <w:r>
        <w:rPr>
          <w:rFonts w:ascii="Times New Roman" w:hAnsi="Times New Roman"/>
          <w:sz w:val="20"/>
        </w:rPr>
        <w:t>Following the United Kingdoms (the </w:t>
      </w:r>
      <w:r>
        <w:rPr>
          <w:rFonts w:ascii="Times New Roman" w:hAnsi="Times New Roman"/>
          <w:i/>
          <w:sz w:val="20"/>
        </w:rPr>
        <w:t>UK</w:t>
      </w:r>
      <w:r>
        <w:rPr>
          <w:rFonts w:ascii="Times New Roman" w:hAnsi="Times New Roman"/>
          <w:sz w:val="20"/>
        </w:rPr>
        <w:t xml:space="preserve">) withdrawal from the EU and the expiration of the transition period, from January 31, 2020, companies doing business in the EU and the UK will be obliged to comply with both the GDPR and the U.K. GDPR. On June 28, 2021, the European Commission adopted an adequacy decision permitting flows of personal data between the EU and the UK to continue without additional requirements. However, the UK adequacy decision will automatically expire in June 2025 unless the European Commission re-assesses and renews/ extends that decision and remains under review by the European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Brexit and the Regulatory Framework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UKs withdrawal from the EU on January 31, 2020, commonly referred to as Brexit, has created significant uncertainty concerning the future relationship between the UK and the EU. The Medicines and Healthcare products Regulatory Agency (MHRA) is now the UKs standalone regulator. </w:t>
      </w:r>
    </w:p>
    <w:p>
      <w:pPr>
        <w:pStyle w:val="TextBody"/>
        <w:bidi w:val="0"/>
        <w:spacing w:before="240" w:after="0"/>
        <w:jc w:val="left"/>
        <w:rPr>
          <w:rFonts w:ascii="Times New Roman" w:hAnsi="Times New Roman"/>
          <w:sz w:val="20"/>
        </w:rPr>
      </w:pPr>
      <w:r>
        <w:rPr>
          <w:rFonts w:ascii="Times New Roman" w:hAnsi="Times New Roman"/>
          <w:sz w:val="20"/>
        </w:rPr>
        <w:t xml:space="preserve">On December 24, 2020, the EU and UK reached an agreement in principle on the framework for their future relationship, the EU-U.K. Trade and Cooperation Agreement. The EU-U.K. Trade and Cooperation Agreement primarily focuses on ensuring free trade between the EU and the UK in relation to goods, including medicinal products. Although the body of the Agreement includes general terms which apply to medicinal products, greater detail on sector-specific issues is provided in an Annex to the EU-U.K. Trade and Cooperation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Among the changes that will now occur are that Great Britain (England, Scotland and Wales) will be treated as a third country. Northern Ireland will, with regard to EU regulations, continue to follow the EU regulatory rules.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EU-U.K. Trade and Cooperation Agreement, the EU and the UK will recognize GMP inspections carried out by the other party and the acceptance of official GMP documents issued by the other party. The EU-U.K.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w:t>
      </w:r>
    </w:p>
    <w:p>
      <w:pPr>
        <w:pStyle w:val="TextBody"/>
        <w:bidi w:val="0"/>
        <w:spacing w:before="360" w:after="0"/>
        <w:jc w:val="left"/>
        <w:rPr>
          <w:rFonts w:ascii="Times New Roman" w:hAnsi="Times New Roman"/>
          <w:sz w:val="20"/>
        </w:rPr>
      </w:pPr>
      <w:r>
        <w:rPr>
          <w:rFonts w:ascii="Times New Roman" w:hAnsi="Times New Roman"/>
          <w:sz w:val="20"/>
        </w:rPr>
        <w:t xml:space="preserve">The UK has unilaterally agreed to accept EU batch testing and batch release for a period of at least two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a separate regulatory submission process, approval process and a national marketing authorization. Northern Ireland will, however, continue to be covered by the marketing authorizations s granted by the European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UK regulatory framework in relation to clinical trials is derived from existing EU legislation (as implemented into UK law, through secondary legislation). It is currently unclear to what extent the UK will seek to align its regulations with the EU following entry into application of the Clinical Trials Regulation on January 31, 2022. </w:t>
      </w:r>
    </w:p>
    <w:p>
      <w:pPr>
        <w:pStyle w:val="TextBody"/>
        <w:bidi w:val="0"/>
        <w:spacing w:before="240" w:after="0"/>
        <w:jc w:val="left"/>
        <w:rPr>
          <w:rFonts w:ascii="Times New Roman" w:hAnsi="Times New Roman"/>
          <w:sz w:val="20"/>
        </w:rPr>
      </w:pPr>
      <w:r>
        <w:rPr>
          <w:rFonts w:ascii="Times New Roman" w:hAnsi="Times New Roman"/>
          <w:sz w:val="20"/>
        </w:rPr>
        <w:t xml:space="preserve">Since January 1, 2021, an applicant for a centralized procedure marketing authorization can no longer be established in the UK. Since this date, companies established in the UK cannot use the centralized procedure and instead must follow one of the UK national authorization procedures to obtain a marketing authorization to market products in the UK. For an initial two year period from January 1, 2021, MHRA is able to rely on a decision taken by the European Commission on the approval of a new centralized procedure marketing authorization when determining an application for a Great Britain marketing authorization; or use the MHRAs decentralized or mutual recognition procedures which enable marketing authorizations approved in EEA countries to be granted in Great Britain. This two year period was recently extended to December 31, 2023. Post Brexit, the MHRA has been updating various aspects of the regulatory regime for medicinal products in the UK. These include: introducing the Innovative Licensing and Access Procedure to accelerate the time to market and facilitate patient access for innovative medicinal products; and updates to the UK national approval procedure, introducing a 150-day objective for assessing applications for marketing authorizations in the UK, Great Britain and Northern Ireland and a rolling review process for marketing authorization applications (rather than a consolidated full dossier submission). </w:t>
      </w:r>
    </w:p>
    <w:p>
      <w:pPr>
        <w:pStyle w:val="TextBody"/>
        <w:bidi w:val="0"/>
        <w:spacing w:before="240" w:after="0"/>
        <w:jc w:val="left"/>
        <w:rPr>
          <w:rFonts w:ascii="Times New Roman" w:hAnsi="Times New Roman"/>
          <w:sz w:val="20"/>
        </w:rPr>
      </w:pPr>
      <w:r>
        <w:rPr>
          <w:rFonts w:ascii="Times New Roman" w:hAnsi="Times New Roman"/>
          <w:sz w:val="20"/>
        </w:rPr>
        <w:t xml:space="preserve">Orphan designation in Great Britain following Brexit is, unlike in the EU, not available pre-marketing authorization. Applications for orphan designation are made at the same time as an application for a marketing authorization. The criteria to be granted an orphan drug designation or essentially identical to those in the European Union but based on the prevalence of the condition in Great Britain. It is therefore possible that conditions that were or would have been designated as orphan conditions in Great Britain prior to the end of the transition period are or would no longer be and that conditions that were not or would not have been designated as orphan conditions in the European Union will be designated as such in Great Britain.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 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w:t>
      </w:r>
    </w:p>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examining the medical necessity and reviewing the cost-effectiveness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 party reimbursement for any product or a decision by a third-party payor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In international markets, reimbursement and healthcare payment systems vary significantly by country, and many countries have instituted price ceilings on specific products and therapies. For example, the European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certain foreign jurisdictions, there have been, and we expect there will continue to be, a number of legislative and regulatory changes to the healthcare system. In March 2010,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 </w:t>
      </w:r>
    </w:p>
    <w:p>
      <w:pPr>
        <w:pStyle w:val="TextBody"/>
        <w:bidi w:val="0"/>
        <w:spacing w:before="240" w:after="0"/>
        <w:jc w:val="left"/>
        <w:rPr>
          <w:rFonts w:ascii="Times New Roman" w:hAnsi="Times New Roman"/>
          <w:sz w:val="20"/>
        </w:rPr>
      </w:pPr>
      <w:r>
        <w:rPr>
          <w:rFonts w:ascii="Times New Roman" w:hAnsi="Times New Roman"/>
          <w:sz w:val="20"/>
        </w:rPr>
        <w:t xml:space="preserve">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(IRA), into law, which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or additional health reform measures of the Biden administration will impact the ACA.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These changes include aggregate reductions to Medicare payments to providers of up to 2% per fiscal year, effective April 1, 2013,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due to subsequent legislative amendments, will stay in effect until 2031 with the exception of a temporary suspension implemented under various COVID-19 relief legislation from May 1, 2020 through March 31, 2021, unless additional congressional action is taken. Under current legislation, the actual reduction in Medicare payments will vary from 1% in 2022 to up to 4% in the final fiscal year of this sequester.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hAnsi="Times New Roman"/>
          <w:i/>
          <w:sz w:val="20"/>
        </w:rPr>
        <w:t>HHS</w:t>
      </w:r>
      <w:r>
        <w:rPr>
          <w:rFonts w:ascii="Times New Roman" w:hAnsi="Times New Roman"/>
          <w:sz w:val="20"/>
        </w:rPr>
        <w:t xml:space="preserve">), released a Comprehensive Plan for Addressing High Drug Prices that outlines principles for drug pricing reform and sets out a variety of potential legislative policies that Congress could pursue to advance these principles. In addition, the IRA, among other things: (i) allows HHS to negotiate the price of certain single-source drugs and biologics covered under Medicare,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These provisions will take effect progressively starting in 2023, although they may be subject to legal challenges.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in response to the COVID-19 pandemic. Furthermore, there has been increased interest by third-party payors and governmental authorities in reference to pricing systems and publication of discounts and list prices. </w:t>
      </w:r>
    </w:p>
    <w:p>
      <w:pPr>
        <w:pStyle w:val="TextBody"/>
        <w:bidi w:val="0"/>
        <w:spacing w:before="240" w:after="0"/>
        <w:jc w:val="left"/>
        <w:rPr>
          <w:rFonts w:ascii="Times New Roman" w:hAnsi="Times New Roman"/>
          <w:sz w:val="20"/>
        </w:rPr>
      </w:pPr>
      <w:r>
        <w:rPr>
          <w:rFonts w:ascii="Times New Roman" w:hAnsi="Times New Roman"/>
          <w:sz w:val="20"/>
        </w:rPr>
        <w:t>The Health Technology Assessment (</w:t>
      </w:r>
      <w:r>
        <w:rPr>
          <w:rFonts w:ascii="Times New Roman" w:hAnsi="Times New Roman"/>
          <w:i/>
          <w:sz w:val="20"/>
        </w:rPr>
        <w:t>HTA</w:t>
      </w:r>
      <w:r>
        <w:rPr>
          <w:rFonts w:ascii="Times New Roman" w:hAnsi="Times New Roman"/>
          <w:sz w:val="20"/>
        </w:rPr>
        <w:t xml:space="preserve">) process,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A new regulation adopted in December 2021 the HTA Regulation, is intended to boost cooperation among EU Member States in assessing health technologies, including new medicinal products, and to provide the basis for cooperation at EU level for joint clinical assessments in these areas. The Regulation will apply from 2025 followed by a phased roll-out ending in 2028.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we had 28 employees. Our headcount for R&amp;D was 15, and our headcount for G&amp;A was 13. Our employees include 11 executive leadership, administrative, and development personnel based in Switzerland; 8 executive leadership, administrative, and research personnel based in Iceland; 5 executives and administrators based in the United States; 4 management, research and administrative personnel based in France and China. Pursuant to local laws, our employees in Iceland and France are represented by a labor union or covered under a collective bargaining agreement. We consider our relationship with our employees to be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 based compensation awards, in order to increase stockholder value and the success of our company by motivating such individuals to perform to the best of their abilities and achieve our objectives.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We currently lease approximately 7,200 square feet of laboratory and office space in Iceland, Switzerland and the United States. We believe these facilities will be adequate for the foreseeable future and that suitable additional or substitute space will be available as and when needed. We believe that these facilities are adequate to meet our current needs, but we are constantly evaluating our needs for expanding and or adding to our existing facilities.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394147_12"/>
      <w:bookmarkEnd w:id="14"/>
      <w:r>
        <w:rPr>
          <w:rFonts w:ascii="Times New Roman" w:hAnsi="Times New Roman"/>
          <w:b/>
          <w:sz w:val="20"/>
        </w:rPr>
        <w:t xml:space="preserve">BOARD OF DIRECTORS AND EXECUTIVE MANAGEMENT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Management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current executive officers and directors of Oculis as of the filing date. Unless otherwise noted, the business address of each of the directors and executive officers of Oculis is Bahnhofstrasse 7, 6300 Zug, Switzerland. It is expected that Oculis principal executive office will move in the second quarter of 2023 to Oculis Holding AG, EPFL Innovation Park, Bat D 3e Route J-D. Colladon, CH-1015 Lausanne, Switzerland.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85"/>
        <w:gridCol w:w="121"/>
        <w:gridCol w:w="79"/>
        <w:gridCol w:w="446"/>
        <w:gridCol w:w="189"/>
        <w:gridCol w:w="207"/>
        <w:gridCol w:w="4578"/>
      </w:tblGrid>
      <w:tr>
        <w:trPr/>
        <w:tc>
          <w:tcPr>
            <w:tcW w:w="45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4578" w:type="dxa"/>
            <w:tcBorders/>
            <w:vAlign w:val="center"/>
          </w:tcPr>
          <w:p>
            <w:pPr>
              <w:pStyle w:val="TableContents"/>
              <w:bidi w:val="0"/>
              <w:spacing w:before="0" w:after="283"/>
              <w:jc w:val="left"/>
              <w:rPr>
                <w:sz w:val="4"/>
                <w:szCs w:val="4"/>
              </w:rPr>
            </w:pPr>
            <w:r>
              <w:rPr>
                <w:sz w:val="4"/>
                <w:szCs w:val="4"/>
              </w:rPr>
            </w:r>
          </w:p>
        </w:tc>
      </w:tr>
      <w:tr>
        <w:trPr/>
        <w:tc>
          <w:tcPr>
            <w:tcW w:w="458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c>
          <w:tcPr>
            <w:tcW w:w="458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Executive Officers (Senior Management)</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sz w:val="4"/>
                <w:szCs w:val="4"/>
              </w:rPr>
            </w:pPr>
            <w:r>
              <w:rPr>
                <w:sz w:val="4"/>
                <w:szCs w:val="4"/>
              </w:rPr>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Riad Sherif, M.D.</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55</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Chief Executive Officer and Director</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Sylvia Cheung</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48</w:t>
            </w:r>
          </w:p>
        </w:tc>
        <w:tc>
          <w:tcPr>
            <w:tcW w:w="18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pPr>
            <w:r>
              <w:rPr/>
              <w:t>Chief Financial Officer</w:t>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Páll Ragnar Jóhannesson</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42</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Chief Strategy Officer</w:t>
            </w:r>
          </w:p>
        </w:tc>
      </w:tr>
      <w:tr>
        <w:trPr/>
        <w:tc>
          <w:tcPr>
            <w:tcW w:w="4585"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Senior Management</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sz w:val="4"/>
                <w:szCs w:val="4"/>
              </w:rPr>
            </w:pPr>
            <w:r>
              <w:rPr>
                <w:sz w:val="4"/>
                <w:szCs w:val="4"/>
              </w:rPr>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Joanne Chang, M.D., Ph. D.</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62</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Head of Medical Affairs</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Bastian Dehmel, M.D.</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52</w:t>
            </w:r>
          </w:p>
        </w:tc>
        <w:tc>
          <w:tcPr>
            <w:tcW w:w="18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pPr>
            <w:r>
              <w:rPr/>
              <w:t>Head of Development</w:t>
            </w:r>
          </w:p>
        </w:tc>
      </w:tr>
      <w:tr>
        <w:trPr/>
        <w:tc>
          <w:tcPr>
            <w:tcW w:w="458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sz w:val="4"/>
                <w:szCs w:val="4"/>
              </w:rPr>
            </w:pPr>
            <w:r>
              <w:rPr>
                <w:sz w:val="4"/>
                <w:szCs w:val="4"/>
              </w:rPr>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Rosenberg</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70</w:t>
            </w:r>
          </w:p>
        </w:tc>
        <w:tc>
          <w:tcPr>
            <w:tcW w:w="18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pPr>
            <w:r>
              <w:rPr/>
              <w:t>Chairman of the Board of Directors</w:t>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Christina Ackermann</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58</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Director</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Carnot</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55</w:t>
            </w:r>
          </w:p>
        </w:tc>
        <w:tc>
          <w:tcPr>
            <w:tcW w:w="18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pPr>
            <w:r>
              <w:rPr/>
              <w:t>Director</w:t>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Pravin Dugel, M.D.</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59</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Director</w:t>
            </w:r>
          </w:p>
        </w:tc>
      </w:tr>
      <w:tr>
        <w:trPr/>
        <w:tc>
          <w:tcPr>
            <w:tcW w:w="4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Martijn Kleijwegt</w:t>
            </w:r>
          </w:p>
        </w:tc>
        <w:tc>
          <w:tcPr>
            <w:tcW w:w="121"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68</w:t>
            </w:r>
          </w:p>
        </w:tc>
        <w:tc>
          <w:tcPr>
            <w:tcW w:w="18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4578" w:type="dxa"/>
            <w:tcBorders/>
            <w:shd w:fill="CCEEFF" w:val="clear"/>
            <w:vAlign w:val="bottom"/>
          </w:tcPr>
          <w:p>
            <w:pPr>
              <w:pStyle w:val="TableContents"/>
              <w:bidi w:val="0"/>
              <w:spacing w:before="0" w:after="283"/>
              <w:jc w:val="left"/>
              <w:rPr/>
            </w:pPr>
            <w:r>
              <w:rPr/>
              <w:t>Director</w:t>
            </w:r>
          </w:p>
        </w:tc>
      </w:tr>
      <w:tr>
        <w:trPr/>
        <w:tc>
          <w:tcPr>
            <w:tcW w:w="4585" w:type="dxa"/>
            <w:tcBorders/>
          </w:tcPr>
          <w:p>
            <w:pPr>
              <w:pStyle w:val="TableContents"/>
              <w:bidi w:val="0"/>
              <w:spacing w:before="0" w:after="0"/>
              <w:jc w:val="left"/>
              <w:rPr>
                <w:rFonts w:ascii="Times New Roman" w:hAnsi="Times New Roman"/>
                <w:sz w:val="20"/>
              </w:rPr>
            </w:pPr>
            <w:r>
              <w:rPr>
                <w:rFonts w:ascii="Times New Roman" w:hAnsi="Times New Roman"/>
                <w:sz w:val="20"/>
              </w:rPr>
              <w:t>Geraldine OKeeffe</w:t>
            </w:r>
          </w:p>
        </w:tc>
        <w:tc>
          <w:tcPr>
            <w:tcW w:w="121"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57</w:t>
            </w:r>
          </w:p>
        </w:tc>
        <w:tc>
          <w:tcPr>
            <w:tcW w:w="18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578"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i/>
          <w:sz w:val="20"/>
        </w:rPr>
        <w:t xml:space="preserve">Riad Sherif, M.D., </w:t>
      </w:r>
      <w:r>
        <w:rPr>
          <w:rFonts w:ascii="Times New Roman" w:hAnsi="Times New Roman"/>
          <w:sz w:val="20"/>
        </w:rPr>
        <w:t xml:space="preserve">55, has served as the Chief Executive Officer and Director of Oculis since December 2017. Previously, from June 2016 to September 2017, Dr. Sherif served as Entrepreneur in Residence at the Novartis Venture Fund. Before that, Dr. Sherif served as the President of Europe, Middle East and Africa of Alcon, Inc. from March 2014 to May 2016. Prior to that, from January 2002 to April 2014, Dr. Sherif held roles of increasing responsibility at Novartis AG, including as the Global Sales Head in the Transplant and Infectious Disease unit, as the Head for Latin America in transplant and infectious disease, as the President of the Novartis Vaccines and Diagnostics Division for Latin America and where he co-founded Synergium a leading biotech company, and most recently as the President of Novartis Pharmaceuticals, Canada. Prior to Novartis, Dr. Sherif worked for several pharmaceutical companies, holding positions of increasing seniority, mainly in marketing and general management with international scope. Dr. Sherif currently serves as a member of the board of directors of Revenio Group corporation. Dr. Sherif previously served as the Vice Chairman for the Innovative Medicine Canada Association, as the Chairman of In-Vivo Montreal, and as the Chairman of the Board Ophthalmic Surgery and Vision Care of Eucomed. Dr. Sherif is a Medical Doctor by training, and holds an MBA from IMD Business School and a Specialized Masters Degree in Medical Management from ESCP. </w:t>
      </w:r>
    </w:p>
    <w:p>
      <w:pPr>
        <w:pStyle w:val="TextBody"/>
        <w:bidi w:val="0"/>
        <w:spacing w:before="240" w:after="0"/>
        <w:jc w:val="left"/>
        <w:rPr>
          <w:rFonts w:ascii="Times New Roman" w:hAnsi="Times New Roman"/>
          <w:sz w:val="20"/>
        </w:rPr>
      </w:pPr>
      <w:r>
        <w:rPr>
          <w:rFonts w:ascii="Times New Roman" w:hAnsi="Times New Roman"/>
          <w:i/>
          <w:sz w:val="20"/>
        </w:rPr>
        <w:t>Sylvia Cheung, 48</w:t>
      </w:r>
      <w:r>
        <w:rPr>
          <w:rFonts w:ascii="Times New Roman" w:hAnsi="Times New Roman"/>
          <w:sz w:val="20"/>
        </w:rPr>
        <w:t xml:space="preserve">, has served as the Chief Financial Officer of Oculis since September 2020. Prior to that, from October 2005 to August 2020, Ms. Cheung held executive positions at Anika Therapeutics, Inc., a publicly- traded joint preservation company. Most recently, from April 2013 to August 2020, Ms. Cheung served as the Chief Financial Officer of Anika Therapeutics, Inc. Previously, from 2000 to 2005, Ms. Cheung held a series of financial management positions of increasing responsibility at Transkaryotic Therapies, Inc., which was acquired by Shire Pharmaceuticals in 2005. Before that, from 1995 to 2000, Ms. Cheung served as a Senior Associate at PricewaterhouseCoopers. Ms. Cheung holds a Bachelor of Business Administration degree in Accounting from the University of Massachusetts in Amherst, an MBA from Boston University, and was certified as Certified Public Accountant in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Páll Ragnar Jóhannesson, </w:t>
      </w:r>
      <w:r>
        <w:rPr>
          <w:rFonts w:ascii="Times New Roman" w:hAnsi="Times New Roman"/>
          <w:sz w:val="20"/>
        </w:rPr>
        <w:t xml:space="preserve">42, has served as the Chief Strategy Officer of Oculis since September 2020. Previously, from January 2018 to September 2020, Mr. Jóhannesson served as the Chief Financial Officer of Oculis. Additionally, Mr. Jóhannesson has served as the Managing Director of Oculis Iceland ehf. since May 2015. Prior to that, from February 2012 to April 2015, Mr. Jóhannesson held a series of corporate finance positions of increasing responsibility at Straumur Investment Bank, and most recently, from September 2013 to April 2015, Mr. Jóhannesson served as the Managing Director, Corporate Finance. Before that, from January 2009 to November 2011, Mr. Jóhannesson served as a Director, Corporate Finance at Íslandsbanki and its predecessor Glitnir Bank. Mr. Jóhannesson holds a B.Sc. in Industrial Engineering from the University of Iceland, an M.Phil in Management Science from the University of Cambridge, and was certified as securities broker in Iceland.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Senior Management </w:t>
      </w:r>
    </w:p>
    <w:p>
      <w:pPr>
        <w:pStyle w:val="TextBody"/>
        <w:bidi w:val="0"/>
        <w:spacing w:before="120" w:after="0"/>
        <w:jc w:val="left"/>
        <w:rPr>
          <w:rFonts w:ascii="Times New Roman" w:hAnsi="Times New Roman"/>
          <w:sz w:val="20"/>
        </w:rPr>
      </w:pPr>
      <w:r>
        <w:rPr>
          <w:rFonts w:ascii="Times New Roman" w:hAnsi="Times New Roman"/>
          <w:i/>
          <w:sz w:val="20"/>
        </w:rPr>
        <w:t xml:space="preserve">Joanne Chang, M.D., Ph.D., </w:t>
      </w:r>
      <w:r>
        <w:rPr>
          <w:rFonts w:ascii="Times New Roman" w:hAnsi="Times New Roman"/>
          <w:sz w:val="20"/>
        </w:rPr>
        <w:t xml:space="preserve">62, has served as the Head of Medical Affairs of Oculis since September 2021. Previously, from September 2017 to August 2021, Dr. Chang served as the Worldwide Medical Affairs Head Ophthalmology of Novartis. Prior to that, from January 2014 to August 2017, Dr. Chang served as the Head, Clinical Development &amp; Medical Affairs for the U.S. and Canada of Alcon. Before that, from April 2010 to December 2013, Dr. Chang served as the Vice President, Chief Medical Officer of Novartis Pharma China. Prior to that, from August 2008 to March 2010, Dr. Chang served as Vice President, Evidence Based Medicine of Novartis, United States. Before that, from July 2000 to July 2004, Dr. Chang served as Executive Director, US Health Economics, Outcomes and Reimbursement of Bayer Pharmaceuticals. Prior to that, from June 2000 to June 2004, Dr. Chang served as Director, HEOR, Global Strategic Marketing &amp; Medical Affairs of Sanofi. Before that, from July 1999 to May 2000, Dr. Chang served as Director, Global Health Economics of Johnson &amp; Johnson. Prior to that, from August 1995 to June 1999, Dr. Chang served as Associate Medical Director and Medical Director, Clinical Development of Abbott Laboratories. Dr. Chang holds an M.D. from Wuhan University School of Medicine, a Ph.D. from the University of Maryland Baltimore, and was a post- doctoral fellow at Johns Hopkins University School of Medicine. </w:t>
      </w:r>
    </w:p>
    <w:p>
      <w:pPr>
        <w:pStyle w:val="TextBody"/>
        <w:bidi w:val="0"/>
        <w:spacing w:before="240" w:after="0"/>
        <w:jc w:val="left"/>
        <w:rPr>
          <w:rFonts w:ascii="Times New Roman" w:hAnsi="Times New Roman"/>
          <w:sz w:val="20"/>
        </w:rPr>
      </w:pPr>
      <w:r>
        <w:rPr>
          <w:rFonts w:ascii="Times New Roman" w:hAnsi="Times New Roman"/>
          <w:i/>
          <w:sz w:val="20"/>
        </w:rPr>
        <w:t>Bastian Dehmel, M.D.</w:t>
      </w:r>
      <w:r>
        <w:rPr>
          <w:rFonts w:ascii="Times New Roman" w:hAnsi="Times New Roman"/>
          <w:sz w:val="20"/>
        </w:rPr>
        <w:t xml:space="preserve">, 52, has served as the Head of Development of Oculis since January 2022. Previously, from October 2017 to December 2021, Dr. Dehmel served as the Chief Medical Officer of OxThera AB. Before that, from 2006 to July 2017, Dr. Dehmel held roles of increasing responsibility at Amgen, including as Senior Medical Manager, as International Medical Director, as Clinical Research Medical Director, and most recently, from December 2013 to July 2017, Dr. Dehmel served as Global Development Executive Medical Director of Amgen. Prior to that, from 2005 to 2006, Dr. Dehmel served as International Medical Advisor of NovoNordisk. Before that, from 2003 to 2005, Dr. Dehmel served as Medical Advisor Diabetes of GlaxoSmithKline Germany. Dr. Dehmel holds a Doctor of Medicine (M.D.) from Free University Berlin Medical School and received his clinical training in Internal Medicine at Charité University in Berlin, Germany.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i/>
          <w:sz w:val="20"/>
        </w:rPr>
        <w:t xml:space="preserve">Anthony Rosenberg, </w:t>
      </w:r>
      <w:r>
        <w:rPr>
          <w:rFonts w:ascii="Times New Roman" w:hAnsi="Times New Roman"/>
          <w:sz w:val="20"/>
        </w:rPr>
        <w:t xml:space="preserve">70, has served as Chairman of the board of directors of Oculis since April 2018. Since April 2015, Mr. Rosenberg has served as the Chief Executive Officer of TR Advisory Services GmbH. Additionally, from April 2015 to April 2020, Mr. Rosenberg served as a Managing Director of MPM Capital. Prior to that, from 2005 to 2012, Mr. Rosenberg held a series of business development and licensing positions of increasing seniority at Novartis, and most recently, from 2012 to 2015, Mr. Rosenberg served as the Corporate Head of M&amp;A and Licensing at Novartis International AG. Mr. Rosenberg currently serves on the boards of directors of Argenx BV and Cullinan Oncology. Mr. Rosenberg previously served on the boards of directors of SiO2 Materials Science, TriNetX and Radius Health, Inc. Mr. Rosenberg holds a B.Sc. (Hons) from the University of Leicester and a M.Sc. in Physiology from the University of London. </w:t>
      </w:r>
    </w:p>
    <w:p>
      <w:pPr>
        <w:pStyle w:val="TextBody"/>
        <w:bidi w:val="0"/>
        <w:spacing w:before="240" w:after="0"/>
        <w:jc w:val="left"/>
        <w:rPr>
          <w:rFonts w:ascii="Times New Roman" w:hAnsi="Times New Roman"/>
          <w:sz w:val="20"/>
        </w:rPr>
      </w:pPr>
      <w:r>
        <w:rPr>
          <w:rFonts w:ascii="Times New Roman" w:hAnsi="Times New Roman"/>
          <w:i/>
          <w:sz w:val="20"/>
        </w:rPr>
        <w:t xml:space="preserve">Christina Ackermann, </w:t>
      </w:r>
      <w:r>
        <w:rPr>
          <w:rFonts w:ascii="Times New Roman" w:hAnsi="Times New Roman"/>
          <w:sz w:val="20"/>
        </w:rPr>
        <w:t xml:space="preserve">58, has served as Executive Vice President, General Counsel &amp; President of Ophthalmic Pharmaceuticals at Bausch + Lomb since January 2022. Ms. Ackermann joined Bausch Health as Executive 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President, General Counsel, in August 2016. Prior to Bausch Health, Ms. Ackermann was part of the Novartis group of companies for 14 years, most recently serving as Senior Vice President, General Counsel for Alcon, where she was responsible for the for the legal, intellectual property and compliance functions, in addition to Trade Compliance Function, Enterprise Risk Management, and Diversity &amp; Inclusion. Previously, she served as Global Head, Legal and General Counsel at Sandoz, the generics division of Novartis, from 2007 to 2012. She joined Novartis Pharma in 2002 as Head, Legal Technical Operations and Ophthalmics, and assumed the role of Head Legal General Medicine in July 2005. Before Novartis, Ms. Ackermann served in Associate General Counsel roles with Bristol Myers Squibb and DuPont Pharmaceuticals, as well as in private practice, where she focused on securities, and mergers &amp; acquisitions. From August 2021 to March 2023, Ms. Ackermann served on the board of directors of Graybug Vision, where she was Chair of the Nominating and Corporate Governance Committee and a member of the Compensation Committee. Since March 2022, Ms. Ackermann serves on the American Glaucoma Society Foundation Advisory Board. Ms. Ackermann holds a LL.B in law from Queens University in Ontario, Canada and a post graduate degree in EU competition law from Kings College in London, England. We believe that Ms. Ackermanns experience in business, legal affairs, compliance, global security and enterprise risk management makes her well qualified to serve as a director. </w:t>
      </w:r>
    </w:p>
    <w:p>
      <w:pPr>
        <w:pStyle w:val="TextBody"/>
        <w:bidi w:val="0"/>
        <w:spacing w:before="240" w:after="0"/>
        <w:jc w:val="left"/>
        <w:rPr>
          <w:rFonts w:ascii="Times New Roman" w:hAnsi="Times New Roman"/>
          <w:sz w:val="20"/>
        </w:rPr>
      </w:pPr>
      <w:r>
        <w:rPr>
          <w:rFonts w:ascii="Times New Roman" w:hAnsi="Times New Roman"/>
          <w:i/>
          <w:sz w:val="20"/>
        </w:rPr>
        <w:t xml:space="preserve">Lionel Carnot, </w:t>
      </w:r>
      <w:r>
        <w:rPr>
          <w:rFonts w:ascii="Times New Roman" w:hAnsi="Times New Roman"/>
          <w:sz w:val="20"/>
        </w:rPr>
        <w:t xml:space="preserve">55, has served as a member of the board of directors of Oculis since from December 2017. Since March 2012, Mr. Carnot has served as the Partner of Earlybird Venture Capital. Additionally, since 2005, Mr. Carnot has served as the Managing Director of Bay City Capital LLC. Prior to that, from 2000 to 2005, Mr. Carnot served as an Associate of The Pritzker Organization, LLC. Before that, from 1999 to 2000, Mr. Carnot served as a Principal of Oracle Partners. Prior to that, from 1997 to 1998, Mr. Carnot served as a Senior Associate of Booz Allen and Hamilton. Before that, from 1995 to 1997, Mr. Carnot served as a Product Manager of Eli Lilly &amp; Co. Prior to that, from 1991 to 1994, Mr. Carnot served as a Senior Consultant of Accenture. Before that, from 1989 to 1991, Mr. Carnot served as a sales and marketing professional at Rhone- Poulenc. Mr. Carnot currently serves on the board of directors of iSTAR Medical, iQone Healthcare Group, and Priothera. Mr. Carnot previously served on the board of directors of Atlantic Therapeutics, Merus, Interleukin Genetics, Madrigal Pharmaceuticals Inc., Nabsys, Bioseek, Pathway Diagnostics, and Reliant Pharmaceuticals. Mr. Carnot holds an MBA with Distinction from INSEAD and a M.Sc. in Molecular Biology from the University of Geneva. </w:t>
      </w:r>
    </w:p>
    <w:p>
      <w:pPr>
        <w:pStyle w:val="TextBody"/>
        <w:bidi w:val="0"/>
        <w:spacing w:before="240" w:after="0"/>
        <w:jc w:val="left"/>
        <w:rPr>
          <w:rFonts w:ascii="Times New Roman" w:hAnsi="Times New Roman"/>
          <w:sz w:val="20"/>
        </w:rPr>
      </w:pPr>
      <w:r>
        <w:rPr>
          <w:rFonts w:ascii="Times New Roman" w:hAnsi="Times New Roman"/>
          <w:i/>
          <w:sz w:val="20"/>
        </w:rPr>
        <w:t>Pravin Dugel, M.D.</w:t>
      </w:r>
      <w:r>
        <w:rPr>
          <w:rFonts w:ascii="Times New Roman" w:hAnsi="Times New Roman"/>
          <w:sz w:val="20"/>
        </w:rPr>
        <w:t xml:space="preserve">, 59, is currently the President of Iveric Bio. He joined as Executive Vice President in April 2020 and was promoted to President of the Company in May 2021. Dr. Dugel was previously Managing Partner, Retinal Consultants of Arizona and the Retinal Research Institute; Clinical Professor, USC Eye Institute, Keck School of Medicine, University of Southern California; and Founding Member, Spectra Eye Institute in Sun City, Arizona. Dr. Dugel has authored more than 200 papers, 35 book chapters and has been invited to lecture at several marquis medical meetings and to serve as a visiting professor at universities worldwide, including in Japan, India, China, Malaysia, Egypt, the United Kingdom, France, Germany, Austria, Italy, Poland, Denmark, Norway, Czechoslovakia, Canada and Australia. Dr. Dugel is internationally recognized as a major clinical researcher and has been a principal investigator in over 100 multicenter clinical trials. His research and educational contributions earned him the prestigious Senior Honor Award from the American Academy of Ophthalmology (AAO). He has been elected and previously served as the Retina Subspecialty Day Board Chairman for the American Academy of Ophthalmology Annual Meeting, as a member of the Board of Directors of the largest retina society in the United States, the American Society of Retina Specialists (ASRS), and the largest retina society in Europe, EURETINA. Dr. Dugel graduated from Columbia University in New York City. He then attended UCLA School of Medicine where he obtained his M.D. He completed his residency in ophthalmology at the USC Eye Institute, Keck School of Medicine and completed his medical retina fellowship at the Bascom Palmer Eye Institute and his surgical retina fellowship at the USC Eye Institute, where he was elected to serve on the faculty as the Resident Director. </w:t>
      </w:r>
    </w:p>
    <w:p>
      <w:pPr>
        <w:pStyle w:val="TextBody"/>
        <w:bidi w:val="0"/>
        <w:spacing w:before="240" w:after="0"/>
        <w:jc w:val="left"/>
        <w:rPr>
          <w:rFonts w:ascii="Times New Roman" w:hAnsi="Times New Roman"/>
          <w:sz w:val="20"/>
        </w:rPr>
      </w:pPr>
      <w:r>
        <w:rPr>
          <w:rFonts w:ascii="Times New Roman" w:hAnsi="Times New Roman"/>
          <w:i/>
          <w:sz w:val="20"/>
        </w:rPr>
        <w:t xml:space="preserve">Martijn Kleijwegt, </w:t>
      </w:r>
      <w:r>
        <w:rPr>
          <w:rFonts w:ascii="Times New Roman" w:hAnsi="Times New Roman"/>
          <w:sz w:val="20"/>
        </w:rPr>
        <w:t xml:space="preserve">68, has served as a member of our Board since the Acquisition Closing. Previously, he served as a member and the Chairman of the EBAC Board from EBACs inception in January 2021 to March 2023. Mr. Kleijwegt founded LSP in 1998 and is currently a partner at EQT Life Sciences (f/k/a Life Science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Mr. Kleijwegt brings over 30 years of hands-on finance and investment experience to EBAC. Mr. Kleijwegt currently serves on the boards of Vico Therapeutics, A-M Pharma and Oxthera. Mr. Kleijwegt has a masters degree in Economics from Amsterdam University. </w:t>
      </w:r>
    </w:p>
    <w:p>
      <w:pPr>
        <w:pStyle w:val="TextBody"/>
        <w:bidi w:val="0"/>
        <w:spacing w:before="240" w:after="0"/>
        <w:jc w:val="left"/>
        <w:rPr>
          <w:rFonts w:ascii="Times New Roman" w:hAnsi="Times New Roman"/>
          <w:sz w:val="20"/>
        </w:rPr>
      </w:pPr>
      <w:r>
        <w:rPr>
          <w:rFonts w:ascii="Times New Roman" w:hAnsi="Times New Roman"/>
          <w:i/>
          <w:sz w:val="20"/>
        </w:rPr>
        <w:t xml:space="preserve">Geraldine OKeeffe, </w:t>
      </w:r>
      <w:r>
        <w:rPr>
          <w:rFonts w:ascii="Times New Roman" w:hAnsi="Times New Roman"/>
          <w:sz w:val="20"/>
        </w:rPr>
        <w:t xml:space="preserve">57, joined LSP in 2008. She became a Partner of the firm in 2010. Ms. OKeeffes prime focus and responsibility within LSP is to invest in listed securities. Prior to joining LSP, she held the position of Senior Healthcare Analyst at Fortis Investment Banking. In that position, she researched a wide range of innovative life sciences companies, both in Europe and the US. Ms. OKeeffe brings strong analytical and investment skills to the LSP team. Before joining the financial community, she worked within the life sciences industry for a number of years, gaining first-hand product development experience in a commercial setting. Prior to working in the industry, she lectured in Biomedical Sciences for several years at the Dublin Institute of Technology. Ms. OKeeffe has a Bachelors degree in Biochemistry and Microbiology from University College Cork and a Masters degree in Biotechnology from University College Galway. She also conducted post-graduate research, inter alia at the prestigious Max Planck Institute for Biophysical Chemistry in Göttingen, Germany. In addition, Ms. OKeeffe is also a graduate of The Dublin School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our executive officers or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structured our corporate governance in a manner we believe closely aligns our interests with those of our shareholders. Notable features of this corporate governance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six independent directors and our audit, remuneration, and nomination and governance committees are composed entirely of independent directors. Our independent directors will meet regularly without the presence of our corporate officers or non-independent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of our independent directors qualifies as an audit committee financial expert as defined by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implemented a range of other corporate governance practices, including a robust director education program.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Non-Classified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our articles of association, our board of directors is not divided into classes of directors. The directors were appointed until the end of the general meeting of shareholders called to approve our annual accounts for the 2024 financial year.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Historically, our executive compensation program has reflected our innovative growth and development-oriented corporate culture. To date, the compensation of our Chief Executive Officer and our other executive officers has consisted of a combination of base salary, bonuses and long-term incentive compensation in the form of restricted common stock awards and/or stock options. Our executive officers who are full-time employees, like all other full-time employees, are participants in applicable retirement plans in the jurisdiction in which they reside. As we transition from a private company to a publicly traded company, we will evaluate our compensation values and philosophy and compensation plans and arrangements as circumstances merit. At a minimum, we expect to review executive compensation periodically with input from a third-party compensation consultant. As part of this review process, we expect the board of directors and the remuneration committee to apply our values and philosophy, while considering the compensation levels needed to ensure our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program remains competitive with our peers. In connection with our executive compensation program, we will also review whether we are meeting our retention objectives and the potential cost of replacing a key employee. </w:t>
      </w:r>
    </w:p>
    <w:p>
      <w:pPr>
        <w:pStyle w:val="TextBody"/>
        <w:bidi w:val="0"/>
        <w:spacing w:before="240" w:after="0"/>
        <w:jc w:val="left"/>
        <w:rPr>
          <w:rFonts w:ascii="Times New Roman" w:hAnsi="Times New Roman"/>
          <w:sz w:val="20"/>
        </w:rPr>
      </w:pPr>
      <w:r>
        <w:rPr>
          <w:rFonts w:ascii="Times New Roman" w:hAnsi="Times New Roman"/>
          <w:sz w:val="20"/>
        </w:rPr>
        <w:t xml:space="preserve">We use base salaries to recognize the experience, skills, knowledge and responsibilities required of all our executive officers. Base salaries are reviewed annually, typically in connection with our annual performance review process, and adjusted from time to time to align salaries with market levels after taking into account individual responsibilities, performance and experience. In addition, our executives are entitled to annual cash bonuses for their performance over the fiscal year, based on goals established by our board of directors. Furthermore, we have a formal process with respect to the grant of equity incentive awards to our employees, including our executive officers. We believe that equity incentive awards provide our employees with a strong link to our long-term performance, create an ownership culture and help to align the interests of our employees, including our executive officers, and our stockholders. In addition, we believe that equity incentive awards with time-based vesting features promote employee retention because this feature incentivizes our employees, including our executive officers, to remain in our employment during the vesting period.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 board of directors compensation policy that is designed to enable us to attract and retain, on a long-term basis, highly qualified non-employee directors. As of the filing date, we pay each director who is not an employee of the Company annual cash retainers, as set forth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29"/>
        <w:gridCol w:w="655"/>
        <w:gridCol w:w="254"/>
        <w:gridCol w:w="1338"/>
        <w:gridCol w:w="63"/>
      </w:tblGrid>
      <w:tr>
        <w:trPr/>
        <w:tc>
          <w:tcPr>
            <w:tcW w:w="4629" w:type="dxa"/>
            <w:tcBorders/>
            <w:vAlign w:val="center"/>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29" w:type="dxa"/>
            <w:tcBorders/>
            <w:vAlign w:val="bottom"/>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pPr>
            <w:r>
              <w:rPr>
                <w:b/>
              </w:rPr>
              <w:t>Annual</w:t>
            </w:r>
            <w:r>
              <w:rPr/>
              <w:br/>
            </w:r>
            <w:r>
              <w:rPr>
                <w:b/>
              </w:rPr>
              <w:t>Cash Retainer</w:t>
            </w:r>
          </w:p>
        </w:tc>
        <w:tc>
          <w:tcPr>
            <w:tcW w:w="63"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6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45,200</w:t>
            </w:r>
          </w:p>
        </w:tc>
        <w:tc>
          <w:tcPr>
            <w:tcW w:w="63"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Board of Directors Chair</w:t>
            </w:r>
          </w:p>
        </w:tc>
        <w:tc>
          <w:tcPr>
            <w:tcW w:w="6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84,750</w:t>
            </w:r>
          </w:p>
        </w:tc>
        <w:tc>
          <w:tcPr>
            <w:tcW w:w="63"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Committee Chair</w:t>
            </w:r>
          </w:p>
        </w:tc>
        <w:tc>
          <w:tcPr>
            <w:tcW w:w="6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22,600</w:t>
            </w:r>
          </w:p>
        </w:tc>
        <w:tc>
          <w:tcPr>
            <w:tcW w:w="63"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Audit Committee Member</w:t>
            </w:r>
          </w:p>
        </w:tc>
        <w:tc>
          <w:tcPr>
            <w:tcW w:w="6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11,300</w:t>
            </w:r>
          </w:p>
        </w:tc>
        <w:tc>
          <w:tcPr>
            <w:tcW w:w="63"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Remuneration Committee Chair</w:t>
            </w:r>
          </w:p>
        </w:tc>
        <w:tc>
          <w:tcPr>
            <w:tcW w:w="6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13,560</w:t>
            </w:r>
          </w:p>
        </w:tc>
        <w:tc>
          <w:tcPr>
            <w:tcW w:w="63"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Remuneration Committee Member</w:t>
            </w:r>
          </w:p>
        </w:tc>
        <w:tc>
          <w:tcPr>
            <w:tcW w:w="6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6,780</w:t>
            </w:r>
          </w:p>
        </w:tc>
        <w:tc>
          <w:tcPr>
            <w:tcW w:w="63"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Nomination and Governance Committee Chair</w:t>
            </w:r>
          </w:p>
        </w:tc>
        <w:tc>
          <w:tcPr>
            <w:tcW w:w="6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338" w:type="dxa"/>
            <w:tcBorders/>
            <w:shd w:fill="CCEEFF" w:val="clear"/>
            <w:vAlign w:val="bottom"/>
          </w:tcPr>
          <w:p>
            <w:pPr>
              <w:pStyle w:val="TableContents"/>
              <w:bidi w:val="0"/>
              <w:spacing w:before="0" w:after="283"/>
              <w:jc w:val="right"/>
              <w:rPr/>
            </w:pPr>
            <w:r>
              <w:rPr/>
              <w:t>10,170</w:t>
            </w:r>
          </w:p>
        </w:tc>
        <w:tc>
          <w:tcPr>
            <w:tcW w:w="63"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Nomination and Governance Committee Member</w:t>
            </w:r>
          </w:p>
        </w:tc>
        <w:tc>
          <w:tcPr>
            <w:tcW w:w="6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338" w:type="dxa"/>
            <w:tcBorders/>
            <w:vAlign w:val="bottom"/>
          </w:tcPr>
          <w:p>
            <w:pPr>
              <w:pStyle w:val="TableContents"/>
              <w:bidi w:val="0"/>
              <w:spacing w:before="0" w:after="283"/>
              <w:jc w:val="right"/>
              <w:rPr/>
            </w:pPr>
            <w:r>
              <w:rPr/>
              <w:t>5,085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In addition, each eligible director elected or appointed to our board of directors is eligible to participate in the Stock Option and Incentive Plan Regulation 2023 of the Company (the </w:t>
      </w:r>
      <w:r>
        <w:rPr>
          <w:rFonts w:ascii="Times New Roman" w:hAnsi="Times New Roman"/>
          <w:i/>
          <w:sz w:val="20"/>
        </w:rPr>
        <w:t>2023 Plan</w:t>
      </w:r>
      <w:r>
        <w:rPr>
          <w:rFonts w:ascii="Times New Roman" w:hAnsi="Times New Roman"/>
          <w:sz w:val="20"/>
        </w:rPr>
        <w:t xml:space="preserve">), subject to its terms and conditions as approved and amended by our board of directors from time to time. Upon joining the Company, the Company issues to eligible directors a one-time equity incentive award in the form of stock option or similar awards under the 2023 Plan or other equity incentive plans then in effect, at an estimated equity value of $240,000. The exact number of options to be granted and the vesting schedule shall be determined by the Company in the grant notice in its free discretion and only such grant notice shall have legal effect. The Company will also issue to eligible directors an annual equity incentive award in the form of stock option or similar awards under the 2023 Plan or other equity incentive plans then in effect, at an estimated equity value of $120,000. </w:t>
      </w:r>
    </w:p>
    <w:p>
      <w:pPr>
        <w:pStyle w:val="TextBody"/>
        <w:bidi w:val="0"/>
        <w:spacing w:before="240" w:after="0"/>
        <w:jc w:val="left"/>
        <w:rPr>
          <w:rFonts w:ascii="Times New Roman" w:hAnsi="Times New Roman"/>
          <w:sz w:val="20"/>
        </w:rPr>
      </w:pPr>
      <w:r>
        <w:rPr>
          <w:rFonts w:ascii="Times New Roman" w:hAnsi="Times New Roman"/>
          <w:sz w:val="20"/>
        </w:rPr>
        <w:t xml:space="preserve">The eligible directors are not eligible to any benefits other than those set out in the directors compensation policy, unless our board of directors decides otherwise. The Company reimburses all reasonable expenses in accordance with the terms and conditions of the Companys travel and expense policy then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the aggregate compensation paid and accrued to the members of our board of directors and our executive officers for services in all capacities was CHF 2.1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2022, fees, salaries and other short-term employee benefits paid and accrued to the members of our board of directors and our executive officers was CHF 1.8 million. </w:t>
      </w:r>
    </w:p>
    <w:p>
      <w:pPr>
        <w:pStyle w:val="TextBody"/>
        <w:bidi w:val="0"/>
        <w:spacing w:before="240" w:after="0"/>
        <w:jc w:val="left"/>
        <w:rPr>
          <w:rFonts w:ascii="Times New Roman" w:hAnsi="Times New Roman"/>
          <w:sz w:val="20"/>
        </w:rPr>
      </w:pPr>
      <w:r>
        <w:rPr>
          <w:rFonts w:ascii="Times New Roman" w:hAnsi="Times New Roman"/>
          <w:sz w:val="20"/>
        </w:rPr>
        <w:t xml:space="preserve">The amount contributed by us to provide post-employment benefits to executive officers amounted to a total of CHF 0.2 million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2022, 110,468 options to purchase registered ordinary shares were granted to members of our board of directors and our executive officers for a total fair value of CHF 210 thousand.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share-based compensation expense incurred for the members of our board of directors and our executive officers accounted for CHF 144 thousand. See Note 12 to our audited consolidated financial statements included elsewhere in this prospectus for further details regarding the share options and restricted stock, including the exercise price and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is responsible for overseeing our risk management process. The board of directors focuses on our general risk management strategy, the most significant risks, and oversees the implementation of risk mitigation strategies by management. The audit committee is also responsible for discussing our policies with respect to risk assessment and risk management. The board of directors believes its administration of its risk oversight function has not negatively affected the board of directors leadership structure.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adopted a Code of Business Conduct and Ethics applicable to the directors, executive officers and employees that complies with the rules and regulations of Nasdaq and the SEC. The Code of Business Conduct and Ethics is available on our website. In addition, we posted on the Corporate Governance section of our website all disclosures that are required by law or Nasdaq listing standards concerning any amendments to, or waivers from, any provision of the Code of Business Conduct and Ethics. The reference to our website address in this prospectus does not include or incorporate by reference the information on our website into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 and Incentive Plan Regulation 2023 </w:t>
      </w:r>
    </w:p>
    <w:p>
      <w:pPr>
        <w:pStyle w:val="TextBody"/>
        <w:bidi w:val="0"/>
        <w:spacing w:before="120" w:after="0"/>
        <w:jc w:val="left"/>
        <w:rPr>
          <w:rFonts w:ascii="Times New Roman" w:hAnsi="Times New Roman"/>
          <w:sz w:val="20"/>
        </w:rPr>
      </w:pPr>
      <w:r>
        <w:rPr>
          <w:rFonts w:ascii="Times New Roman" w:hAnsi="Times New Roman"/>
          <w:sz w:val="20"/>
        </w:rPr>
        <w:t xml:space="preserve">The Stock Option and Incentive Plan Regulation 2023 (the 2023 Plan) was approved by our board of directors on the Acquisition Closing Date and provides for the grant of options, restricted stock awards or units or stock appreciation rights to acquire the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2023 Plan is to attract and retain highly qualified personnel and to provide key employees with additional incentive to increase their efforts on behalf and in the best interest of us and our subsidiaries by giving them the opportunity to acquire a proprietary interest in us as an incentive for them to remain in the service of us. The terms of the 2023 Plan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2023 Plan shall be administered by a plan administrator (one or several persons) elected by our board of directors from time to time. The plan administrator acts within the guidelines set and approved by our board of directors or a committee thereof and is authorized to, among others, determine (i) which eligible persons are to receive awards under the 2023 Plan, (ii) the time or times when such options or rights grants are to be made, (iii) the nature of the shares and the number of awards covered by each such grant, (iv) the time or times at which each option or stock appreciation rights is to become exercisable, (v) the vesting conditions applicable to the options or rights, (vi) the maximum term for which the options or rights are to remain outstanding, and (vii) any terms and conditions of any restricted stock award, in each case, subject to the guidelines set and approved by our board of directors or a committee thereof. Persons eligible to participate in our 2023 Plan are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of the board of directors and consultants of Oculis or a subsidiary. The plan administrator determines within the guidelines set and approved by our board of directors or a committee which eligible persons are to receive rights to acquire options under the 2023 Plan. </w:t>
      </w:r>
    </w:p>
    <w:p>
      <w:pPr>
        <w:pStyle w:val="TextBody"/>
        <w:bidi w:val="0"/>
        <w:spacing w:before="240" w:after="0"/>
        <w:jc w:val="left"/>
        <w:rPr>
          <w:rFonts w:ascii="Times New Roman" w:hAnsi="Times New Roman"/>
          <w:sz w:val="20"/>
        </w:rPr>
      </w:pPr>
      <w:r>
        <w:rPr>
          <w:rFonts w:ascii="Times New Roman" w:hAnsi="Times New Roman"/>
          <w:sz w:val="20"/>
        </w:rPr>
        <w:t xml:space="preserve">The Plan provides for up to 7,835,544 registered shares corresponding to 16% of the ordinary shares on a fully diluted basis at the Acquisition Closing Date. In the event registered shares that otherwise would have been issuable under the 2023 Plan are withheld by us in payment of the exercise price or withholding obligations, such shares shall remain available for issuance under the 2023 Plan. In the event an outstanding award for any reason expires or is cancelled, forfeited or terminated, the shares allocable to the unexercised or unsettled portion shall remain available for issuance under the 2023 Plan. </w:t>
      </w:r>
    </w:p>
    <w:p>
      <w:pPr>
        <w:pStyle w:val="TextBody"/>
        <w:bidi w:val="0"/>
        <w:spacing w:before="240" w:after="0"/>
        <w:jc w:val="left"/>
        <w:rPr>
          <w:rFonts w:ascii="Times New Roman" w:hAnsi="Times New Roman"/>
          <w:sz w:val="20"/>
        </w:rPr>
      </w:pPr>
      <w:r>
        <w:rPr>
          <w:rFonts w:ascii="Times New Roman" w:hAnsi="Times New Roman"/>
          <w:sz w:val="20"/>
        </w:rPr>
        <w:t xml:space="preserve">A participant may only exercise an option or stock appreciation right to the extent that the option or stock appreciation right has vested and has not lapsed under the 2023 Plan. Unless otherwise determined by our board of directors at the grant date or set forth in the grant notice, an option or an award in the form of a restricted stock unit or stock appreciation right granted under the 2023 Plan typically vests as to 25% of the award at the end of the first year following the vesting start date, with the remaining 75% of the award vesting monthly over the 3 years after the first year following the vesting start date. Any restricted stock may not be transferred or pledged. Such restriction expires with the expiration of any repurchase right for the restricted stock. The 2023 Plan provides provisions that govern the exercise of any awards held by the participant at the time the legal relationship forming the basis of the service is coming to an end. Generally, any award not vested shall immediately lapse at the time a notice of termination has been received (regardless of which party gives notice) or at the end of the term in case of a board member. If indicated in the grant notice or otherwise resolved by the board of directors, upon the occurrence of a Corporate Transaction (as defined in the 2023 Plan ), all options and awards in the form of a restricted stock unit or stock appreciation rights (i) shall fully vest and (ii) in the case of options and stock appreciation rights must be immediately exercised, except if such options or awards in the form of a restricted stock unit or stock appreciation rights are repurchased by Oculis or a third party designated by Oculis for a cash consideration equivalent to the economic value applicable to such option or stock appreciation right under the 2023 Plan.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complete and exclusive power and authority to amend or modify the 2023 Plan in any or all respects. Such amendment or modification shall be communicated in appropriate form as an amendment of the 2023 Plan. Unless such change is required to comply with applicable law, listing requirements, accounting rules or tax requirements, no such amendment or modification shall, without the consent of the concerned participant, adversely affect materially his/her rights and obligations under the 2023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Practices </w:t>
      </w:r>
    </w:p>
    <w:p>
      <w:pPr>
        <w:pStyle w:val="TextBody"/>
        <w:bidi w:val="0"/>
        <w:spacing w:before="120" w:after="0"/>
        <w:jc w:val="left"/>
        <w:rPr>
          <w:rFonts w:ascii="Times New Roman" w:hAnsi="Times New Roman"/>
          <w:b/>
          <w:sz w:val="20"/>
        </w:rPr>
      </w:pPr>
      <w:r>
        <w:rPr>
          <w:rFonts w:ascii="Times New Roman" w:hAnsi="Times New Roman"/>
          <w:b/>
          <w:sz w:val="20"/>
        </w:rPr>
        <w:t xml:space="preserve">Composition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currently composed of seven members. In accordance with our articles of association, the board of directors is not divided into classes of directors. Each director was appointed at the closing of the Business Combination on March 2, 2023, to serve as director until the end of the general meeting of shareholders called to approve our annual accounts for the 2024 financial year. </w:t>
      </w:r>
    </w:p>
    <w:p>
      <w:pPr>
        <w:pStyle w:val="TextBody"/>
        <w:bidi w:val="0"/>
        <w:spacing w:before="240" w:after="0"/>
        <w:jc w:val="left"/>
        <w:rPr>
          <w:rFonts w:ascii="Times New Roman" w:hAnsi="Times New Roman"/>
          <w:sz w:val="20"/>
        </w:rPr>
      </w:pPr>
      <w:r>
        <w:rPr>
          <w:rFonts w:ascii="Times New Roman" w:hAnsi="Times New Roman"/>
          <w:sz w:val="20"/>
        </w:rPr>
        <w:t xml:space="preserve">Six of seven directors are independent as defined in Nasdaq listing standards and applicable SEC rules and our board of directors has an independent audit committee, a nomination and governance committee, and a remuneration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three standing committees: an audit committee, a remuneration committee, and a nominating and nomination and governance committee. The board has adopted written charters that are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shareholders on our website at https://investors.oculis.com/corporate-governance. The reference to our website address in this prospectus does not include or incorporate by reference the information on our website into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consists of Lionel Carnot, Geraldine OKeeffe and Christina Ackermann. The audit committee assists the board of directors in overseeing our accounting and financial reporting processes and the audits of our financial statements. Mr. Carnot serves as chairperson of the audit committee. In addition, the audit committee is responsible for the appointment, compensation, retention and oversight of the work of our independent registered public accounting firm. Our board of directors has determined that Mr. Carnot, Ms. OKeeffe and Ms. Ackermann satisfy the independence requirements set forth in Rule 10A-3 under the Exchange Act and Mr. Carnot qualifies as an audit committee financial expert, as such term is defined in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Each of the members of our audit committee will qualify as independent directors according to the rules and regulations of the SEC and Nasdaq with respect to audit committee membership. In addition, all of the audit committee members meet the requirements for financial literacy under applicable SEC and Nasdaq rules and at least one of the audit committee members qualifies as an audit committee financial expert, as such term is defined in Item 407(d) of Regulation S-K. The audit committee is governed by a charter that complies with applicable Nasdaq rules, which charter was posted on our website prior to the listing of our ordinary shares on Nasdaq. We have adopted an audit committee charter, which details the principal functions of the audit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discuss with management the annual and quarterly financial statements and reports, including earnings press releases and financial information and earnings guidance given to analysts and rating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to the board to approve the quarterly and annual reports;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 the board on its assessment of the financial statements and decide whether to recommend the statutory and consolidated financial statements to the board for approval and presentation to the meeting of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in cooperation with the auditor and the management whether the accounting principles applied by the company and any of its subsidiaries are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assess the qualifications, independence, performance, and effectiveness of the auditor and recommend to the board the nomination of the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the scope of the prospective audit by the auditor, the estimated fees and any other matters pertaining to such audit as the committee may deem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any proposal of audit and non-audit services to be provided by the auditor to the company to ensure auditor independence;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assess the auditors report, management letters and take notice of all comments of the auditor on accounting procedures and systems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with the auditors and management the auditors reports to the committee/board on critical accounting policies and practices used (and any changes thereto), on alternative treatments of financial information discussed with management and on other material written communication between the auditor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with the auditor any audit problems or difficulties and managements response, including any restrictions on the scope of the auditors activities or on access to requested information, and any significant disagreements with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monitor, review and discuss with the auditor and with management the adequacy and effectiveness of the companys policies and procedures regarding internal controls over financial reporting and risk assessment and the companys compliance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 compliance with respect to our Code of Business Conduct and Ethics, as may be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 the companys policies and procedures for risk management and assess the effectiveness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 the companys policies and procedures designed to ensure compliance with laws, regulations and internal rules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the company regarding accounting, internal accounting controls or auditing matters, as well as the confidential, anonymous submission by officers, employees or directors of the company of concerns regarding questionable accounting or auditing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 compliance with respect to our Related Person Transactions Policy, as may be amended from time to time, and review, approve and/or ratify proposed transactions that have been identified as related person transactions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 with management and, if appropriate, the companys external advisors any legal matters (including the status of pending or threatened litigation) that may have a material impact on the companys financial statements and any material reports or inquiries from regulatory or governmental agencies which could materially impact the companys contingent liabilities and risks.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remuneration committee consists of Christina Ackermann, Pravin Dugel, and Lionel Carnot. The remuneration committee assists the board of directors in determining compensation for our executive officers and our directors. Ms. Ackermann serves as chairperson of the remuneration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As of the first day of trading, we were subject to the Swiss provisions regarding compensations for listed companies under the Swiss Code of Obligations, which require Swiss corporations listed on a stock exchange to establish a remuneration committee. In accordance with the Swiss Code of Obligations, the members of our remuneration committee must be elected by our general meeting of shareholders and the aggregate amount of compensation of each of our directors and our executive committee must also be approved by our general meeting of shareholders, in each case commencing with our first annual general meeting of shareholders as a public company. On March 2, 2023 the general meeting of shareholders approved the compensation packages for the Board and the executive committee until the general meeting of shareholders to be held in 2024. Our board of directors has appointed Ms. Ackermann as the chair of the remuneration committee and will fill any vacancies on the remuneration committee until completion of the next annual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Each of the members of our remuneration committee qualifies as independent directors according to the rules and regulations of the SEC and Nasdaq with respect to remuneration committee membership, including the heightened independence standards for members of a remuneration committee. The remuneration committee is governed by a charter that was posted on our website prior to the listing of our ordinary shares on Nasdaq. We have adopted a remuneration committee charter, which details the principal functions of the remuneration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prepare and recommend to the board for approval (i) a compensation policy for the board and (ii), if so requested by the board, a compensation policy for the executive committee; and thereafter, annually review such policy or policies and recommend changes, if any, for approval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periodically review the companys compensation policies for its employees who are not members of the executive committee;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recommend to the board for approval any compensation and other payments to present and former non-employee directors of the company to the extent not already provided for in the compensation policy for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to the board the resolution to be submitted to the general meeting for the maximum total compensation of the board and executive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annually the performance the CEO (as defined in the organizational rules) and submit such evaluation for review and discussion by the board, in each case in executive session without the presence of the CEO;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recommend for approval by the board the annual base salary, incentive compensation and equity compensation of the CEO and, in consultation with the CEO, of the other members of the executive committee, and the overall compensation of the CEO and executive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approve any employment contracts, severance contracts, or other agreements that the company proposes to enter into with any present, future or former members of the executive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incentive compensation plan providing for variable compensation of the members of the executive committee based on the achievement of the companys corporate goals and the individuals performance, and approve any changes to such plan as may be proposed by the CEO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any incentive compensation plans providing for variable compensation of employees of the company (excluding any member of the executive committee) and any changes thereto, as may be proposed by the CEO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and periodically review equity compensation plans, and submit such plans and any changes to such plans to the board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and approve any perquisite benefits plans proposed by the CEO for the members of the executive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the annual corporate goals proposed by the CEO, and recommend such goals as approved by the committee for approval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level of achievement of the corporate goals as approved by the board upon completion of each calendar year, and apply such achievement level to the determination of the variable compensation of the members of the executive committee in accordance with the applicable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its own performance on a periodic basis as part of the board performance assessment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supervise the preparation of the annual compensation report and submit it to the board for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the remuneration committee charter annually and submit any recommended changes to the board for approval.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Nomination and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nomination and governance committee consists of Dr. Pravin Dugel, Geraldine OKeeffe, and Martijn Kleijwegt. The nomination and governance committee assists our board of directors in identifying individuals qualified to become our directors consistent with criteria established by us and in developing our code of business conduct and ethics. Dr. Dugel serves as chairperson of the nomination and governance committee. The nomination and governance committee is governed by a charter that was posted on our website prior to the listing of our ordinary shares on Nasdaq. We have adopted a nomination and governance committee charter, which details the principal functions of the nomination and governance committee,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and periodically review the qualification criteria for board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the search for board candidates based on the qualification criteria established by the committee and any other criteria that the committee may consider appropriate, and recommend suitable candidates to the board to be nominated for election by the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periodically review the policies and principles for corporate governance of the company, including the organizational rules, and recommend changes, if any, to the board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recommendations to the board on board and committee compositions, including the board and committee chairperson and the size of the board and the committees, taking into account the independence standards established by applicable laws, the companys articles of association, the organizational rules, the committee policies and corporate governance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the search for candidates for the position of CEO of the company, and shall recommend suitable candidates for evaluation and appointment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candidates for the election to the board on its own as well as by considering recommendations from shareholders, other members of the board, officers and employees of the company, and other sources that the committee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process for and conduct an annual review of the performance of the board, its committees, and individual board members in their role as members of the board or a committee of the board; and consider the results of the annual performance review when determining whether or not to recommend the nomination of a director for an additional term on the board or a committee, and for developing proposals for improving corporate governance policies and effectiveness of the board and its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prepare and review, at least annually, a succession plan for the directors of the board, the CEO, and the members of the executive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 the corporate governance report of the company for inclusion in the annual report for the approval of the board and approve any other written public disclosures on corporate governance matters including, but not limited to, environmental, social and governance-related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394147_13"/>
      <w:bookmarkEnd w:id="15"/>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written related person transaction policy that sets forth certain policies and procedures for the review and approval or ratification of transactions involving us in which a related person has or will have a direct or indirect material interest, as determined by the audit and risk committee of the Board. A related person for purposes of the policy means: (i) enterprises that directly or indirectly through one or more intermediaries, control or are controlled by, or are under common control with, us; (ii) associates (defined as, unconsolidated enterprises in which we have a Significant Influence or which has Significant Influence over us); (iii) individuals owning, directly or indirectly, an interest in the voting power of us that gives them Significant Influence over us, and close members of any such individuals family; (iv) key management personnel (i.e., having authority and responsibility for planning, directing and controlling our activities), including directors and close members of such individuals families; and (v) enterprises in which a substantial interest in the voting power is owned, directly or indirectly, by any person described in (iii) or (iv) above or over which such a person is able to exercise Significant Influence, including enterprises owned by our directors or major shareholders and enterprises that have a member of key management in common with us. Significant Influence for purposes of the policy means the power to participate in the financial and operating policy decisions of an enterprise but is less than control over those policies, provided that shareholders beneficially owning a 10% or more interest in the voting power of the enterprise concerned are presumed to have a significant influence on such enterprise.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policy, each executive director, nominee for the position of executive director, and executive officer shall promptly notify the designated contact of any transaction involving us and a related person. The designated contact will present any new related person transactions, and proposed transactions involving related persons, to the audit committee of the board of directors at its next occurring regular meeting. If the audit committee determines that the related person involved has a direct or indirect material interest in the transaction, and therefore that the transaction is a related party transaction, the Audit and Risk Committee shall consider all relevant facts and circumstances, including the commercial reasonableness of the terms, the benefit and perceived benefit, or lack thereof, to Oculis, opportunity costs of alternate transactions, the materiality and character of the Related Persons direct or indirect interest, and the actual or apparent conflict of interest of the Related Person. The audit committee will not approve or ratify a Related Person transaction unless it shall have determined that, upon consideration of all relevant information, the transaction is in, or not inconsistent with, our best interests . On an annual basis, the audit committee shall review previously approved related person transactions, under the standard described above, to determine whether such transactions should continue. If after the review described above, the Audit and Risk Committee determines not to approve or ratify a related person transaction (whether such transaction is being reviewed for the first time or has previously been approved and is being reviewed), the transaction will not be entered into or continued.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Agreements with our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Aside from standard employment agreements, there are no transactions between our directors and executive officers on the one hand and us on the other. The remuneration of the directors and executive officers (excluding non-executive directors), who are the key management personnel, is described in the section entitled </w:t>
      </w:r>
      <w:r>
        <w:rPr>
          <w:rFonts w:ascii="Times New Roman" w:hAnsi="Times New Roman"/>
          <w:i/>
          <w:sz w:val="20"/>
        </w:rPr>
        <w:t>Compensation</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Association provide that we will indemnify our directors and officers to the fullest extent permitted by Swiss law, subject to certain exceptions contained in our proposed constitution.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also entered into indemnification agreements with each of our directors and executive officers. The indemnification agreements provide the indemnitees with contractual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indemnification, and expense advancement and reimbursement, to the fullest extent permitted under Swiss law, subject to certain exceptions contained in those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The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EBAC entered into Initial Subscription Agreements with the Initial PIPE Investors, including LSP 7, certain existing Legacy Oculis Shareholders as well as certain other investors, pursuant to which the Initial PIPE Investors have agreed to subscribe for and purchase, and EBAC has agreed to issue from treasury to such PIPE Investors, an aggregate of 6,330,391 shares of EBAC Class A Common Stock at a price of $10.00 per share, for the aggregate purchase price of $63,303,910. Subsequent to the Initial PIPE Financing, in January 2023, EBAC entered into the Subsequent Subscription Agreements with the Subsequent PIPE Investors, pursuant to which the Subsequent PIPE Investors have agreed to subscribe for, and EBAC has agreed to issue to the Subsequent PIPE Investors, an aggregate of 788,500 shares of EBAC Class A Common Stock at a price of $10.00 per share, for the aggregate purchase price of $7,885,000. The aggregate amount of EBAC Class A Common Stock issued pursuant to the PIPE Financing was 7,118,891 shares for aggregate gross proceeds of $71,188,910. Pursuant to the transactions contemplated in the Business Combination Agreement, EBAC Class A Common Stock converted into ordinary shares prior to the Acquisition Closing.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Agreements provide the PIPE Investors with certain customary registration rights in connection with the PIPE Financing, including demand and piggyback rights. </w:t>
      </w:r>
    </w:p>
    <w:p>
      <w:pPr>
        <w:pStyle w:val="TextBody"/>
        <w:bidi w:val="0"/>
        <w:spacing w:before="360" w:after="0"/>
        <w:jc w:val="left"/>
        <w:rPr>
          <w:rFonts w:ascii="Times New Roman" w:hAnsi="Times New Roman"/>
          <w:i/>
          <w:sz w:val="20"/>
        </w:rPr>
      </w:pPr>
      <w:r>
        <w:rPr>
          <w:rFonts w:ascii="Times New Roman" w:hAnsi="Times New Roman"/>
          <w:i/>
          <w:sz w:val="20"/>
        </w:rPr>
        <w:t xml:space="preserve">The Convertible Loan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Oculis and the Lenders party thereto entered into a convertible loan agreement, pursuant to which, among other things, the Lenders party thereto have granted Oculis a right to receive a convertible loan with certain conversion rights in an aggregate amount of $12,670,000. Subsequent to the execution of the Business Combination Agreement, on January 26, 2023, Oculis and an additional Lender entered into a convertible loan agreement in substantially the same form as the initial convertible loan agreement, pursuant to which, among other things, the Lender party thereto has granted Oculis a right to receive a convertible loan with certain conversion rights in an aggregate amount of $7,000,000. The aggregate amount raised under the Convertible Loan Agreements is $19,670,000. Following the Second Merger Effective Time, Oculis Holding AG assumed the Convertible Loan Agreements, and the Lenders exercised their conversion rights in exchange for ordinary shares at $10.00 per share, on substantially the same terms as the PIPE Investors. Pursuant to the Convertible Loan Agreements, the Lenders were granted certain customary registration rights, substantially on the same terms as those offered pursuant to the Subscription Agreements. </w:t>
      </w:r>
    </w:p>
    <w:p>
      <w:pPr>
        <w:pStyle w:val="TextBody"/>
        <w:bidi w:val="0"/>
        <w:spacing w:before="360" w:after="0"/>
        <w:jc w:val="left"/>
        <w:rPr>
          <w:rFonts w:ascii="Times New Roman" w:hAnsi="Times New Roman"/>
          <w:i/>
          <w:sz w:val="20"/>
        </w:rPr>
      </w:pPr>
      <w:r>
        <w:rPr>
          <w:rFonts w:ascii="Times New Roman" w:hAnsi="Times New Roman"/>
          <w:i/>
          <w:sz w:val="20"/>
        </w:rPr>
        <w:t xml:space="preserve">The Legacy Oculis Shareholders 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Oculis, EBAC, and certain Legacy Oculis Shareholders entered into the Legacy Oculis Shareholders Support Agreements, pursuant to which such Legacy Oculis Shareholders agreed to, among other things, (i) adopt the Business Combination Agreement and approve and consent to the Mergers and the consummation of the transactions contemplated therein, (ii) execute and deliver the exchange notice agreeing to transfer to the Exchange Agent all Company Share Capital held by such Shareholder and (iii) provide a release of claims against Oculis and its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The 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Sponsor, EBAC and Legacy Oculis entered into the Sponsor Support Agreement, pursuant to which Sponsor agreed to, among other things, (i) vote to adopt and approve the Business Combination Agreement and the other documents contemplated thereby and the transactions contemplated thereby, (ii) not transfer its shares of EBAC Common Stock and EBAC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until the consummation of the Acquisition Closing (subject to certain customary exceptions), (iii) waive certain anti-dilution adjustments, and (iv) waive certain redemption rights. </w:t>
      </w:r>
    </w:p>
    <w:p>
      <w:pPr>
        <w:pStyle w:val="TextBody"/>
        <w:bidi w:val="0"/>
        <w:spacing w:before="360" w:after="0"/>
        <w:jc w:val="left"/>
        <w:rPr>
          <w:rFonts w:ascii="Times New Roman" w:hAnsi="Times New Roman"/>
          <w:i/>
          <w:sz w:val="20"/>
        </w:rPr>
      </w:pPr>
      <w:r>
        <w:rPr>
          <w:rFonts w:ascii="Times New Roman" w:hAnsi="Times New Roman"/>
          <w:i/>
          <w:sz w:val="20"/>
        </w:rPr>
        <w:t xml:space="preserve">The Registration Rights and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Business Combination, we entered into the Registration Rights and Lock-Up Agreement with Sponsor and certain Legacy Oculis Shareholders. Pursuant to the Registration Rights and Lock-Up Agreement, Sponsor and such Legacy Oculis Shareholders may not transfer ordinary shares (subject to certain exceptions) until: (i) with respect to the ordinary shares held by the Legacy Oculis Shareholders party thereto upon the Acquisition Closing, 180 days from the Acquisition Closing, and (ii) with respect to the ordinary shares held by Sponsor upon the Acquisition Closing, 270 days after the Acquisition Closing, in each case subject to earlier release if the ordinary shares trade at or above a volume weighted average price of $15.00 for 20 trading days during any 30 trading day period commencing at least 150 days following the Acquisition Closing.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and Lock-Up Agreement provides Sponsor and the Legacy Oculis Shareholders party thereto certain customary registration rights, including demand and piggyback registration rights, subject to customary requirements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394147_14"/>
      <w:bookmarkEnd w:id="16"/>
      <w:r>
        <w:rPr>
          <w:rFonts w:ascii="Times New Roman" w:hAnsi="Times New Roman"/>
          <w:b/>
          <w:sz w:val="20"/>
        </w:rPr>
        <w:t xml:space="preserve">MAJOR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ordinary shares as of March 2, 2023 and following the completion of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 the beneficial owner of more than 5% of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members of Executive Management;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our directors and members of Executive Management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herein, the number and percentage of ordinary shares beneficially owned is determined in accordance with Rule 13d-3 of the Exchange Act, and the information is not necessarily indicative of beneficial ownership for any other purpose. Under such rule, beneficial ownership includes any ordinary shares as to which the holder has sole or shared voting power or investment power and also any ordinary shares which the holder has the right to acquire within 60 days of March 2, 2023 through the exercise of any option, warrant or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information shown in the table prior to the offering is based upon 32,733,373 ordinary shares outstanding as of March 2, 2023. The percentage ownership information shown in the table after the offering is based on 36,233,373 ordinary shares outstanding, assuming the sale of 3,500,000 ordinary shares by us in the offering and no exercise of the underwriters option to purchase additional shares. The table below does not include earn-out shares which are issued and contingently forfeitable and are not deemed to be outstanding.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06"/>
        <w:gridCol w:w="251"/>
        <w:gridCol w:w="60"/>
        <w:gridCol w:w="1015"/>
        <w:gridCol w:w="60"/>
        <w:gridCol w:w="251"/>
        <w:gridCol w:w="84"/>
        <w:gridCol w:w="793"/>
        <w:gridCol w:w="60"/>
        <w:gridCol w:w="251"/>
        <w:gridCol w:w="84"/>
        <w:gridCol w:w="792"/>
        <w:gridCol w:w="65"/>
      </w:tblGrid>
      <w:tr>
        <w:trPr/>
        <w:tc>
          <w:tcPr>
            <w:tcW w:w="4806"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20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w:t>
              <w:br/>
              <w:t>Ordinary Shares</w:t>
              <w:br/>
              <w:t>Beneficially Owned</w:t>
            </w:r>
          </w:p>
        </w:tc>
        <w:tc>
          <w:tcPr>
            <w:tcW w:w="65" w:type="dxa"/>
            <w:tcBorders/>
            <w:vAlign w:val="bottom"/>
          </w:tcPr>
          <w:p>
            <w:pPr>
              <w:pStyle w:val="TableContents"/>
              <w:bidi w:val="0"/>
              <w:spacing w:before="0" w:after="283"/>
              <w:jc w:val="left"/>
              <w:rPr/>
            </w:pPr>
            <w:r>
              <w:rPr/>
              <w:t> </w:t>
            </w:r>
          </w:p>
        </w:tc>
      </w:tr>
      <w:tr>
        <w:trPr/>
        <w:tc>
          <w:tcPr>
            <w:tcW w:w="48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Owners</w:t>
            </w:r>
          </w:p>
        </w:tc>
        <w:tc>
          <w:tcPr>
            <w:tcW w:w="251"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Before</w:t>
              <w:br/>
              <w:t>Offering</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Offering</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Directors and Executive Officers</w:t>
            </w:r>
            <w:r>
              <w:rPr>
                <w:rFonts w:ascii="Times New Roman" w:hAnsi="Times New Roman"/>
                <w:sz w:val="20"/>
              </w:rPr>
              <w:t xml:space="preserve"> </w:t>
            </w:r>
            <w:r>
              <w:rPr>
                <w:rFonts w:ascii="Times New Roman" w:hAnsi="Times New Roman"/>
                <w:b/>
                <w:sz w:val="20"/>
              </w:rPr>
              <w:t>(1)</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Riad Sherif (2)</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880,561</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2.69</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2.43</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Sylvia Cheung (3)</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166,313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Páll Ragnar Jóhannesson (4)</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514,124</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1.56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1.41</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Christina Ackermann</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xml:space="preserve">   </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Lionel Carnot</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xml:space="preserve">   </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Pravin Dugel, M.D.</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xml:space="preserve">   </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Martijn Kleijwegt (5)</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1,997,302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5.51</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Geraldine OKeeffe</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xml:space="preserve">   </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Anthony Rosenberg (6)</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96,670</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All officers and directors as a group (9 individuals)</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3,654,970</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11.04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9.99</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Five Percent Holders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LSP 7 Coöperatief U.A. (7)</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4,023,015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12.29</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11.10</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Certain funds managed by Pivotal Partners (8)</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3,032,296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9.26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8.37</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Brunnur vaxtarsjóður slhf. (9)</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2,335,841</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6.45</w:t>
            </w:r>
          </w:p>
        </w:tc>
        <w:tc>
          <w:tcPr>
            <w:tcW w:w="65" w:type="dxa"/>
            <w:tcBorders/>
            <w:shd w:fill="CCEEFF" w:val="clear"/>
            <w:vAlign w:val="bottom"/>
          </w:tcPr>
          <w:p>
            <w:pPr>
              <w:pStyle w:val="TableContents"/>
              <w:bidi w:val="0"/>
              <w:spacing w:before="0" w:after="283"/>
              <w:jc w:val="left"/>
              <w:rPr/>
            </w:pPr>
            <w:r>
              <w:rPr/>
              <w:t> </w:t>
            </w:r>
          </w:p>
        </w:tc>
      </w:tr>
      <w:tr>
        <w:trPr/>
        <w:tc>
          <w:tcPr>
            <w:tcW w:w="4806" w:type="dxa"/>
            <w:tcBorders/>
          </w:tcPr>
          <w:p>
            <w:pPr>
              <w:pStyle w:val="TableContents"/>
              <w:bidi w:val="0"/>
              <w:spacing w:before="0" w:after="0"/>
              <w:jc w:val="left"/>
              <w:rPr>
                <w:rFonts w:ascii="Times New Roman" w:hAnsi="Times New Roman"/>
                <w:sz w:val="20"/>
              </w:rPr>
            </w:pPr>
            <w:r>
              <w:rPr>
                <w:rFonts w:ascii="Times New Roman" w:hAnsi="Times New Roman"/>
                <w:sz w:val="20"/>
              </w:rPr>
              <w:t>BVCF Management (BEYEOTECH) (10)</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2,070,020</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6.32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5.71</w:t>
            </w:r>
          </w:p>
        </w:tc>
        <w:tc>
          <w:tcPr>
            <w:tcW w:w="65" w:type="dxa"/>
            <w:tcBorders/>
            <w:vAlign w:val="bottom"/>
          </w:tcPr>
          <w:p>
            <w:pPr>
              <w:pStyle w:val="TableContents"/>
              <w:bidi w:val="0"/>
              <w:spacing w:before="0" w:after="283"/>
              <w:jc w:val="left"/>
              <w:rPr/>
            </w:pPr>
            <w:r>
              <w:rPr/>
              <w:t> </w:t>
            </w:r>
          </w:p>
        </w:tc>
      </w:tr>
      <w:tr>
        <w:trPr/>
        <w:tc>
          <w:tcPr>
            <w:tcW w:w="48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Novartis Bioventures Ltd. (11)</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2,177,902</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6.65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6.01</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Indicates beneficial ownership of less than 1% of the total ordinary shares outstanding.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the business address of each of the directors and executive officers of Oculis is EPFL Innovation Park, Bat D 3e Route J-D. Colladon, CH-1015 Lausanne, Switzerland.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878,486 ordinary shares issued in exchange for 768,424 ordinary shares of Oculis held prior to the Acquisition Closing Date and (ii) 2,075 ordinary shares issuable upon exercise of options exercisable within 60 days of March 2,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66,808 ordinary shares issued in exchange for 58,438 ordinary shares of Oculis held prior to the Acquisition Closing Date and (ii) 99,505 ordinary shares issuable upon conversion of options to be granted to replace 87,039 Oculis share options, vested and fully exercisable within 60 days of March 2,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249,224 ordinary shares issued to replace 218,000 ordinary shares of Oculis beneficially owned through Sjónarhóll fjárfestingar ehf., over which Mr. Jóhannesson has sole voting and dispositive power, prior to the Acquisition Closing Date and (ii) 264,900 ordinary shares issuable upon conversion of options to be granted to replace 231,712 Oculis share options, vested and fully exercisable within 60 days of March 2,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shares reported above are held in the name of LSP Sponsor EBAC B.V (</w:t>
            </w:r>
            <w:r>
              <w:rPr>
                <w:rFonts w:ascii="Times New Roman" w:hAnsi="Times New Roman"/>
                <w:i/>
                <w:sz w:val="20"/>
              </w:rPr>
              <w:t>LSP Sponsor</w:t>
            </w:r>
            <w:r>
              <w:rPr>
                <w:rFonts w:ascii="Times New Roman" w:hAnsi="Times New Roman"/>
                <w:sz w:val="20"/>
              </w:rPr>
              <w:t xml:space="preserve">). The shares reported above are net of the shares forfeited as a result of the level of EBAC redemptions and net of the shares transferred to EBACs public shareholders who did not redeem their shares. MRMJ Holding B.V., a Dutch limited liability company, is the majority owner of LSP Sponsor and as such, MRMJ Holding B.V. has voting and investment discretion with respect to the shares held of record by LSP Sponsor and may be deemed to have shared beneficial ownership of the shares held by LSP Sponsor. René Kuijten, Joachim Rothe, Martijn Kleijwegt and Mark Wegter who are directors of MRMJ Holding B.V. have voting and investment discretion with respect to the shares owned by MRMJ Holding B.V. and may be deemed to have indirect shared beneficial ownership of the shares held by LSP Sponsor. Mr. Kuijten, Mr. Rothe, Mr. Kleijwegt and Mr. Wegter each disclaim beneficial ownership over the founder shares except to the extent of their pecuniary interest therein.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96,670 ordinary shares issued in exchange for 84,559 ordinary shares of Legacy Oculis held prior to the Acquisition Closing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3,789,600 PIPE Shares and (ii) 233,415 ordinary shares issued in exchange for 197,745 preferred shares of Oculis held prior to the Acquisition Closing Date. LSP 7 Management B.V. is the sole director of LSP 7 Coöperatief UA. The managing directors of LSP 7 Management B.V. are Martijn Kleijwegt, Rene Kuijten and Joachim Rothe. As such, LSP 7 Management B.V., Martijn Kleijwegt, Rene Kuijten and Joachim Rothe may be deemed to beneficially own the securities held of record by LSP 7 Coöperatief UA. Each of Mr. Kleijwegt, Mr. Kuijten and Mr. Rothe disclaims beneficial ownership of such shares. The business address of each of the entities and individuals identified in this footnote is Johannes Vermeerplein 9 1071 DV Amsterdam, Netherlands.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Consists of (i) 209,781 ordinary shares issued upon conversion of the Convertible Loan Agreement held by Pivotal bioVenture partners Fund I, L.P. (</w:t>
            </w:r>
            <w:r>
              <w:rPr>
                <w:rFonts w:ascii="Times New Roman" w:hAnsi="Times New Roman"/>
                <w:i/>
                <w:sz w:val="20"/>
              </w:rPr>
              <w:t>Pivotal</w:t>
            </w:r>
            <w:r>
              <w:rPr>
                <w:rFonts w:ascii="Times New Roman" w:hAnsi="Times New Roman"/>
                <w:sz w:val="20"/>
              </w:rPr>
              <w:t>), (ii) 2,171,415 ordinary shares issued in exchange for 1,576,657 preferred shares of Oculis held by Pivotal prior to the Acquisition Closing Date, (iii) 57,219 ordinary shares issued upon conversion of the Convertible Loan Agreement held by NFLS Beta Limited (</w:t>
            </w:r>
            <w:r>
              <w:rPr>
                <w:rFonts w:ascii="Times New Roman" w:hAnsi="Times New Roman"/>
                <w:i/>
                <w:sz w:val="20"/>
              </w:rPr>
              <w:t>NFLS Beta</w:t>
            </w:r>
            <w:r>
              <w:rPr>
                <w:rFonts w:ascii="Times New Roman" w:hAnsi="Times New Roman"/>
                <w:sz w:val="20"/>
              </w:rPr>
              <w:t>) and (iv) 593,881 ordinary shares issued in exchange for 435,505 preferred shares of Oculis held by NFLS Beta prior to the Acquisition Closing Date. The general partner of Pivotal is Pivotal bioVenture Partners Fund I G.P., L.P. (</w:t>
            </w:r>
            <w:r>
              <w:rPr>
                <w:rFonts w:ascii="Times New Roman" w:hAnsi="Times New Roman"/>
                <w:i/>
                <w:sz w:val="20"/>
              </w:rPr>
              <w:t>Pivotal GP</w:t>
            </w:r>
            <w:r>
              <w:rPr>
                <w:rFonts w:ascii="Times New Roman" w:hAnsi="Times New Roman"/>
                <w:sz w:val="20"/>
              </w:rPr>
              <w:t>). The general partner of Pivotal GP is Pivotal bioVenture Partners Fund I U.G.P., Ltd (the Ultimate General Partner). Richard Coles, Peter Bisgaard and Vincent Sai Sing Cheung are directors of the Ultimate General Partner, and may, along with the Ultimate General Partner be deemed to have shared voting and investment control and power over the shares owned by Pivotal. Such persons disclaim beneficial ownership of such securities except to the extent of any pecuniary interest therein. The Ultimate General Partner is wholly owned by Pivotal Partners Ltd (</w:t>
            </w:r>
            <w:r>
              <w:rPr>
                <w:rFonts w:ascii="Times New Roman" w:hAnsi="Times New Roman"/>
                <w:i/>
                <w:sz w:val="20"/>
              </w:rPr>
              <w:t>Pivotal Partners</w:t>
            </w:r>
            <w:r>
              <w:rPr>
                <w:rFonts w:ascii="Times New Roman" w:hAnsi="Times New Roman"/>
                <w:sz w:val="20"/>
              </w:rPr>
              <w:t>). Pivotal Partners is wholly owned by Pivotal Life Sciences Holdings Limited (</w:t>
            </w:r>
            <w:r>
              <w:rPr>
                <w:rFonts w:ascii="Times New Roman" w:hAnsi="Times New Roman"/>
                <w:i/>
                <w:sz w:val="20"/>
              </w:rPr>
              <w:t>Pivotal Life Sciences</w:t>
            </w:r>
            <w:r>
              <w:rPr>
                <w:rFonts w:ascii="Times New Roman" w:hAnsi="Times New Roman"/>
                <w:sz w:val="20"/>
              </w:rPr>
              <w:t>). Pivotal Life Sciences is wholly owned by Nan Fung Life Sciences Holdings Limited (</w:t>
            </w:r>
            <w:r>
              <w:rPr>
                <w:rFonts w:ascii="Times New Roman" w:hAnsi="Times New Roman"/>
                <w:i/>
                <w:sz w:val="20"/>
              </w:rPr>
              <w:t>Nan Fung Life Sciences</w:t>
            </w:r>
            <w:r>
              <w:rPr>
                <w:rFonts w:ascii="Times New Roman" w:hAnsi="Times New Roman"/>
                <w:sz w:val="20"/>
              </w:rPr>
              <w:t>), and Nan Fung Life Sciences is wholly owned by NF Investment Holdings Limited (</w:t>
            </w:r>
            <w:r>
              <w:rPr>
                <w:rFonts w:ascii="Times New Roman" w:hAnsi="Times New Roman"/>
                <w:i/>
                <w:sz w:val="20"/>
              </w:rPr>
              <w:t>NFIHL</w:t>
            </w:r>
            <w:r>
              <w:rPr>
                <w:rFonts w:ascii="Times New Roman" w:hAnsi="Times New Roman"/>
                <w:sz w:val="20"/>
              </w:rPr>
              <w:t>). NFLS Beta is wholly owned by NFLS Platform Holdings Limited, which is wholly owned by Nan Fung Life Sciences. Nan Fung Life Sciences is wholly owned by Nan Fung Group Holdings Limited (</w:t>
            </w:r>
            <w:r>
              <w:rPr>
                <w:rFonts w:ascii="Times New Roman" w:hAnsi="Times New Roman"/>
                <w:i/>
                <w:sz w:val="20"/>
              </w:rPr>
              <w:t xml:space="preserve">NFGHL </w:t>
            </w:r>
            <w:r>
              <w:rPr>
                <w:rFonts w:ascii="Times New Roman" w:hAnsi="Times New Roman"/>
                <w:sz w:val="20"/>
              </w:rPr>
              <w:t xml:space="preserve">and together with Pivotal, Pivotal GP, Ultimate General Partner, Pivotal Partners, Pivotal Life Sciences, Nan Fung Life Sciences and NFIHL, the </w:t>
            </w:r>
            <w:r>
              <w:rPr>
                <w:rFonts w:ascii="Times New Roman" w:hAnsi="Times New Roman"/>
                <w:i/>
                <w:sz w:val="20"/>
              </w:rPr>
              <w:t>Pivotal Parties</w:t>
            </w:r>
            <w:r>
              <w:rPr>
                <w:rFonts w:ascii="Times New Roman" w:hAnsi="Times New Roman"/>
                <w:sz w:val="20"/>
              </w:rPr>
              <w:t xml:space="preserve">). The members of the Executive Committee of NFGHL make voting and investment decisions with respect to the ordinary shares held by NFLS Beta. Kam Chung Leung, Frank Kai Shui Seto, Vincent Sai Sing Cheung, Pui Kuen Cheung, Vanessa Tih Lin Cheung, Meng Gao and Chun Wai Nelson Tang are the members of the Executive Committee of NFGHL. Such persons disclaim beneficial ownership of such securities except to the extent of any pecuniary interest therein. The Pivotal Parties share voting and dispositive power over the shares held by Pivotal. The business address of Pivotal, Pivotal GP, Ultimate General Partner, Pivotal Partners and Pivotal Life Sciences is 501 Second Street, Suite 200, San Francisco, CA 94107. The address of NFGHL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23rd Floor, Nan Fung Tower, 88 Connaught Road Central and 173 Des Voeux Road Central, Central, Hong Kong. The address of NFIHL is Vistra Corporate Services Centre, Wickhams Cay II, Road Town, Tortola, VG1110, British Virgin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2,335,841 ordinary shares issued in exchange for 1,931,692 preferred shares of Oculis held prior to the Acquisition Closing Date. Voting and dispositive decisions require a majority vote of the directors of Brunnur vaxtarsjóður slhf., composed of three individuals, Guðbjörg Edda Eggertsdóttir, Hjörleifur Pálsson and Guðrún Tinna Ólafsdóttir, and, as such, each disclaim any beneficial ownership of any such shares, except to the extent of his or her pecuniary interest therein. The business address of Brunnur vaxtarsjóður slhf. is Borgartún 33, 105 Reykjavík, Iceland.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2,070,020 ordinary shares issued in exchange for 1,635,339 preferred shares of Oculis held prior to the Acquisition Closing Date. Voting and dispositive decisions require a majority vote of the investment committee composed of six individuals, Zhi Yang, Robert Li, Vanessa Huang, Huacheng Wei, Maggie Chen, and Rachel Zhao, and, as such, each disclaim any beneficial ownership of any such shares, except to the extent of his or her pecuniary interest therein. The business address of BEYEOTECH is 190 Elgin Avenue, George Town, Grand Cayman KY1-9008,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255,000 PIPE Shares owned by Novartis Bioventures Ltd., (ii) 1,521,182 ordinary shares issued in exchange for 1,102,245 preferred shares of Oculis held by Novartis Bioventures Ltd. prior to the Acquisition Closing Date and (iii) 401,720 ordinary shares issued in exchange for 351,390 ordinary shares of Oculis held by Novartis Pharma AG prior to the Acquisition Closing Date. The foregoing shares are directly owned by Novartis Bioventures Ltd. and Novartis Pharma AG, respectively. Novartis Bioventures Ltd. and Novartis Pharma AG are each wholly-owned indirect subsidiaries of Novartis AG, which is an indirect beneficial owner of the reported securities. As the indirect parent of Novartis Bioventures, Ltd. and Novartis Pharma AG, Novartis AG shares voting and dispositive power over, and may be deemed to beneficially own, the reported securities. The business address of Novartis Bioventures Ltd., Novartis Pharma AG and Novartis AG is Lichtstrasse 35, 4056 Basel, Switzerland.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Changes in Percentage Ownership </w:t>
      </w:r>
    </w:p>
    <w:p>
      <w:pPr>
        <w:pStyle w:val="TextBody"/>
        <w:bidi w:val="0"/>
        <w:spacing w:before="120" w:after="0"/>
        <w:jc w:val="left"/>
        <w:rPr>
          <w:rFonts w:ascii="Times New Roman" w:hAnsi="Times New Roman"/>
          <w:sz w:val="20"/>
        </w:rPr>
      </w:pPr>
      <w:r>
        <w:rPr>
          <w:rFonts w:ascii="Times New Roman" w:hAnsi="Times New Roman"/>
          <w:sz w:val="20"/>
        </w:rPr>
        <w:t xml:space="preserve">In March 2023, we experienced significant changes in the percentage ownership held by major shareholders as a result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voting rights of the principal shareholders do not differ from the voting rights of other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As of March 27, 2023, to the best of our knowledge 8,620,220 of our outstanding ordinary shares were held by 15 shareholders of record in the United States. The actual number of holders is greater than these numbers of record holders, and includes beneficial owners whose ordinary shares are held in street name by brokers and other nominees. This number of holders of record also does not include holders whose shares may be held in trust by other entities.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394147_15"/>
      <w:bookmarkEnd w:id="17"/>
      <w:r>
        <w:rPr>
          <w:rFonts w:ascii="Times New Roman" w:hAnsi="Times New Roman"/>
          <w:b/>
          <w:sz w:val="20"/>
        </w:rPr>
        <w:t xml:space="preserve">DESCRIPTION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We are incorporated as a stock corporation (</w:t>
      </w:r>
      <w:r>
        <w:rPr>
          <w:rFonts w:ascii="Times New Roman" w:hAnsi="Times New Roman"/>
          <w:i/>
          <w:sz w:val="20"/>
        </w:rPr>
        <w:t>Aktiengesellschaft</w:t>
      </w:r>
      <w:r>
        <w:rPr>
          <w:rFonts w:ascii="Times New Roman" w:hAnsi="Times New Roman"/>
          <w:sz w:val="20"/>
        </w:rPr>
        <w:t xml:space="preserve">) organized under the laws of Switzerland in accordance with articles 620 et seqq. of the CO and registered with the Commercial Register of the Canton of Zug on October 31, 2022. Our corporate legal headquarters is Bahnhofstrasse 7, 6300 Zug, Switzerland and we expect to move our headquarters in the near future to EPFL Innovation Park, Bat D 3e Route J-D. Colladon, CH-1015 Lausanne, Switzerland. Neither the Articles of Association nor the operation of law limit the duration of Oculis Holding AG.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Structure of Oculis Holding AG </w:t>
      </w:r>
    </w:p>
    <w:p>
      <w:pPr>
        <w:pStyle w:val="TextBody"/>
        <w:bidi w:val="0"/>
        <w:spacing w:before="120" w:after="0"/>
        <w:jc w:val="left"/>
        <w:rPr>
          <w:rFonts w:ascii="Times New Roman" w:hAnsi="Times New Roman"/>
          <w:b/>
          <w:i/>
          <w:sz w:val="20"/>
        </w:rPr>
      </w:pPr>
      <w:r>
        <w:rPr>
          <w:rFonts w:ascii="Times New Roman" w:hAnsi="Times New Roman"/>
          <w:b/>
          <w:i/>
          <w:sz w:val="20"/>
        </w:rPr>
        <w:t xml:space="preserve">Issued Share Capital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Business Combination, Oculis Holding AGs share capital was CHF 356,821.68 divided into 35,682,168 fully paid-in registered shares with a nominal value of CHF 0.01 each. </w:t>
      </w:r>
    </w:p>
    <w:p>
      <w:pPr>
        <w:pStyle w:val="TextBody"/>
        <w:bidi w:val="0"/>
        <w:spacing w:before="240" w:after="0"/>
        <w:jc w:val="left"/>
        <w:rPr>
          <w:rFonts w:ascii="Times New Roman" w:hAnsi="Times New Roman"/>
          <w:sz w:val="20"/>
        </w:rPr>
      </w:pPr>
      <w:r>
        <w:rPr>
          <w:rFonts w:ascii="Times New Roman" w:hAnsi="Times New Roman"/>
          <w:sz w:val="20"/>
        </w:rPr>
        <w:t xml:space="preserve">In the context of the Business Combination, Oculis Holding AG increased its share capital in the Commercial Register of the Canton of Zug on the Acquisition Closing Date to CHF 365,273.68 (divided into 36,527,368 ordinary shares, fully paid-up).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2023, there were 32,733,373 ordinary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Share Classes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Association provide for one class of ordinary shares with a nominal value of CHF 0.01 each. Each Ordinary Share will carry one vote in general meetings of Ordinary, and the ordinary shares are listed on the Nasdaq Global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Capital Increases (General) </w:t>
      </w:r>
    </w:p>
    <w:p>
      <w:pPr>
        <w:pStyle w:val="TextBody"/>
        <w:bidi w:val="0"/>
        <w:spacing w:before="120" w:after="0"/>
        <w:jc w:val="left"/>
        <w:rPr>
          <w:rFonts w:ascii="Times New Roman" w:hAnsi="Times New Roman"/>
          <w:sz w:val="20"/>
        </w:rPr>
      </w:pPr>
      <w:r>
        <w:rPr>
          <w:rFonts w:ascii="Times New Roman" w:hAnsi="Times New Roman"/>
          <w:sz w:val="20"/>
        </w:rPr>
        <w:t>Under Swiss law, we may increase our share capital and issue new shares through an ordinary capital increase, an increase by capital band (</w:t>
      </w:r>
      <w:r>
        <w:rPr>
          <w:rFonts w:ascii="Times New Roman" w:hAnsi="Times New Roman"/>
          <w:i/>
          <w:sz w:val="20"/>
        </w:rPr>
        <w:t>Kapitalband</w:t>
      </w:r>
      <w:r>
        <w:rPr>
          <w:rFonts w:ascii="Times New Roman" w:hAnsi="Times New Roman"/>
          <w:sz w:val="20"/>
        </w:rPr>
        <w:t>) or a conditional capital increase (</w:t>
      </w:r>
      <w:r>
        <w:rPr>
          <w:rFonts w:ascii="Times New Roman" w:hAnsi="Times New Roman"/>
          <w:i/>
          <w:sz w:val="20"/>
        </w:rPr>
        <w:t>Bedingte Kapitalerhöhung</w:t>
      </w:r>
      <w:r>
        <w:rPr>
          <w:rFonts w:ascii="Times New Roman" w:hAnsi="Times New Roman"/>
          <w:sz w:val="20"/>
        </w:rPr>
        <w:t>). In each case, the issue price for each share may not be less than the nominal value of the newly issued share. An ordinary capital increase is approved at a general meeting of shareholders. The required vote is generally the approval of simple majority of the votes cast at the general meeting of shareholders. At least two-thirds of the represented share votes and the absolute majority of the represented nominal value of the shares present in person or represented by proxy is required for capital increases against our equity, against contributions in kind, for the purposes of acquiring assets or the granting of special benefits, or for capital increases where the pre-emptive/ subscription rights of shareholders are limited or excluded. The amount by which the capital can be increased in an ordinary capital increase is unlimited, provided that sufficient contributions are made to cover the capital increase. An ordinary capital increase that has been approved by the shareholders must be executed within six months of shareholder approval. In an ordinary capital increase, holders of ordinary shares have pre-emptive rights to obtain newly issued shares in an amount proportional to the nominal value of the shares they already hold, unless such rights are excluded in accordance with Swiss law. For further details on these circumstances, please see the section entitled </w:t>
      </w:r>
      <w:r>
        <w:rPr>
          <w:rFonts w:ascii="Times New Roman" w:hAnsi="Times New Roman"/>
          <w:i/>
          <w:sz w:val="20"/>
        </w:rPr>
        <w:t>Pre-emptive Rights and Advance Subscription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shareholders can further authorize the Board of directors by way of an amendment of the Articles of Association to increase or decrease the share capital within a capital band in an amount not to exceed 50% of the share capital registered in the commercial register for a period of five years without further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create a capital band, a resolution of the general meeting of shareholders passed by a supermajority of at least two-thirds of the represented share votes and the absolute majority of the represented nominal value of the shares present in person or represented by proxy is required. Additional information regarding capital band is set forth below in the section entitled </w:t>
      </w:r>
      <w:r>
        <w:rPr>
          <w:rFonts w:ascii="Times New Roman" w:hAnsi="Times New Roman"/>
          <w:i/>
          <w:sz w:val="20"/>
        </w:rPr>
        <w:t>Capital band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Swiss law, conditional share capital is used to issue new shares in the context of employee benefit and incentive plans, debt instruments with conversion rights or warrants granted to creditors or options and warrants issued to third parties. To create conditional capital, a resolution of the general meeting of shareholders passed by a supermajority of at least two-thirds of the represented share votes and the absolute majority of the represented nominal value of the shares present in person or represented by proxy is required. The requirements for a conditional capital increase are set forth below in the section entitled </w:t>
      </w:r>
      <w:r>
        <w:rPr>
          <w:rFonts w:ascii="Times New Roman" w:hAnsi="Times New Roman"/>
          <w:i/>
          <w:sz w:val="20"/>
        </w:rPr>
        <w:t>Conditional Share Capital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band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Association, the Board of directors is authorized to increase the share capital, at any time until March 2, 2028 at the latest, by a maximum amount of CHF 178,410.84 by issuing a maximum of 17841084 fully paid-up shares with a nominal value of CHF 0.01 each (ordinary shares). Such increase of the share capital (i) by means of an offering underwritten by a financial institution, a syndicate of financial institutions or another third party or third parties, followed by an offer to the then-existing shareholders of the Oculis Holding AG, and (ii) in partial amounts, are permissible.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determine the time of the issuance, the issue price, the manner in which the new shares have to be paid up, the date from which the shares carry the right to dividends, the conditions for the exercise of the pre-emptive rights and the allotment of pre-emptive rights that have not been exercised. The Board of directors may allow the pre-emptive rights that have not been exercised to expire, or it may place such shares or the pre-emptive rights of which have not been exercised, at market conditions or use them otherwise in the interest of Oculis Holding AG.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authorized to withdraw or limit the pre-emptive rights of the shareholders with respect to the shares to be issued under the capital band and to allot them to individual shareholders or third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 price of the new registered shares is determined by reference to the market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acquisition of an enterprise, part of an enterprise or participations, or for the financing or refinancing of any of such acquisition, or in the event of share placement for the financing or refinancing of such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broadening the shareholders of our constituency in certain financial or investor markets, for purposes of the participation of strategic partners, or in connection with the listing or registration of new registered shares on domestic or foreign stock exchanges;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granting an over-allotment option (Greenshoe) or an option to subscribe additional shares to the respective initial purchaser(s) or underwriter(s) in a placement or sale of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raising of capital (including private placements) in a fast and flexible way, which probably could not be achieved without the exclusion of the statutory pre-emptive right of the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6.</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other valid grounds in the sense of article 652b para. 2 CO;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 upon consultation with an independent financial adviser retained by it, has not recommended to the shareholders acceptance on the basis that the Board of directors has not found the takeover bid to be financially fair to the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authorization to withdraw or limit the pre-emptive rights is limited to the above listed items and exclusively linked to the particular available capital band (</w:t>
      </w:r>
      <w:r>
        <w:rPr>
          <w:rFonts w:ascii="Times New Roman" w:hAnsi="Times New Roman"/>
          <w:i/>
          <w:sz w:val="20"/>
        </w:rPr>
        <w:t>Kapitalband</w:t>
      </w:r>
      <w:r>
        <w:rPr>
          <w:rFonts w:ascii="Times New Roman" w:hAnsi="Times New Roman"/>
          <w:sz w:val="20"/>
        </w:rPr>
        <w:t xml:space="preserve">) set out in the Articles of Association. If the period to increase our share capital within the capital band lapses without having been used by the Board of directors, the authorization to withdraw or to limit the pre-emptive rights lapses simultaneously with such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Conditional Share Capital </w:t>
      </w:r>
    </w:p>
    <w:p>
      <w:pPr>
        <w:pStyle w:val="TextBody"/>
        <w:bidi w:val="0"/>
        <w:spacing w:before="120" w:after="0"/>
        <w:jc w:val="left"/>
        <w:rPr>
          <w:rFonts w:ascii="Times New Roman" w:hAnsi="Times New Roman"/>
          <w:i/>
          <w:sz w:val="20"/>
        </w:rPr>
      </w:pPr>
      <w:r>
        <w:rPr>
          <w:rFonts w:ascii="Times New Roman" w:hAnsi="Times New Roman"/>
          <w:i/>
          <w:sz w:val="20"/>
        </w:rPr>
        <w:t xml:space="preserve">Conditional Share Capital in Connection with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Association, our share capital may be increased by an amount not exceeding CHF 78,355.44 through the issue of a maximum of 7,835,544 fully paid up registered shares, each with a nominal value of CHF 0.01 (ordinary shares), in connection with the exercise of option rights or other equity- linked instruments granted to any employee of Oculis Holding AG or a subsidiary, and any consultant, members of the Board of directors, or other person providing services to us or a subsidiary. </w:t>
      </w:r>
    </w:p>
    <w:p>
      <w:pPr>
        <w:pStyle w:val="TextBody"/>
        <w:bidi w:val="0"/>
        <w:spacing w:before="240" w:after="0"/>
        <w:jc w:val="left"/>
        <w:rPr>
          <w:rFonts w:ascii="Times New Roman" w:hAnsi="Times New Roman"/>
          <w:sz w:val="20"/>
        </w:rPr>
      </w:pPr>
      <w:r>
        <w:rPr>
          <w:rFonts w:ascii="Times New Roman" w:hAnsi="Times New Roman"/>
          <w:sz w:val="20"/>
        </w:rPr>
        <w:t xml:space="preserve">Shareholders subscription rights are excluded with regard to these shares. These new registered shares may be issued at a price below the current market price. The Board of directors shall determine the other conditions of issue including the issue price of the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Conditional Share Capital for new Bonds and Similar Debt Instruments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Association, our share capital may be increased by an amount not exceeding CHF 50,000 through the issuance from time to time of a maximum of 5,000,000 fully paid up registered shares, each with a par value of CHF 0.01 (ordinary shares), in connection with the exercise of convertible rights and/or option rights or warrants, which have been granted or will be granted in connection with new bonds and similar debt instruments, including convertible loans of Legacy Oculis which were issued prior to the date of the Business Combination in accordance with the Convertible Loan Agreements, that have been issued by us or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Conditional Share Capital for EBAC 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Articles of Association, our share capital may be increased by an amount not exceeding CHF 44,032.94 through the issuance, from time to time, of a maximum of 4,403,294 fully paid up registered shares, each with a par value of CHF 0.01 (ordinary shares), in connection with the exercise of warrants granted through the exercise of conversion and/or option rights, which were assumed from, and allocated by, EBAC, on the basis of the Warrant Assignment and 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Shareholders advance subscription rights and subscription rights are excluded with regard to the new registered shares. These new registered shares may be issued at a price below the current market price. The Board shall determine the other conditions of issue including the issue price of the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Participation Certificates and Profit-sharing Certificates </w:t>
      </w:r>
    </w:p>
    <w:p>
      <w:pPr>
        <w:pStyle w:val="TextBody"/>
        <w:bidi w:val="0"/>
        <w:spacing w:before="120" w:after="0"/>
        <w:jc w:val="left"/>
        <w:rPr>
          <w:rFonts w:ascii="Times New Roman" w:hAnsi="Times New Roman"/>
          <w:sz w:val="20"/>
        </w:rPr>
      </w:pPr>
      <w:r>
        <w:rPr>
          <w:rFonts w:ascii="Times New Roman" w:hAnsi="Times New Roman"/>
          <w:sz w:val="20"/>
        </w:rPr>
        <w:t>As of the date of this proxy statement/prospectus, we have neither participation certificates (</w:t>
      </w:r>
      <w:r>
        <w:rPr>
          <w:rFonts w:ascii="Times New Roman" w:hAnsi="Times New Roman"/>
          <w:i/>
          <w:sz w:val="20"/>
        </w:rPr>
        <w:t>Partizipationsscheine</w:t>
      </w:r>
      <w:r>
        <w:rPr>
          <w:rFonts w:ascii="Times New Roman" w:hAnsi="Times New Roman"/>
          <w:sz w:val="20"/>
        </w:rPr>
        <w:t>) nor profit-sharing certificates (</w:t>
      </w:r>
      <w:r>
        <w:rPr>
          <w:rFonts w:ascii="Times New Roman" w:hAnsi="Times New Roman"/>
          <w:i/>
          <w:sz w:val="20"/>
        </w:rPr>
        <w:t>Genussscheine</w:t>
      </w:r>
      <w:r>
        <w:rPr>
          <w:rFonts w:ascii="Times New Roman" w:hAnsi="Times New Roman"/>
          <w:sz w:val="20"/>
        </w:rPr>
        <w:t xml:space="preserv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Treasury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we may hold ordinary shares in treasury. Under Swiss law, a stock company may only hold 10% of its own shares in treasury and up to 20% under special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Pre-emptive Rights and Advance Subscription Rights </w:t>
      </w:r>
    </w:p>
    <w:p>
      <w:pPr>
        <w:pStyle w:val="TextBody"/>
        <w:bidi w:val="0"/>
        <w:spacing w:before="120" w:after="0"/>
        <w:jc w:val="left"/>
        <w:rPr>
          <w:rFonts w:ascii="Times New Roman" w:hAnsi="Times New Roman"/>
          <w:sz w:val="20"/>
        </w:rPr>
      </w:pPr>
      <w:r>
        <w:rPr>
          <w:rFonts w:ascii="Times New Roman" w:hAnsi="Times New Roman"/>
          <w:sz w:val="20"/>
        </w:rPr>
        <w:t>Swiss law provides that any share issue, whether for cash or non-cash consideration, is subject to the prior approval at a general meeting of shareholders. Shareholders are granted certain pre-emptive rights (</w:t>
      </w:r>
      <w:r>
        <w:rPr>
          <w:rFonts w:ascii="Times New Roman" w:hAnsi="Times New Roman"/>
          <w:i/>
          <w:sz w:val="20"/>
        </w:rPr>
        <w:t>Bezugsrechte</w:t>
      </w:r>
      <w:r>
        <w:rPr>
          <w:rFonts w:ascii="Times New Roman" w:hAnsi="Times New Roman"/>
          <w:sz w:val="20"/>
        </w:rPr>
        <w:t>) to subscribe for new issues of shares and advance subscription rights (</w:t>
      </w:r>
      <w:r>
        <w:rPr>
          <w:rFonts w:ascii="Times New Roman" w:hAnsi="Times New Roman"/>
          <w:i/>
          <w:sz w:val="20"/>
        </w:rPr>
        <w:t>Vorwegzeichnungsrechte</w:t>
      </w:r>
      <w:r>
        <w:rPr>
          <w:rFonts w:ascii="Times New Roman" w:hAnsi="Times New Roman"/>
          <w:sz w:val="20"/>
        </w:rPr>
        <w:t xml:space="preserve">) to subscribe for warrants, convertible bonds or similar debt instruments with option rights in proportion to the nominal amount of shares held. Pursuant to the Articles of Association, a resolution adopted at a general meeting by a majority of two-thirds of the votes represented at the meeting is required to repeal, limit or suspend pre-emptive rights.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Business Combination Agreement and Warrant Assignment and Assumption Agreement, the Company has assumed and issued 4,403,294 Warrants. Each Warrant entitles the registered holder to purchase one Ordinary Share at a price of $11.50 per share, subject to adjustment as discussed below, exercisable at any time commencing 30 days after the completion of the Business Combination, provided that we have an effective registration statement under the Securities Act covering the issuance the ordinary shares issuable upon exercise of the Warrants. Pursuant to the Warrant Assignment and Assumption Agreement, a warrant holder may exercise its Warrants only for a whole number of ordinary shares. This means only a whole public warrant may be exercised at a given time by a Warrant holder. No fractional Warrants will be issued upon separation of the units and only whole Warrants will trade. The Warrants will expire on March 2, 2028 (i.e. five years after the completion of the Business Combination), at 5:00 p.m. Eastern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We will not be obligated to deliver any ordinary shares pursuant to the exercise of a warrant and will have no obligation to settle such warrant exercise unless a registration statement under the Securities Act covering the issuance of the ordinary shares issuable upon exercise of the Warrants is then effective and a current prospectus relating thereto is current, subject to us satisfying our obligations described below with respect to registration, or a valid exemption from registration is available, including in connection with a cashless exercise permitted as a result of a notice of redemption described below under the section entitled </w:t>
      </w:r>
      <w:r>
        <w:rPr>
          <w:rFonts w:ascii="Times New Roman" w:hAnsi="Times New Roman"/>
          <w:i/>
          <w:sz w:val="20"/>
        </w:rPr>
        <w:t>Redemption of warrants when the price per Ordinary Share equals or exceeds $10.00.</w:t>
      </w:r>
      <w:r>
        <w:rPr>
          <w:rFonts w:ascii="Times New Roman" w:hAnsi="Times New Roman"/>
          <w:sz w:val="20"/>
        </w:rPr>
        <w:t xml:space="preserve">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warrant will not be entitled to exercise such warrant and such warrant may have no value and expire worthless. </w:t>
      </w:r>
    </w:p>
    <w:p>
      <w:pPr>
        <w:pStyle w:val="TextBody"/>
        <w:bidi w:val="0"/>
        <w:spacing w:before="240" w:after="0"/>
        <w:jc w:val="left"/>
        <w:rPr>
          <w:rFonts w:ascii="Times New Roman" w:hAnsi="Times New Roman"/>
          <w:sz w:val="20"/>
        </w:rPr>
      </w:pPr>
      <w:r>
        <w:rPr>
          <w:rFonts w:ascii="Times New Roman" w:hAnsi="Times New Roman"/>
          <w:sz w:val="20"/>
        </w:rPr>
        <w:t xml:space="preserve">We filed a registration statement (File No. 333-271063), which was declared effective on May 1, 2023, covering the issuance, under the Securities Act, of the ordinary shares issuable upon exercise of the Warrants, and we will use our commercially reasonable efforts to maintain the effectiveness of such registration statement, and a current prospectus relating thereto, until the expiration of the Warrants in accordance with the provisions of the Warrant Assignment and Assumption Agreement. Notwithstanding the above, if the ordinary shares are, at the time of any exercise of a warrant, not listed on a national securities exchange such that they satisfy the definition of a covered security under Section 18(b)(1) of the Securities Act, we may, at our option, require holders of Warrants who exercise their warrants to do so on a cashless basis in accordance with Section 3(a)(9) of the Securities Act and, in the event we so elect, we will not be required to file or maintain in effect a registration statement, but will use commercially reasonable efforts to register or qualify the shares under applicable blue sky laws to the extent an exemption is not available. In such event, each holder would pay the exercise price by surrendering the Warrants for that number of ordinary shares equal to the lesser of (i) the quotient obtained by dividing (A) the product of the number of ordinary shares underlying the Warrants, </w:t>
      </w:r>
      <w:r>
        <w:rPr>
          <w:rFonts w:ascii="Times New Roman" w:hAnsi="Times New Roman"/>
          <w:i/>
          <w:sz w:val="20"/>
        </w:rPr>
        <w:t xml:space="preserve">multiplied </w:t>
      </w:r>
      <w:r>
        <w:rPr>
          <w:rFonts w:ascii="Times New Roman" w:hAnsi="Times New Roman"/>
          <w:sz w:val="20"/>
        </w:rPr>
        <w:t>by the excess of the fair market value (defined below) less the exercise price of the warrants by (B) the fair market value and (ii) 0.361. The </w:t>
      </w:r>
      <w:r>
        <w:rPr>
          <w:rFonts w:ascii="Times New Roman" w:hAnsi="Times New Roman"/>
          <w:i/>
          <w:sz w:val="20"/>
        </w:rPr>
        <w:t>fair market value</w:t>
      </w:r>
      <w:r>
        <w:rPr>
          <w:rFonts w:ascii="Times New Roman" w:hAnsi="Times New Roman"/>
          <w:sz w:val="20"/>
        </w:rPr>
        <w:t xml:space="preserve"> as used in this proxy statement/ prospectus shall mean the volume weighted average price of the ordinary shares for the 10 trading days ending on the trading day prior to the date on which the notice of exercise is received by the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not redeem the Warrants as described above unless a registration statement under the Securities Act covering the issuance of the ordinary shares issuable upon exercise of the warrants is then effective and a current prospectus relating to those ordinary shares is available throughout the 30-days redemption period. If and when the Warrants become redeemable by us, we may exercise our redemption right even if we are unable to register or qualify the underlying securities for sale under all applicable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warrants prior to the scheduled redemption date. However, the price of the ordinary shares may fall below the $18.00 redemption trigger price (as adjusted for adjustments to the number of shares issuable upon exercise or the exercise price of a Warrant as described under the heading  </w:t>
      </w:r>
      <w:r>
        <w:rPr>
          <w:rFonts w:ascii="Times New Roman" w:hAnsi="Times New Roman"/>
          <w:i/>
          <w:sz w:val="20"/>
        </w:rPr>
        <w:t>Redeemable Warrants WarrantsAnti-dilution Adjustments</w:t>
      </w:r>
      <w:r>
        <w:rPr>
          <w:rFonts w:ascii="Times New Roman" w:hAnsi="Times New Roman"/>
          <w:sz w:val="20"/>
        </w:rPr>
        <w:t xml:space="preserve">)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i/>
          <w:sz w:val="20"/>
        </w:rPr>
        <w:t xml:space="preserve">Redemption of Warrants when the price per Ordinary Share equals or exceeds $10.00. </w:t>
      </w:r>
      <w:r>
        <w:rPr>
          <w:rFonts w:ascii="Times New Roman" w:hAnsi="Times New Roman"/>
          <w:sz w:val="20"/>
        </w:rPr>
        <w:t xml:space="preserve">Once the warrants become exercisable, we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$0.10 per warrant upon a minimum of 30 days prior written notice of redemption provided that holders will be able to exercise their warrants on a cashless basis prior to redemption and receive that number of shares based on the redemption date and the fair market value of the ordinary shares, except as otherwise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if, and only if, the Reference Value equals or exceeds $10.00 per share (as adjusted for adjustments to the number of shares issuable upon exercise or the exercise price of a warrant as described under the heading </w:t>
            </w:r>
            <w:r>
              <w:rPr>
                <w:rFonts w:ascii="Times New Roman" w:hAnsi="Times New Roman"/>
                <w:i/>
                <w:sz w:val="20"/>
              </w:rPr>
              <w:t>Redeemable WarrantsWarrantsAnti-dilution Adjustments</w:t>
            </w:r>
            <w:r>
              <w:rPr>
                <w:rFonts w:ascii="Times New Roman" w:hAnsi="Times New Roman"/>
                <w:sz w:val="20"/>
              </w:rPr>
              <w:t xml:space="preserve">) for any 20 trading days within the 30-trading day period ending three trading days before we send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if the Reference Value is less than $18.00 per share (as adjusted for adjustments to the number of shares issuable upon exercise or the exercise price of a warrant, as described under the heading </w:t>
            </w:r>
            <w:r>
              <w:rPr>
                <w:rFonts w:ascii="Times New Roman" w:hAnsi="Times New Roman"/>
                <w:i/>
                <w:sz w:val="20"/>
              </w:rPr>
              <w:t>Redeemable WarrantsWarrantsAnti-dilution Adjustments</w:t>
            </w:r>
            <w:r>
              <w:rPr>
                <w:rFonts w:ascii="Times New Roman" w:hAnsi="Times New Roman"/>
                <w:sz w:val="20"/>
              </w:rPr>
              <w:t xml:space="preserve">) the Private Placement Warrants must also be concurrently called for redemption on the same terms as the outstanding Warrants, as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on the date the notice of redemption is given, holders may elect to exercise their Warrants on a cashless basis. The numbers in the table below represent the number of ordinary shares ordinary shares that a warrant holder will receive upon such cashless exercise in connection with a redemption by us pursuant to this redemption feature based on the fair market value of the ordinary shares on the corresponding redemption date (assuming holders elect to exercise their warrants and such warrants are not redeemed for $0.10 per warrant), determined for these purposes based on volume weighted average price of the ordinary shares during the 10 trading days immediately following the date on which the notice of redemption is sent to the holders of warrants, and the number of months that the corresponding redemption is sent to the holders of warrants, each as set forth in the table below. We will provide its warrant holders with the final fair market value no later than one business day after the 10-trading day period described above ends. </w:t>
      </w:r>
    </w:p>
    <w:p>
      <w:pPr>
        <w:pStyle w:val="TextBody"/>
        <w:bidi w:val="0"/>
        <w:spacing w:before="240" w:after="0"/>
        <w:jc w:val="left"/>
        <w:rPr>
          <w:rFonts w:ascii="Times New Roman" w:hAnsi="Times New Roman"/>
          <w:sz w:val="20"/>
        </w:rPr>
      </w:pPr>
      <w:r>
        <w:rPr>
          <w:rFonts w:ascii="Times New Roman" w:hAnsi="Times New Roman"/>
          <w:i/>
          <w:sz w:val="20"/>
        </w:rPr>
        <w:t xml:space="preserve">Redemption of Warrants when the price per Ordinary Share equals or exceeds $18.00. </w:t>
      </w:r>
      <w:r>
        <w:rPr>
          <w:rFonts w:ascii="Times New Roman" w:hAnsi="Times New Roman"/>
          <w:sz w:val="20"/>
        </w:rPr>
        <w:t xml:space="preserve">Once the Warrants become exercisable, we may redeem the warrants (except as described herein with respect to the Private Placement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to each warrant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if, and only if, the last reported sale price of the ordinary shares for any 20 trading days within a 30-trading days period ending on the third trading day prior to the date on which we send the notice of redemption to the warrant holders (such price, the </w:t>
            </w:r>
            <w:r>
              <w:rPr>
                <w:rFonts w:ascii="Times New Roman" w:hAnsi="Times New Roman"/>
                <w:i/>
                <w:sz w:val="20"/>
              </w:rPr>
              <w:t>Reference Value</w:t>
            </w:r>
            <w:r>
              <w:rPr>
                <w:rFonts w:ascii="Times New Roman" w:hAnsi="Times New Roman"/>
                <w:sz w:val="20"/>
              </w:rPr>
              <w:t>) equals or exceeds $18.00 per share (as adjusted for adjustments to the number of shares issuable upon exercise or the exercise price of a warrant as described under the heading </w:t>
            </w:r>
            <w:r>
              <w:rPr>
                <w:rFonts w:ascii="Times New Roman" w:hAnsi="Times New Roman"/>
                <w:i/>
                <w:sz w:val="20"/>
              </w:rPr>
              <w:t>Redeemable WarrantsPublic Shareholders WarrantsAnti-dilution Adjustments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This redemption feature is structured to allow for all of the outstanding Warrants to be redeemed when the ordinary shares are trading at or above $10.00 per share, which may be at a time when the trading price of the ordinary shares is below the exercise price of the warrants. We have established this redemption feature to provide itself with the flexibility to redeem the Warrants without the Warrants having to reach the $18.00 per share threshold set forth above under the heading </w:t>
      </w:r>
      <w:r>
        <w:rPr>
          <w:rFonts w:ascii="Times New Roman" w:hAnsi="Times New Roman"/>
          <w:i/>
          <w:sz w:val="20"/>
        </w:rPr>
        <w:t>Redemption of Warrants when the price per Ordinary Share equals or exceeds $18.00</w:t>
      </w:r>
      <w:r>
        <w:rPr>
          <w:rFonts w:ascii="Times New Roman" w:hAnsi="Times New Roman"/>
          <w:sz w:val="20"/>
        </w:rPr>
        <w:t xml:space="preserve">. Holders choosing to exercise their warrants in connection with a redemption pursuant to this feature will, in effect, receive a number of shares for their warrants based on an option pricing model with a fixed volatility input as of the date of this proxy statement/prospectus.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its best interest to do so. As such, we would redeem the Warrants in this manner when we believe it is in its best interest to update its capital structure to remove the Warrants and pay the redemption price to the warrant 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9"/>
        <w:gridCol w:w="60"/>
        <w:gridCol w:w="65"/>
        <w:gridCol w:w="615"/>
        <w:gridCol w:w="60"/>
        <w:gridCol w:w="120"/>
        <w:gridCol w:w="65"/>
        <w:gridCol w:w="615"/>
        <w:gridCol w:w="60"/>
        <w:gridCol w:w="120"/>
        <w:gridCol w:w="65"/>
        <w:gridCol w:w="615"/>
        <w:gridCol w:w="60"/>
        <w:gridCol w:w="120"/>
        <w:gridCol w:w="65"/>
        <w:gridCol w:w="614"/>
        <w:gridCol w:w="60"/>
        <w:gridCol w:w="120"/>
        <w:gridCol w:w="65"/>
        <w:gridCol w:w="615"/>
        <w:gridCol w:w="60"/>
        <w:gridCol w:w="120"/>
        <w:gridCol w:w="65"/>
        <w:gridCol w:w="615"/>
        <w:gridCol w:w="60"/>
        <w:gridCol w:w="120"/>
        <w:gridCol w:w="65"/>
        <w:gridCol w:w="615"/>
        <w:gridCol w:w="60"/>
        <w:gridCol w:w="119"/>
        <w:gridCol w:w="65"/>
        <w:gridCol w:w="615"/>
        <w:gridCol w:w="60"/>
        <w:gridCol w:w="120"/>
        <w:gridCol w:w="65"/>
        <w:gridCol w:w="615"/>
        <w:gridCol w:w="68"/>
      </w:tblGrid>
      <w:tr>
        <w:trPr/>
        <w:tc>
          <w:tcPr>
            <w:tcW w:w="25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5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Redemption Date</w:t>
            </w:r>
          </w:p>
        </w:tc>
        <w:tc>
          <w:tcPr>
            <w:tcW w:w="60" w:type="dxa"/>
            <w:tcBorders/>
            <w:vAlign w:val="bottom"/>
          </w:tcPr>
          <w:p>
            <w:pPr>
              <w:pStyle w:val="TableContents"/>
              <w:bidi w:val="0"/>
              <w:spacing w:before="0" w:after="283"/>
              <w:jc w:val="left"/>
              <w:rPr/>
            </w:pPr>
            <w:r>
              <w:rPr/>
              <w:t> </w:t>
            </w:r>
          </w:p>
        </w:tc>
        <w:tc>
          <w:tcPr>
            <w:tcW w:w="7558"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Fair Market Value of Ordinary Shares</w:t>
            </w:r>
          </w:p>
        </w:tc>
        <w:tc>
          <w:tcPr>
            <w:tcW w:w="68" w:type="dxa"/>
            <w:tcBorders/>
            <w:vAlign w:val="bottom"/>
          </w:tcPr>
          <w:p>
            <w:pPr>
              <w:pStyle w:val="TableContents"/>
              <w:bidi w:val="0"/>
              <w:spacing w:before="0" w:after="283"/>
              <w:jc w:val="left"/>
              <w:rPr/>
            </w:pPr>
            <w:r>
              <w:rPr/>
              <w:t> </w:t>
            </w:r>
          </w:p>
        </w:tc>
      </w:tr>
      <w:tr>
        <w:trPr/>
        <w:tc>
          <w:tcPr>
            <w:tcW w:w="25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 to expiration of warrants)</w:t>
            </w:r>
          </w:p>
        </w:tc>
        <w:tc>
          <w:tcPr>
            <w:tcW w:w="6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$14.00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$16.00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$17.00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bottom"/>
          </w:tcPr>
          <w:p>
            <w:pPr>
              <w:pStyle w:val="TableContents"/>
              <w:bidi w:val="0"/>
              <w:spacing w:before="0" w:after="283"/>
              <w:jc w:val="center"/>
              <w:rPr/>
            </w:pPr>
            <w:r>
              <w:rPr/>
              <w:t>≥</w:t>
            </w:r>
            <w:r>
              <w:rPr>
                <w:b/>
              </w:rPr>
              <w:t>$18.00</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60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0.311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0.348</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57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0.310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0.348</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54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0.307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0.347</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51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0.287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0.304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0.346</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0.301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0.344</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45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0.343</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42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0.342</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39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0.221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0.340</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36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33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0.337</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30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0.274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0.335</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27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0.214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0.313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0.332</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24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0.329</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21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0.193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0.326</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18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0.271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0.322</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15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0.164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0.230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0.291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0.317</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0.111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0.216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0.312</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9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0.090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0.199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0.305</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6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0.065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0.099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0.178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0.296</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r>
        <w:trPr/>
        <w:tc>
          <w:tcPr>
            <w:tcW w:w="2519" w:type="dxa"/>
            <w:tcBorders/>
          </w:tcPr>
          <w:p>
            <w:pPr>
              <w:pStyle w:val="TableContents"/>
              <w:bidi w:val="0"/>
              <w:spacing w:before="0" w:after="0"/>
              <w:jc w:val="left"/>
              <w:rPr>
                <w:rFonts w:ascii="Times New Roman" w:hAnsi="Times New Roman"/>
                <w:sz w:val="20"/>
              </w:rPr>
            </w:pPr>
            <w:r>
              <w:rPr>
                <w:rFonts w:ascii="Times New Roman" w:hAnsi="Times New Roman"/>
                <w:sz w:val="20"/>
              </w:rPr>
              <w:t>3 months</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0.034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0.065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0.150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0.197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0.243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0.286</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0.361</w:t>
            </w:r>
          </w:p>
        </w:tc>
        <w:tc>
          <w:tcPr>
            <w:tcW w:w="68" w:type="dxa"/>
            <w:tcBorders/>
            <w:vAlign w:val="bottom"/>
          </w:tcPr>
          <w:p>
            <w:pPr>
              <w:pStyle w:val="TableContents"/>
              <w:bidi w:val="0"/>
              <w:spacing w:before="0" w:after="283"/>
              <w:jc w:val="left"/>
              <w:rPr/>
            </w:pPr>
            <w:r>
              <w:rPr/>
              <w:t> </w:t>
            </w:r>
          </w:p>
        </w:tc>
      </w:tr>
      <w:tr>
        <w:trPr/>
        <w:tc>
          <w:tcPr>
            <w:tcW w:w="2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0 months</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0.042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0.115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0.179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0.281</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0.361</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stated above, we can redeem the Warrants when the ordinary shares are trading at a price starting at $10.00, which is below the exercise price of $11.50, because it will provide certainty with respect to its capital structure and cash position while providing warrant holders with the opportunity to exercise their warrants on a cashless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for the applicable number of shares. If we choose to redeem the Warrants when the ordinary shares are trading at a price below the exercise price of the warrants, this could result in the warrant holders receiving fewer ordinary shares than they would have received if they had chosen to exercise their warrants for ordinary shares if and when such ordinary shares were trading at a price higher than the exercise price of $11.50. </w:t>
      </w:r>
    </w:p>
    <w:p>
      <w:pPr>
        <w:pStyle w:val="TextBody"/>
        <w:bidi w:val="0"/>
        <w:spacing w:before="240" w:after="0"/>
        <w:jc w:val="left"/>
        <w:rPr>
          <w:rFonts w:ascii="Times New Roman" w:hAnsi="Times New Roman"/>
          <w:sz w:val="20"/>
        </w:rPr>
      </w:pPr>
      <w:r>
        <w:rPr>
          <w:rFonts w:ascii="Times New Roman" w:hAnsi="Times New Roman"/>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If, at the time of redemption, the Warrants are exercisable for a security other than the ordinary shares pursuant to the Warrant Assignment and Assumption Agreement (for instance, if we are not the surviving company after completion of a business combination), the warrants may be exercised for such security. At such time as the Warrants become exercisable for a security other than the ordinary shares , we (or the surviving company, as applicable) will use its commercially reasonable efforts to register under the Securities Act the security issuable upon the exercise of the warrants. </w:t>
      </w:r>
    </w:p>
    <w:p>
      <w:pPr>
        <w:pStyle w:val="TextBody"/>
        <w:bidi w:val="0"/>
        <w:spacing w:before="240" w:after="0"/>
        <w:jc w:val="left"/>
        <w:rPr>
          <w:rFonts w:ascii="Times New Roman" w:hAnsi="Times New Roman"/>
          <w:sz w:val="20"/>
        </w:rPr>
      </w:pPr>
      <w:r>
        <w:rPr>
          <w:rFonts w:ascii="Times New Roman" w:hAnsi="Times New Roman"/>
          <w:i/>
          <w:sz w:val="20"/>
        </w:rPr>
        <w:t>Redemption Procedures</w:t>
      </w:r>
      <w:r>
        <w:rPr>
          <w:rFonts w:ascii="Times New Roman" w:hAnsi="Times New Roman"/>
          <w:sz w:val="20"/>
        </w:rPr>
        <w:t xml:space="preserve">.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ordinary shares issued and outstanding immediately after giving effect to such exercise. </w:t>
      </w:r>
    </w:p>
    <w:p>
      <w:pPr>
        <w:pStyle w:val="TextBody"/>
        <w:bidi w:val="0"/>
        <w:spacing w:before="240" w:after="0"/>
        <w:jc w:val="left"/>
        <w:rPr>
          <w:rFonts w:ascii="Times New Roman" w:hAnsi="Times New Roman"/>
          <w:sz w:val="20"/>
        </w:rPr>
      </w:pPr>
      <w:r>
        <w:rPr>
          <w:rFonts w:ascii="Times New Roman" w:hAnsi="Times New Roman"/>
          <w:i/>
          <w:sz w:val="20"/>
        </w:rPr>
        <w:t>Anti-dilution Adjustments</w:t>
      </w:r>
      <w:r>
        <w:rPr>
          <w:rFonts w:ascii="Times New Roman" w:hAnsi="Times New Roman"/>
          <w:sz w:val="20"/>
        </w:rPr>
        <w:t xml:space="preserve">. If the number of issued and outstanding ordinary shares is increased by a capitalization or share dividend payable in ordinary shares ,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made to all or substantially all holders of ordinary shares entitling holders to purchase ordinary shares at a price less than the historical fair market value (as defined below) will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w:t>
      </w:r>
      <w:r>
        <w:rPr>
          <w:rFonts w:ascii="Times New Roman" w:hAnsi="Times New Roman"/>
          <w:i/>
          <w:sz w:val="20"/>
        </w:rPr>
        <w:t xml:space="preserve">minus </w:t>
      </w:r>
      <w:r>
        <w:rPr>
          <w:rFonts w:ascii="Times New Roman" w:hAnsi="Times New Roman"/>
          <w:sz w:val="20"/>
        </w:rPr>
        <w:t xml:space="preserve">the quotient of (a) the price per Ordinary Share paid in such rights offering and (b) the historical fair market value. For these purposes, (i) if the rights offering is for securities convertible into or exercisable for ordinary shares, in determining the price payable for ordinary shares, there will be taken into account any consideration received for such rights, payable upon exercise or conversion and (ii) </w:t>
      </w:r>
      <w:r>
        <w:rPr>
          <w:rFonts w:ascii="Times New Roman" w:hAnsi="Times New Roman"/>
          <w:i/>
          <w:sz w:val="20"/>
        </w:rPr>
        <w:t xml:space="preserve">historical fair market value </w:t>
      </w:r>
      <w:r>
        <w:rPr>
          <w:rFonts w:ascii="Times New Roman" w:hAnsi="Times New Roman"/>
          <w:sz w:val="20"/>
        </w:rPr>
        <w:t xml:space="preserve">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Whenever the number of ordinary shares purchasable upon the exercise of the Warrants is adjusted, as described above, the warrant exercise price will be adjusted by multiplying the warrant exercise price immediately prior to such adjustment by a fraction (i) the numerator of which will be the number of ordinary shares purchasable upon the exercise of the warrants immediately prior to such adjustment and (ii) the denominator of which will be the number of ordinary shares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issued and outstanding ordinary shares (other than those described above or that solely affects the par value of such ordinary shares), or in the case of any merger or consolidation of Oculis Holding AG with or into another corporation (other than a merger or consolidation in which we are a continuing corporation and that does not result in any reclassification or reorganization of our issued and outstanding ordinary shares), or in the case of any sale or conveyance to another corporation or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assets or other property of Oculis Holding AG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are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Assignment and Assumption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Assignment and Assumption Agreement based on the per share consideration </w:t>
      </w:r>
      <w:r>
        <w:rPr>
          <w:rFonts w:ascii="Times New Roman" w:hAnsi="Times New Roman"/>
          <w:i/>
          <w:sz w:val="20"/>
        </w:rPr>
        <w:t xml:space="preserve">minus </w:t>
      </w:r>
      <w:r>
        <w:rPr>
          <w:rFonts w:ascii="Times New Roman" w:hAnsi="Times New Roman"/>
          <w:sz w:val="20"/>
        </w:rPr>
        <w:t xml:space="preserve">the Black-Scholes Warrant Value (as defined in the Warrant Assignment and Assumption Agreement)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be issued in registered form under the Warrant Assignment and Assumption Agreement. The Warrant Assignment and Assumption Agreement provides that the terms of the Warrants may be amended without the consent of any holder for the purpose of (i) curing any ambiguity or correcting any mistake, including to conform the provisions of the Warrant Assignment and Assumption Agreement to the description of the terms of the warrants and the Warrant Assignment and Assumption Agreement set forth in this proxy statement/prospectus or defective provision or (ii) adding or changing any provisions with respect to matters or questions arising under the Warrant Assignment and Assumption Agreement as the parties to the Warrant Assignment and Assumption Agreement may deem necessary or desirable and that the parties deem to not adversely affect the rights of the registered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applicable law, any action, proceeding or claim against it arising out of or relating in any way to the Existing Warrant Assignment and Assumption Agreement will be brought and enforced in the courts of the State of New York or the United States District Court for the Southern District of New York, and us irrevocably submits to such jurisdiction, which jurisdiction will be the exclusive forum for any such action, proceeding or claim. This provision applies to claims under the Securities Act but does not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under the Exchange Act or any claim for which the federal district courts of the United States of America are the sole and exclusive forum.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Dividends may be paid only if we have sufficient distributable profit from previous years or sufficient free reserves to allow the distribution of a dividend. Swiss law requires that we retain at least 5% of its annual net profit as general reserves for so long as these reserves together with our capital reserves amount to less than 20% of its nominal share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Profit Distribution </w:t>
      </w:r>
    </w:p>
    <w:p>
      <w:pPr>
        <w:pStyle w:val="TextBody"/>
        <w:bidi w:val="0"/>
        <w:spacing w:before="120" w:after="0"/>
        <w:jc w:val="left"/>
        <w:rPr>
          <w:rFonts w:ascii="Times New Roman" w:hAnsi="Times New Roman"/>
          <w:sz w:val="20"/>
        </w:rPr>
      </w:pPr>
      <w:r>
        <w:rPr>
          <w:rFonts w:ascii="Times New Roman" w:hAnsi="Times New Roman"/>
          <w:sz w:val="20"/>
        </w:rPr>
        <w:t xml:space="preserve">Under Swiss law, dividends are proposed by the Board and require the approval at a meeting of shareholders. Our auditors must also confirm that the dividend proposal conforms to law and the Articles of Association. Dividends that have not been collected by shareholders within five years after the due date accrue to us. </w:t>
      </w:r>
    </w:p>
    <w:p>
      <w:pPr>
        <w:pStyle w:val="TextBody"/>
        <w:bidi w:val="0"/>
        <w:spacing w:before="240" w:after="0"/>
        <w:jc w:val="left"/>
        <w:rPr>
          <w:rFonts w:ascii="Times New Roman" w:hAnsi="Times New Roman"/>
          <w:sz w:val="20"/>
        </w:rPr>
      </w:pPr>
      <w:r>
        <w:rPr>
          <w:rFonts w:ascii="Times New Roman" w:hAnsi="Times New Roman"/>
          <w:sz w:val="20"/>
        </w:rPr>
        <w:t>For a description of certain tax considerations, including withholding taxes, in relation to dividend payments, please see the section entitled </w:t>
      </w:r>
      <w:r>
        <w:rPr>
          <w:rFonts w:ascii="Times New Roman" w:hAnsi="Times New Roman"/>
          <w:i/>
          <w:sz w:val="20"/>
        </w:rPr>
        <w:t>Material Tax ConsiderationMaterial Swiss Income Tax Considerations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The Board determines the date on which the dividend entitlement starts. Dividends are usually due and payable shortly after the shareholders have passed the resolution approving the payment, but shareholders may also resolve at an annual general meeting to pay dividends in quarterly or other instalments.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Reduction </w:t>
      </w:r>
    </w:p>
    <w:p>
      <w:pPr>
        <w:pStyle w:val="TextBody"/>
        <w:bidi w:val="0"/>
        <w:spacing w:before="120" w:after="0"/>
        <w:jc w:val="left"/>
        <w:rPr>
          <w:rFonts w:ascii="Times New Roman" w:hAnsi="Times New Roman"/>
          <w:sz w:val="20"/>
        </w:rPr>
      </w:pPr>
      <w:r>
        <w:rPr>
          <w:rFonts w:ascii="Times New Roman" w:hAnsi="Times New Roman"/>
          <w:sz w:val="20"/>
        </w:rPr>
        <w:t>Distributions out of issued share capital (i.e., the aggregate nominal value of our issued shares) are not allowed and may be made only by way of a share capital reduction. Such a capital reduction requires a resolution passed by an absolute majority of the shares represented at a general meeting of shareholders or the introduction of a capital band (</w:t>
      </w:r>
      <w:r>
        <w:rPr>
          <w:rFonts w:ascii="Times New Roman" w:hAnsi="Times New Roman"/>
          <w:i/>
          <w:sz w:val="20"/>
        </w:rPr>
        <w:t>Kapitalband</w:t>
      </w:r>
      <w:r>
        <w:rPr>
          <w:rFonts w:ascii="Times New Roman" w:hAnsi="Times New Roman"/>
          <w:sz w:val="20"/>
        </w:rPr>
        <w:t xml:space="preserve">) pursuant to which the Board is empowered to make such resolution. The resolution of the shareholders must be recorded in a public deed and a special audit report must confirm that claims of our creditors remain fully covered despite the reduction in our share capital recorded in the Commercial Register. </w:t>
      </w:r>
    </w:p>
    <w:p>
      <w:pPr>
        <w:pStyle w:val="TextBody"/>
        <w:bidi w:val="0"/>
        <w:spacing w:before="240" w:after="0"/>
        <w:jc w:val="left"/>
        <w:rPr>
          <w:rFonts w:ascii="Times New Roman" w:hAnsi="Times New Roman"/>
          <w:sz w:val="20"/>
        </w:rPr>
      </w:pPr>
      <w:r>
        <w:rPr>
          <w:rFonts w:ascii="Times New Roman" w:hAnsi="Times New Roman"/>
          <w:sz w:val="20"/>
        </w:rPr>
        <w:t>Our share capital may be reduced below CHF 100,000 only if and to the extent that at the same time the statutory minimum share capital of CHF 100,000 is re-established by sufficient new, fully paid-up capital. Upon approval or before the general meeting of the capital reduction, the Board must give public notice of the capital reduction resolution in the Swiss Official Gazette of Commerce (</w:t>
      </w:r>
      <w:r>
        <w:rPr>
          <w:rFonts w:ascii="Times New Roman" w:hAnsi="Times New Roman"/>
          <w:i/>
          <w:sz w:val="20"/>
        </w:rPr>
        <w:t>SOGC</w:t>
      </w:r>
      <w:r>
        <w:rPr>
          <w:rFonts w:ascii="Times New Roman" w:hAnsi="Times New Roman"/>
          <w:sz w:val="20"/>
        </w:rPr>
        <w:t xml:space="preserve">) and notify creditors that they may request, within thirty (30) days of the third publication, satisfaction of or security for their claims. The reduction of our share capital may be implemented only after expiration of this time limit.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Repurchases of Shares </w:t>
      </w:r>
    </w:p>
    <w:p>
      <w:pPr>
        <w:pStyle w:val="TextBody"/>
        <w:bidi w:val="0"/>
        <w:spacing w:before="120" w:after="0"/>
        <w:jc w:val="left"/>
        <w:rPr>
          <w:rFonts w:ascii="Times New Roman" w:hAnsi="Times New Roman"/>
          <w:sz w:val="20"/>
        </w:rPr>
      </w:pPr>
      <w:r>
        <w:rPr>
          <w:rFonts w:ascii="Times New Roman" w:hAnsi="Times New Roman"/>
          <w:sz w:val="20"/>
        </w:rPr>
        <w:t xml:space="preserve">Swiss law limits our right to purchase and hold our own shares. We may purchase our own shares only if and to the extent that: (i) We have freely distributable reserves in the amount of the purchase price; and (ii) the aggregate nominal value of all ordinary shares held by us does not exceed 10% of our share capital (or up to 20% under certain specific circumstances). Furthermore, according to Swiss accounting rules, we need to reflect the amount of the purchase price of the acquired ordinary shares as a negative position through the creation of a special reserve on its balance sheet. We may face negative tax consequences, if we holds more than 10% of our Shares for more than six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Ordinary shares held by us or our subsidiaries do not carry any voting rights at general meetings of shareholders, but are entitled to the economic benefits, including dividends, pre-emptive rights (</w:t>
      </w:r>
      <w:r>
        <w:rPr>
          <w:rFonts w:ascii="Times New Roman" w:hAnsi="Times New Roman"/>
          <w:i/>
          <w:sz w:val="20"/>
        </w:rPr>
        <w:t>Bezugsrechte</w:t>
      </w:r>
      <w:r>
        <w:rPr>
          <w:rFonts w:ascii="Times New Roman" w:hAnsi="Times New Roman"/>
          <w:sz w:val="20"/>
        </w:rPr>
        <w:t>) in the case of share capital increases and advance subscription rights (</w:t>
      </w:r>
      <w:r>
        <w:rPr>
          <w:rFonts w:ascii="Times New Roman" w:hAnsi="Times New Roman"/>
          <w:i/>
          <w:sz w:val="20"/>
        </w:rPr>
        <w:t>Vorwegzeichnungsrechte</w:t>
      </w:r>
      <w:r>
        <w:rPr>
          <w:rFonts w:ascii="Times New Roman" w:hAnsi="Times New Roman"/>
          <w:sz w:val="20"/>
        </w:rPr>
        <w:t xml:space="preserve">) and in the case of issuance of debt instruments with option rights applicable to the ordinary shares generally. </w:t>
      </w:r>
    </w:p>
    <w:p>
      <w:pPr>
        <w:pStyle w:val="TextBody"/>
        <w:bidi w:val="0"/>
        <w:spacing w:before="360" w:after="0"/>
        <w:jc w:val="left"/>
        <w:rPr>
          <w:rFonts w:ascii="Times New Roman" w:hAnsi="Times New Roman"/>
          <w:b/>
          <w:sz w:val="20"/>
        </w:rPr>
      </w:pPr>
      <w:r>
        <w:rPr>
          <w:rFonts w:ascii="Times New Roman" w:hAnsi="Times New Roman"/>
          <w:b/>
          <w:sz w:val="20"/>
        </w:rPr>
        <w:t xml:space="preserve">Form and Transfer of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Form of the Shares </w:t>
      </w:r>
    </w:p>
    <w:p>
      <w:pPr>
        <w:pStyle w:val="TextBody"/>
        <w:bidi w:val="0"/>
        <w:spacing w:before="120" w:after="0"/>
        <w:jc w:val="left"/>
        <w:rPr>
          <w:rFonts w:ascii="Times New Roman" w:hAnsi="Times New Roman"/>
          <w:sz w:val="20"/>
        </w:rPr>
      </w:pPr>
      <w:r>
        <w:rPr>
          <w:rFonts w:ascii="Times New Roman" w:hAnsi="Times New Roman"/>
          <w:sz w:val="20"/>
        </w:rPr>
        <w:t>Ordinary shares may be issued as ordinary uncertificated securities within the meaning of article 973c CO (</w:t>
      </w:r>
      <w:r>
        <w:rPr>
          <w:rFonts w:ascii="Times New Roman" w:hAnsi="Times New Roman"/>
          <w:i/>
          <w:sz w:val="20"/>
        </w:rPr>
        <w:t>Wertrechte</w:t>
      </w:r>
      <w:r>
        <w:rPr>
          <w:rFonts w:ascii="Times New Roman" w:hAnsi="Times New Roman"/>
          <w:sz w:val="20"/>
        </w:rPr>
        <w:t>) and/or global certificates. In accordance with article 973c CO, We maintain a register of uncertificated securities (</w:t>
      </w:r>
      <w:r>
        <w:rPr>
          <w:rFonts w:ascii="Times New Roman" w:hAnsi="Times New Roman"/>
          <w:i/>
          <w:sz w:val="20"/>
        </w:rPr>
        <w:t>Wertrechtebuch</w:t>
      </w:r>
      <w:r>
        <w:rPr>
          <w:rFonts w:ascii="Times New Roman" w:hAnsi="Times New Roman"/>
          <w:sz w:val="20"/>
        </w:rPr>
        <w:t>). We may create intermediated securities (</w:t>
      </w:r>
      <w:r>
        <w:rPr>
          <w:rFonts w:ascii="Times New Roman" w:hAnsi="Times New Roman"/>
          <w:i/>
          <w:sz w:val="20"/>
        </w:rPr>
        <w:t>Bucheffekten</w:t>
      </w:r>
      <w:r>
        <w:rPr>
          <w:rFonts w:ascii="Times New Roman" w:hAnsi="Times New Roman"/>
          <w:sz w:val="20"/>
        </w:rPr>
        <w:t xml:space="preserve">) for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Upon its registration with the share register, a shareholder may at any time request that we issue a written confirmation of the ordinary shares held by such shareholder. However, the shareholder has no right to request the printing and delivery of share certificates nor the conversion of ordinary shares issued in one form into another form. We may, however, at any time print and deliver certificates for registered (single certificates or global certificates) and, with the consent of the shareholder, delete without replacement issued share certificates, which have been returned to it. We may convert ordinary shares from one form into another form at any time and without the approval of the shareholders. We shall bear the cost associated with any such conversion.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Shares </w:t>
      </w:r>
    </w:p>
    <w:p>
      <w:pPr>
        <w:pStyle w:val="TextBody"/>
        <w:bidi w:val="0"/>
        <w:spacing w:before="120" w:after="0"/>
        <w:jc w:val="left"/>
        <w:rPr>
          <w:rFonts w:ascii="Times New Roman" w:hAnsi="Times New Roman"/>
          <w:sz w:val="20"/>
        </w:rPr>
      </w:pPr>
      <w:r>
        <w:rPr>
          <w:rFonts w:ascii="Times New Roman" w:hAnsi="Times New Roman"/>
          <w:sz w:val="20"/>
        </w:rPr>
        <w:t>Ordinary shares in uncertificated form (</w:t>
      </w:r>
      <w:r>
        <w:rPr>
          <w:rFonts w:ascii="Times New Roman" w:hAnsi="Times New Roman"/>
          <w:i/>
          <w:sz w:val="20"/>
        </w:rPr>
        <w:t>Wertrechte</w:t>
      </w:r>
      <w:r>
        <w:rPr>
          <w:rFonts w:ascii="Times New Roman" w:hAnsi="Times New Roman"/>
          <w:sz w:val="20"/>
        </w:rPr>
        <w:t>) may only be transferred by way of assignment. ordinary shares or the beneficial interest in ordinary shares, as applicable, credited in a securities account may only be transferred when a credit of the relevant intermediated securities to the acquirers securities account is made in accordance with applicable rules. For certain registration and voting right restrictions on the ordinary shares, please see the section entitled </w:t>
      </w:r>
      <w:r>
        <w:rPr>
          <w:rFonts w:ascii="Times New Roman" w:hAnsi="Times New Roman"/>
          <w:i/>
          <w:sz w:val="20"/>
        </w:rPr>
        <w:t>Registration and Voting Right Restrictions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Share Register </w:t>
      </w:r>
    </w:p>
    <w:p>
      <w:pPr>
        <w:pStyle w:val="TextBody"/>
        <w:bidi w:val="0"/>
        <w:spacing w:before="120" w:after="0"/>
        <w:jc w:val="left"/>
        <w:rPr>
          <w:rFonts w:ascii="Times New Roman" w:hAnsi="Times New Roman"/>
          <w:sz w:val="20"/>
        </w:rPr>
      </w:pPr>
      <w:r>
        <w:rPr>
          <w:rFonts w:ascii="Times New Roman" w:hAnsi="Times New Roman"/>
          <w:sz w:val="20"/>
        </w:rPr>
        <w:t>We maintain a share register (</w:t>
      </w:r>
      <w:r>
        <w:rPr>
          <w:rFonts w:ascii="Times New Roman" w:hAnsi="Times New Roman"/>
          <w:i/>
          <w:sz w:val="20"/>
        </w:rPr>
        <w:t>Aktienbuch</w:t>
      </w:r>
      <w:r>
        <w:rPr>
          <w:rFonts w:ascii="Times New Roman" w:hAnsi="Times New Roman"/>
          <w:sz w:val="20"/>
        </w:rPr>
        <w:t>) (the </w:t>
      </w:r>
      <w:r>
        <w:rPr>
          <w:rFonts w:ascii="Times New Roman" w:hAnsi="Times New Roman"/>
          <w:i/>
          <w:sz w:val="20"/>
        </w:rPr>
        <w:t>Share Register</w:t>
      </w:r>
      <w:r>
        <w:rPr>
          <w:rFonts w:ascii="Times New Roman" w:hAnsi="Times New Roman"/>
          <w:sz w:val="20"/>
        </w:rPr>
        <w:t xml:space="preserve">) in which the owners of the ordinary shares are registered with name, address and nationality (in case of legal entities the registered office). In relation to Oculis Holding AG, only those shareholders registered in the Share Register are recognized as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article 4 of the Articles of Association, acquirers of ordinary shares are, upon request and presentation of evidence of the transfer, registered as shareholders with voting rights in the Share Register if they explicitly declare to hold ordinary shares in their own name and for their own account. </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implement the necessary directions for maintaining the Share Register and it may issue corresponding regulations or guidelines. The Board may delegate such tasks. </w:t>
      </w:r>
    </w:p>
    <w:p>
      <w:pPr>
        <w:pStyle w:val="TextBody"/>
        <w:bidi w:val="0"/>
        <w:spacing w:before="240" w:after="0"/>
        <w:jc w:val="left"/>
        <w:rPr>
          <w:rFonts w:ascii="Times New Roman" w:hAnsi="Times New Roman"/>
          <w:sz w:val="20"/>
        </w:rPr>
      </w:pPr>
      <w:r>
        <w:rPr>
          <w:rFonts w:ascii="Times New Roman" w:hAnsi="Times New Roman"/>
          <w:sz w:val="20"/>
        </w:rPr>
        <w:t xml:space="preserve">In the invitation to the general meeting, the Board shall announce the record date for registration in the Share Register that is relevant with respect to the right to attend and vote. </w:t>
      </w:r>
    </w:p>
    <w:p>
      <w:pPr>
        <w:pStyle w:val="TextBody"/>
        <w:bidi w:val="0"/>
        <w:spacing w:before="240" w:after="0"/>
        <w:jc w:val="left"/>
        <w:rPr>
          <w:rFonts w:ascii="Times New Roman" w:hAnsi="Times New Roman"/>
          <w:sz w:val="20"/>
        </w:rPr>
      </w:pPr>
      <w:r>
        <w:rPr>
          <w:rFonts w:ascii="Times New Roman" w:hAnsi="Times New Roman"/>
          <w:sz w:val="20"/>
        </w:rPr>
        <w:t xml:space="preserve">We have the right to delete entries in the Share Register retroactively as of the date of the entry if the registration has been made on the basis of false information. It may give the relevant shareholder or nominee the opportunity, in advance, to be heard. The relevant shareholder or nominee is to be informed without delay about the deletion.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and Voting Right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Articles of Association contain the following registration restrictions: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Regulatory Registration and Voting Right Restrictions. </w:t>
            </w:r>
            <w:r>
              <w:rPr>
                <w:rFonts w:ascii="Times New Roman" w:hAnsi="Times New Roman"/>
                <w:sz w:val="20"/>
              </w:rPr>
              <w:t xml:space="preserve">According to article 4 of the Articles of Association, the Board may refuse the registration of an acquirer of ordinary shares in the Share Register as a shareholder with voting rights or cancel an already occurred registration of ordinary shares with voting rights from the Share Register, if (a) the number of ordinary shares held or acquired directly or indirectly or acting in concert with third parties or as an organized group by such acquirer exceeds 15% of the total number of voting rights of Oculis Holding AG pursuant to the entry in the commercial register, and (b) such acquirer has not submitted prior to the acquisition of such ordinary shares an orderly tender offer to all shareholders with a minimum price of the higher of (i) the volume weighted average price of the last 60 trading days prior to the publication of the tender offer, or (ii) the highest price paid by such acquirer in the 12 months preceding to the publication of the tender offer.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Those associated through capital, voting power, joint management, beneficial ownership or in any other way, or joining for the acquisition of shares shall be regarded as one acquirer for the purposes of article 4 of the Articles of Association. Acquirers who do not meet the legal or regulatory requirements according to article 4 of the Articles of Association shall be entered in the Share Register as shareholder without voting rights for ordinary shares exceeding the limit of 15%. In case of an already occurred registration, ordinary shares exceeding the limit of 3% may be cancelled from the Share Register as ordinary shares with voting rights and instead be registered as ordinary shares without voting rights. The Board may enact regulations governing the details of such registration restriction. Nominees do not constitute as acquirers within the meaning of article 4 of the Articles of Association. After hearing the person concerned, we may cancel the registrations in the Share Register if those registrations were based on false information of the acquirer. In addition, according to article 4 of the Articles of Association, the Board may refuse the exercise of voting rights of a shareholder in excess of 15% of the total number of voting rights of Oculis Holding AG pursuant to the entry in the commercial register, if such shareholder does not meet the legal or regulatory requirements according to article 4 of the Articles of Association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Registration and Voting Right Restrictions for ordinary shares held through Nominees. </w:t>
            </w:r>
            <w:r>
              <w:rPr>
                <w:rFonts w:ascii="Times New Roman" w:hAnsi="Times New Roman"/>
                <w:sz w:val="20"/>
              </w:rPr>
              <w:t xml:space="preserve">The registration and voting right restrictions in connection with the regulatory registration and voting right restrictions described above are also applicable to ordinary shares held through nominees. Accordingly, article 4 of the Articles of Association provides that, if, any beneficial owner should as a result of such registration of a nominee being made or upheld, directly or indirectly, formally, constructively or beneficially own, or otherwise control or alone or together with third parties, hold a number of shares exceeding 3% of the total number of voting rights of Oculis Holding AG pursuant to the entry in the commercial register and the nominee does not, expressly declare in the registration application that it is holding the shares on its own account, and the nominee does not confirm in writing that it is willing to disclose the names, addresses and shareholdings of the persons on whose account they hold 0.5% or more of the share capital, the Board may refuse to register (or cancel an already occurred registration of) the nominee holding ordinary shares for the account of such beneficial owner with respect to any ordinary shares in excess of such restriction. The Board may make the registration with voting rights of the ordinary shares held by a nominee subject to conditions, limitations and reporting requirements and may impose or adjust such conditions, limitations and requirements once registered and may enter into agreements with nominees in this regard.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Further, the voting right restrictions pursuant to article 4 of the Articles of Association as set out above also apply to ordinary shares, which are held by a nominee for the account of a person exceeding the threshold of 15% (regulatory voting right restrictions). </w:t>
      </w:r>
    </w:p>
    <w:p>
      <w:pPr>
        <w:pStyle w:val="TextBody"/>
        <w:bidi w:val="0"/>
        <w:spacing w:before="240" w:after="0"/>
        <w:jc w:val="left"/>
        <w:rPr>
          <w:rFonts w:ascii="Times New Roman" w:hAnsi="Times New Roman"/>
          <w:sz w:val="20"/>
        </w:rPr>
      </w:pPr>
      <w:r>
        <w:rPr>
          <w:rFonts w:ascii="Times New Roman" w:hAnsi="Times New Roman"/>
          <w:sz w:val="20"/>
        </w:rPr>
        <w:t xml:space="preserve">Apart from the registration and voting rights restrictions as described above, there are no restrictions on the transferability of the ordinary shares in the Articles of Association.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Meetings of Shareholders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Convocation of Meetings </w:t>
      </w:r>
    </w:p>
    <w:p>
      <w:pPr>
        <w:pStyle w:val="TextBody"/>
        <w:bidi w:val="0"/>
        <w:spacing w:before="120" w:after="0"/>
        <w:jc w:val="left"/>
        <w:rPr>
          <w:rFonts w:ascii="Times New Roman" w:hAnsi="Times New Roman"/>
          <w:sz w:val="20"/>
        </w:rPr>
      </w:pPr>
      <w:r>
        <w:rPr>
          <w:rFonts w:ascii="Times New Roman" w:hAnsi="Times New Roman"/>
          <w:sz w:val="20"/>
        </w:rPr>
        <w:t xml:space="preserve">Under Swiss law and article 10 of the Articles of Association, an annual general meeting of shareholders must be held each year within six months after the end of the business year. Extraordinary meetings of shareholders may be convened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General meetings of shareholders must be convened by the board of directors at least 20 days before the date of the meeting. The general meeting of shareholders is convened by way of a notice appearing in our official publication medium, currently the SOGC.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 </w:t>
      </w:r>
    </w:p>
    <w:p>
      <w:pPr>
        <w:pStyle w:val="TextBody"/>
        <w:bidi w:val="0"/>
        <w:spacing w:before="240" w:after="0"/>
        <w:jc w:val="left"/>
        <w:rPr>
          <w:rFonts w:ascii="Times New Roman" w:hAnsi="Times New Roman"/>
          <w:sz w:val="20"/>
        </w:rPr>
      </w:pPr>
      <w:r>
        <w:rPr>
          <w:rFonts w:ascii="Times New Roman" w:hAnsi="Times New Roman"/>
          <w:sz w:val="20"/>
        </w:rPr>
        <w:t xml:space="preserve">In addition, one or several shareholders that represent at least 5% of the share capital may also request to convene a general meeting. Shareholders representing at least 0.5% of the share capital may request items to be put on the agenda, provided the request is submitted to the Board at least 70 calendar days in advance of the relevant general meeting. Convocation requests and requests for inclusion of agenda items need to be submitted to the Board in written form, indicating the agenda items and proposals. Swiss law and the Articles of Association do not prescribe that a particular quorum of shareholders is required for general meetings of shareholders to be validly held. </w:t>
      </w:r>
    </w:p>
    <w:p>
      <w:pPr>
        <w:pStyle w:val="TextBody"/>
        <w:bidi w:val="0"/>
        <w:spacing w:before="240" w:after="0"/>
        <w:jc w:val="left"/>
        <w:rPr>
          <w:rFonts w:ascii="Times New Roman" w:hAnsi="Times New Roman"/>
          <w:sz w:val="20"/>
        </w:rPr>
      </w:pPr>
      <w:r>
        <w:rPr>
          <w:rFonts w:ascii="Times New Roman" w:hAnsi="Times New Roman"/>
          <w:sz w:val="20"/>
        </w:rPr>
        <w:t xml:space="preserve">No resolutions may be passed on motions concerning agenda items which have not been duly announced, except for motions to convene an extraordinary general meeting, to initiate a special audit or to elect auditors upon a shareholders request. No prior notice is required to submit motions relating to items already on the agenda and to discuss matters on which no resolution is to be taken. </w:t>
      </w:r>
    </w:p>
    <w:p>
      <w:pPr>
        <w:pStyle w:val="TextBody"/>
        <w:bidi w:val="0"/>
        <w:spacing w:before="240" w:after="0"/>
        <w:jc w:val="left"/>
        <w:rPr>
          <w:rFonts w:ascii="Times New Roman" w:hAnsi="Times New Roman"/>
          <w:sz w:val="20"/>
        </w:rPr>
      </w:pPr>
      <w:r>
        <w:rPr>
          <w:rFonts w:ascii="Times New Roman" w:hAnsi="Times New Roman"/>
          <w:sz w:val="20"/>
        </w:rPr>
        <w:t xml:space="preserve">The general meeting will be chaired by the chairman of the Board, or, in his or her absence, by another member of the Board as appointed by the Board. If no member of the Board is present, the general meeting shall appoint the chairperson of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Representation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Each shareholder may have its shares represented in the general meeting by itself or by a third person who does not need to be a shareholder by means of written proxy or by the independent proxy. The general meeting annually elects an independent proxy. The independent proxys term of office begins at the day of election and ends at the end of the following annual general meeting. Re-election is possible. If we do not have an independent proxy, the Board shall appoint the independent proxy for the next general meeting of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Quorum and Majority Requirements at General Meetings of Shareholders </w:t>
      </w:r>
    </w:p>
    <w:p>
      <w:pPr>
        <w:pStyle w:val="TextBody"/>
        <w:bidi w:val="0"/>
        <w:spacing w:before="120" w:after="0"/>
        <w:jc w:val="left"/>
        <w:rPr>
          <w:rFonts w:ascii="Times New Roman" w:hAnsi="Times New Roman"/>
          <w:sz w:val="20"/>
        </w:rPr>
      </w:pPr>
      <w:r>
        <w:rPr>
          <w:rFonts w:ascii="Times New Roman" w:hAnsi="Times New Roman"/>
          <w:sz w:val="20"/>
        </w:rPr>
        <w:t xml:space="preserve">Except where the law or the Articles of Association provide otherwise, the general meeting passes its resolutions and performs elections with the absolute majority of the votes cast, excluding any abstentions, blank or invalid votes. The chairperson of the general meeting determines the voting procedure. </w:t>
      </w:r>
    </w:p>
    <w:p>
      <w:pPr>
        <w:pStyle w:val="TextBody"/>
        <w:bidi w:val="0"/>
        <w:spacing w:before="240" w:after="0"/>
        <w:jc w:val="left"/>
        <w:rPr>
          <w:rFonts w:ascii="Times New Roman" w:hAnsi="Times New Roman"/>
          <w:sz w:val="20"/>
        </w:rPr>
      </w:pPr>
      <w:r>
        <w:rPr>
          <w:rFonts w:ascii="Times New Roman" w:hAnsi="Times New Roman"/>
          <w:sz w:val="20"/>
        </w:rPr>
        <w:t xml:space="preserve">According to article 19 of the Articles of Association, a resolution of the general meeting passed with at least two-thirds of the votes represented at the meeting and the absolute majority of the nominal values of the Ordinary Shares represented at the meeting is required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of the purpose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consolidation of shares, insofar as this does not require the consent of all shareholders concerned;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of the share capital against contributions in kind or by offsetting against a receivable and the granting of special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limitation or withdrawal of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conditional capital, the creation of reserve capital pursuant to article 12 of the Swiss Banking Act or the introduction of a capital band;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participation certificates into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 of the transferability of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creation of shares with privileged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change of currency of the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the casting vote of the Chairman in the General Assembly;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a provision in the Articles of Association to hold general meetings outside of Switzerland;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change of the registered office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an arbitration clause in the Articles of Association;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delisting of the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de-merger or conversion of the Company (subject to mandatory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alleviating or withdrawal of restrictions upon the transfer of registered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registered shares into bearer shares and vice versa;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or elimination of the provisions of articles 4, 19 and 31 of the Articles of Association.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Provisions of the Articles of Association which require higher majorities for the passing of certain resolutions than provided by law can only be adopted and removed with that same proposed majority.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In principle, each ordinary share entitles a holder to one vote in our general meeting, irrespective of nominal value of such share (please see the section entitled </w:t>
      </w:r>
      <w:r>
        <w:rPr>
          <w:rFonts w:ascii="Times New Roman" w:hAnsi="Times New Roman"/>
          <w:i/>
          <w:sz w:val="20"/>
        </w:rPr>
        <w:t>Comparison of Shareholder RightsVoting Rights</w:t>
      </w:r>
      <w:r>
        <w:rPr>
          <w:rFonts w:ascii="Times New Roman" w:hAnsi="Times New Roman"/>
          <w:sz w:val="20"/>
        </w:rPr>
        <w:t xml:space="preserve"> for details on certain exceptions under Swiss law). </w:t>
      </w:r>
    </w:p>
    <w:p>
      <w:pPr>
        <w:pStyle w:val="TextBody"/>
        <w:bidi w:val="0"/>
        <w:spacing w:before="240" w:after="0"/>
        <w:jc w:val="left"/>
        <w:rPr>
          <w:rFonts w:ascii="Times New Roman" w:hAnsi="Times New Roman"/>
          <w:sz w:val="20"/>
        </w:rPr>
      </w:pPr>
      <w:r>
        <w:rPr>
          <w:rFonts w:ascii="Times New Roman" w:hAnsi="Times New Roman"/>
          <w:sz w:val="20"/>
        </w:rPr>
        <w:t xml:space="preserve">The ordinary shares are not divisible. The right to vote and the other rights of share ownership may only be exercised by shareholders (including any nominees) who are entered in the Share Register prior to the applicable cut-off date to be determined by the Board. Those entitled to vote in the general meeting may be represented by the independent proxy holder (annually elected by the general meeting of shareholders), by its legal representative or by another person with written authorization to act as proxy. The chairman of the general meeting has the power to decide whether to recognize a power of attorney. Only shareholders registered in the Share Register with voting rights are entitled to vote in an Ordinary Shareholders meeting. </w:t>
      </w:r>
    </w:p>
    <w:p>
      <w:pPr>
        <w:pStyle w:val="TextBody"/>
        <w:bidi w:val="0"/>
        <w:spacing w:before="360" w:after="0"/>
        <w:jc w:val="left"/>
        <w:rPr>
          <w:rFonts w:ascii="Times New Roman" w:hAnsi="Times New Roman"/>
          <w:b/>
          <w:sz w:val="20"/>
        </w:rPr>
      </w:pPr>
      <w:r>
        <w:rPr>
          <w:rFonts w:ascii="Times New Roman" w:hAnsi="Times New Roman"/>
          <w:b/>
          <w:sz w:val="20"/>
        </w:rPr>
        <w:t xml:space="preserve">Inspection of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The annual report and the auditors report shall be made available for inspection by the shareholders at the registered office of the Company at the latest 20 days prior to the annual general meeting. Provided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report and the auditors report have not been made available electronically before the annual general meeting, each shareholder may demand a timely delivery of these documents. The notice to the shareholders must refer to this right. Furthermore, each shareholder may within one year after the annual general meeting demand the delivery of the auditors report and the annual report in the form approved by the annual general meeting, provided that they have not been made available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Under Swiss law, a shareholder may also, upon request submitted to the Company, inspect the minutes of general meetings. </w:t>
      </w:r>
    </w:p>
    <w:p>
      <w:pPr>
        <w:pStyle w:val="TextBody"/>
        <w:bidi w:val="0"/>
        <w:spacing w:before="240" w:after="0"/>
        <w:jc w:val="left"/>
        <w:rPr>
          <w:rFonts w:ascii="Times New Roman" w:hAnsi="Times New Roman"/>
          <w:sz w:val="20"/>
        </w:rPr>
      </w:pPr>
      <w:r>
        <w:rPr>
          <w:rFonts w:ascii="Times New Roman" w:hAnsi="Times New Roman"/>
          <w:sz w:val="20"/>
        </w:rPr>
        <w:t xml:space="preserve">At general meetings, shareholders may further request information from the Board regarding the business and operations of the Company and may request information from our auditors regarding the performance and results of their examination of our financial statements. We may refuse to provide certain requested information to a shareholder if, in our opinion, the disclosure of the requested information would reveal confidential business secrets or infringe other protected interests. </w:t>
      </w:r>
    </w:p>
    <w:p>
      <w:pPr>
        <w:pStyle w:val="TextBody"/>
        <w:bidi w:val="0"/>
        <w:spacing w:before="240" w:after="0"/>
        <w:jc w:val="left"/>
        <w:rPr>
          <w:rFonts w:ascii="Times New Roman" w:hAnsi="Times New Roman"/>
          <w:sz w:val="20"/>
        </w:rPr>
      </w:pPr>
      <w:r>
        <w:rPr>
          <w:rFonts w:ascii="Times New Roman" w:hAnsi="Times New Roman"/>
          <w:sz w:val="20"/>
        </w:rPr>
        <w:t xml:space="preserve">Shareholders representing at least 5% of the share capital or votes have the right to inspect the companys books. The board of directors must grant the inspection insofar as it is necessary for the exercise of shareholders rights and the disclosure would not reveal confidential business secrets or infringe other protected interests. Upon inspection of the books, the shareholders may make notes.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Investigations </w:t>
      </w:r>
    </w:p>
    <w:p>
      <w:pPr>
        <w:pStyle w:val="TextBody"/>
        <w:bidi w:val="0"/>
        <w:spacing w:before="120" w:after="0"/>
        <w:jc w:val="left"/>
        <w:rPr>
          <w:rFonts w:ascii="Times New Roman" w:hAnsi="Times New Roman"/>
          <w:sz w:val="20"/>
        </w:rPr>
      </w:pPr>
      <w:r>
        <w:rPr>
          <w:rFonts w:ascii="Times New Roman" w:hAnsi="Times New Roman"/>
          <w:sz w:val="20"/>
        </w:rPr>
        <w:t xml:space="preserve">If the shareholders inspection and information rights as outlined above prove to be insufficient, any shareholder may propose to the general meeting that specific facts be examined by a special commissioner in a special investigation. If the general meeting approves the proposal, the Company or any shareholder may, within 30 calendar days after the general meeting, request the court at our registered office to appoint a special commissioner. If the general meeting rejects the request, one or more shareholders representing at least 5% of the share capital or voting rights may request, within three months after the general meeting, a court to appoint a special commissioner as described in the Articles of Association. Such court will issue such order if the petitioners can demonstrate that the Board, any member thereof or an officer of the Company infringed the law or the Articles of Association and thereby damaged the Company or the shareholders. If admitted, the costs of the investigation by such court would generally be allocated to the Company and only in exceptional cases to the petitioners.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Official publications of the Company shall be made in the SOGC. The Board may designate additional means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Notices to the shareholders shall be made by official publications of the Company. Notices to shareholders may also be made by mail or email to the addresses recorded in the Share Register. </w:t>
      </w:r>
    </w:p>
    <w:p>
      <w:pPr>
        <w:pStyle w:val="TextBody"/>
        <w:bidi w:val="0"/>
        <w:spacing w:before="360" w:after="0"/>
        <w:jc w:val="left"/>
        <w:rPr>
          <w:rFonts w:ascii="Times New Roman" w:hAnsi="Times New Roman"/>
          <w:b/>
          <w:sz w:val="20"/>
        </w:rPr>
      </w:pPr>
      <w:r>
        <w:rPr>
          <w:rFonts w:ascii="Times New Roman" w:hAnsi="Times New Roman"/>
          <w:b/>
          <w:sz w:val="20"/>
        </w:rPr>
        <w:t xml:space="preserve">Takeover Regulation and Mandatory Bids </w:t>
      </w:r>
    </w:p>
    <w:p>
      <w:pPr>
        <w:pStyle w:val="TextBody"/>
        <w:bidi w:val="0"/>
        <w:spacing w:before="120" w:after="0"/>
        <w:jc w:val="left"/>
        <w:rPr>
          <w:rFonts w:ascii="Times New Roman" w:hAnsi="Times New Roman"/>
          <w:sz w:val="20"/>
        </w:rPr>
      </w:pPr>
      <w:r>
        <w:rPr>
          <w:rFonts w:ascii="Times New Roman" w:hAnsi="Times New Roman"/>
          <w:sz w:val="20"/>
        </w:rPr>
        <w:t xml:space="preserve">Swiss law provides for certain rules and protections of shareholders of domestic listed companies. Because the ordinary shares will be listed exclusively on the Nasdaq Global Market, however, several of these rules do not apply to us as if we were a company listed in Switzerland. In particular, the Swiss rules under the Swiss Financial Market Infrastructure Act on disclosure of shareholdings and the tender offer rules under the Swiss Financial Market Infrastructure Act, including mandatory tender offer requirements and regulations regarding voluntary tender offers, which are typically available in relation to Swiss-listed companies, do not apply to us because we will not be listed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Compulsory Acquisitions; Appraisal Rights </w:t>
      </w:r>
    </w:p>
    <w:p>
      <w:pPr>
        <w:pStyle w:val="TextBody"/>
        <w:bidi w:val="0"/>
        <w:spacing w:before="120" w:after="0"/>
        <w:jc w:val="left"/>
        <w:rPr>
          <w:rFonts w:ascii="Times New Roman" w:hAnsi="Times New Roman"/>
          <w:sz w:val="20"/>
        </w:rPr>
      </w:pPr>
      <w:r>
        <w:rPr>
          <w:rFonts w:ascii="Times New Roman" w:hAnsi="Times New Roman"/>
          <w:sz w:val="20"/>
        </w:rPr>
        <w:t>Business combinations and other transactions that are governed by the Switzerlands Federal Act on Mergers, Demergers, Transformations and the Transfer of Assets of October 3, 2003, as amended (the </w:t>
      </w:r>
      <w:r>
        <w:rPr>
          <w:rFonts w:ascii="Times New Roman" w:hAnsi="Times New Roman"/>
          <w:i/>
          <w:sz w:val="20"/>
        </w:rPr>
        <w:t>Swiss Merger Act</w:t>
      </w:r>
      <w:r>
        <w:rPr>
          <w:rFonts w:ascii="Times New Roman" w:hAnsi="Times New Roman"/>
          <w:sz w:val="20"/>
        </w:rPr>
        <w:t xml:space="preserve">)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 </w:t>
      </w:r>
    </w:p>
    <w:p>
      <w:pPr>
        <w:pStyle w:val="TextBody"/>
        <w:bidi w:val="0"/>
        <w:spacing w:before="240" w:after="0"/>
        <w:jc w:val="left"/>
        <w:rPr>
          <w:rFonts w:ascii="Times New Roman" w:hAnsi="Times New Roman"/>
          <w:sz w:val="20"/>
        </w:rPr>
      </w:pPr>
      <w:r>
        <w:rPr>
          <w:rFonts w:ascii="Times New Roman" w:hAnsi="Times New Roman"/>
          <w:sz w:val="20"/>
        </w:rPr>
        <w:t xml:space="preserve">If a transaction under the Swiss Merger Act receives all of the necessary consents, all shareholders are compelled to participate in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Swiss stock corporations may be acquired by an acquirer through the direct acquisition of the shares of the Swiss stock corporation. The Swiss Merger Act provides for the possibility of a so-called cash-out or squeeze-out merger with the approval of holders of 90% of the issued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a competent court to determine a reasonable amount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Swiss law, the sale of all or substantially all of our assets may require the approval of two-thirds of the voting rights represented at a general meeting of shareholders and the absolute majority of the nominal value of the shares represented. Whether a shareholder resolution is required depends on the particular transaction, including whether the following test is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core part of our business is sold without which it is economically impracticable or unreasonable to continue to operate the remaining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assets, after the divestment, are not invested in accordance with its corporate purpose as set forth in the Articles of Association;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the divestment are not earmarked for reinvestment in accordance with our corporate purpose (as set forth in the Articles of Association), but instead are intended for distribution to our shareholders or for financial investments unrelated to its corporate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assets, after the divestment, are not invested in accordance with its corporate purpose as set forth in the Articles of Association;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proceeds of the divestment are not earmarked for reinvestment in accordance with our corporate purpose (as set forth in the Articles of Association), but instead are intended for distribution to our shareholders or for financial investments unrelated to its corporate purpose.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Duration and Liquidation </w:t>
      </w:r>
    </w:p>
    <w:p>
      <w:pPr>
        <w:pStyle w:val="TextBody"/>
        <w:bidi w:val="0"/>
        <w:spacing w:before="120" w:after="0"/>
        <w:jc w:val="left"/>
        <w:rPr>
          <w:rFonts w:ascii="Times New Roman" w:hAnsi="Times New Roman"/>
          <w:sz w:val="20"/>
        </w:rPr>
      </w:pPr>
      <w:r>
        <w:rPr>
          <w:rFonts w:ascii="Times New Roman" w:hAnsi="Times New Roman"/>
          <w:sz w:val="20"/>
        </w:rPr>
        <w:t>Under Swiss law, unless the duration of a company is limited by its articles of association, a company may be dissolved at any time by way of liquidation, or, in the case of a merger with the Swiss Merger Act (</w:t>
      </w:r>
      <w:r>
        <w:rPr>
          <w:rFonts w:ascii="Times New Roman" w:hAnsi="Times New Roman"/>
          <w:i/>
          <w:sz w:val="20"/>
        </w:rPr>
        <w:t>Fusionsgesetz</w:t>
      </w:r>
      <w:r>
        <w:rPr>
          <w:rFonts w:ascii="Times New Roman" w:hAnsi="Times New Roman"/>
          <w:sz w:val="20"/>
        </w:rPr>
        <w:t xml:space="preserve">), based on a resolution of a general meeting of shareholders, which must be passed by a majority as provided by Swiss law or the relevant companys articles of association, as the case may be. The Articles of Association do not limit the duration of the Company and provide that the majority required for the general meeting to resolve on the liquidation of the Company is set at two-thirds of the votes represented at the general meeting and the absolute majority of the nominal values of the shares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Dissolution and liquidation by court order is also possible if, among other things, (i) the Company becomes bankrupt or (ii) shareholders holding at least 10% of the Companys share capital so request for important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reasons. Under Swiss law, any surplus arising out of a liquidation (after settlement of all the claims of the Companys creditors) is distributed in proportion to the paid-up nominal value of shares held. This surplus is subject to Swiss federal withholding tax, except if paid out of reserves from qualifying capital contributions (</w:t>
      </w:r>
      <w:r>
        <w:rPr>
          <w:rFonts w:ascii="Times New Roman" w:hAnsi="Times New Roman"/>
          <w:i/>
          <w:sz w:val="20"/>
        </w:rPr>
        <w:t>Reserven aus Kapitaleinlagen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Comparison of Swiss and Delaware Shareholder Rights </w:t>
      </w:r>
      <w:r>
        <w:rPr>
          <w:rFonts w:ascii="Times New Roman" w:hAnsi="Times New Roman"/>
          <w:sz w:val="20"/>
        </w:rPr>
        <w:t xml:space="preserve">The Swiss laws applicable to Swiss corporations and their shareholders differ from laws applicable to U.S. corporations and their shareholders. The following table summarizes significant differences in shareholder rights pursuant to the provisions of the Swiss CO, by which our Company is governed, and the Delaware General Corporation Law applicable to companies incorporated in Delaware and their shareholders. Please note that this is only a general summary of certain provisions applicable to companies in Delaware and Switzerland.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Delaware Corporate Law</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Swiss Corporate Law</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Mergers and similar arrangements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Swiss law, with certain exceptions, a merger or a demerger of the corporation or a sale of all or substantially all of the assets of a corporation must be approved by two-thirds of the voting rights</w:t>
            </w:r>
          </w:p>
          <w:p>
            <w:pPr>
              <w:pStyle w:val="TableContents"/>
              <w:bidi w:val="0"/>
              <w:spacing w:before="0" w:after="0"/>
              <w:jc w:val="left"/>
              <w:rPr>
                <w:rFonts w:ascii="Times New Roman" w:hAnsi="Times New Roman"/>
                <w:sz w:val="20"/>
              </w:rPr>
            </w:pPr>
            <w:r>
              <w:rPr>
                <w:rFonts w:ascii="Times New Roman" w:hAnsi="Times New Roman"/>
                <w:sz w:val="20"/>
              </w:rPr>
              <w:t>re-presented at the respective general meeting of shareholders as well as the majority of the par value of shares represented at such general meeting of shareholders. A shareholder of a Swiss corporation participating in a statutory merger or demerger pursuant to the Swiss Merger Act (</w:t>
            </w:r>
            <w:r>
              <w:rPr>
                <w:rFonts w:ascii="Times New Roman" w:hAnsi="Times New Roman"/>
                <w:i/>
                <w:sz w:val="20"/>
              </w:rPr>
              <w:t>Fusionsgesetz</w:t>
            </w:r>
            <w:r>
              <w:rPr>
                <w:rFonts w:ascii="Times New Roman" w:hAnsi="Times New Roman"/>
                <w:sz w:val="20"/>
              </w:rPr>
              <w:t>) can file a lawsuit against the surviving company. If the consideration is deemed inadequate, such shareholder may, in addition to the consideration (be it in shares or in cash) receive an additional amount</w:t>
            </w:r>
          </w:p>
          <w:p>
            <w:pPr>
              <w:pStyle w:val="TableContents"/>
              <w:bidi w:val="0"/>
              <w:spacing w:before="0" w:after="0"/>
              <w:jc w:val="left"/>
              <w:rPr>
                <w:rFonts w:ascii="Times New Roman" w:hAnsi="Times New Roman"/>
                <w:sz w:val="20"/>
              </w:rPr>
            </w:pPr>
            <w:r>
              <w:rPr>
                <w:rFonts w:ascii="Times New Roman" w:hAnsi="Times New Roman"/>
                <w:sz w:val="20"/>
              </w:rPr>
              <w:t>to ensure that such shareholder receives the fair value of the shares held by such shareholder. Swiss law</w:t>
            </w:r>
          </w:p>
          <w:p>
            <w:pPr>
              <w:pStyle w:val="TableContents"/>
              <w:bidi w:val="0"/>
              <w:spacing w:before="0" w:after="20"/>
              <w:jc w:val="left"/>
              <w:rPr>
                <w:rFonts w:ascii="Times New Roman" w:hAnsi="Times New Roman"/>
                <w:sz w:val="20"/>
              </w:rPr>
            </w:pPr>
            <w:r>
              <w:rPr>
                <w:rFonts w:ascii="Times New Roman" w:hAnsi="Times New Roman"/>
                <w:sz w:val="20"/>
              </w:rPr>
              <w:t>also provides that if the merger agreement provides only for a compensation payment, at least 90% of all members in the transferring legal entity who are entitled to vote shall approve the merger agreement.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Shareholders suits</w:t>
            </w:r>
          </w:p>
        </w:tc>
      </w:tr>
      <w:tr>
        <w:trPr/>
        <w:tc>
          <w:tcPr>
            <w:tcW w:w="5204" w:type="dxa"/>
            <w:tcBorders/>
          </w:tcPr>
          <w:p>
            <w:pPr>
              <w:pStyle w:val="TableContents"/>
              <w:bidi w:val="0"/>
              <w:spacing w:before="0" w:after="20"/>
              <w:jc w:val="left"/>
              <w:rPr>
                <w:rFonts w:ascii="Times New Roman" w:hAnsi="Times New Roman"/>
                <w:sz w:val="20"/>
              </w:rPr>
            </w:pPr>
            <w:r>
              <w:rPr>
                <w:rFonts w:ascii="Times New Roman" w:hAnsi="Times New Roman"/>
                <w:sz w:val="20"/>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Class actions and derivative actions as such are not available under Swiss law. Nevertheless, certain actions may have a similar effect. A shareholder is entitled to bring suit against directors, officers or liquidators for breach of their duties and claim the payment of the companys losses or damages to the corporation and, in some cases,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Swiss law, the prevailing party is generally entitled to recover a limited amount of attorneys fees incurred in connection with such action. The court has discretion to permit the shareholder who lost the lawsuit to recover attorneys fees incurred to the extent that he or she acted in good faith.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Shareholder vote on board and management compensation</w:t>
            </w:r>
          </w:p>
        </w:tc>
      </w:tr>
      <w:tr>
        <w:trPr/>
        <w:tc>
          <w:tcPr>
            <w:tcW w:w="5205" w:type="dxa"/>
            <w:tcBorders/>
          </w:tcPr>
          <w:p>
            <w:pPr>
              <w:pStyle w:val="TableContents"/>
              <w:bidi w:val="0"/>
              <w:spacing w:before="0" w:after="283"/>
              <w:jc w:val="left"/>
              <w:rPr/>
            </w:pPr>
            <w:r>
              <w:rPr/>
              <w:t>Under the Delaware General Corporation Law, the board of directors has the authority to fix the compensation of directors, unless otherwise restricted by the certificate of incorporation or bylaws.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Pursuant to Swiss law, the general meeting of shareholders has the non-transferable right, amongst others, to vote separately and bindingly on the aggregate amount of compensation of the members of the board of directors, of the executive committee and of the advisory boards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Annual vote on board renewal</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Unless directors are elected by written consent in lieu of an annual meeting, directors are elected in an annual meeting of shareholders on a date and at a time designated by or in the manner provided in the bylaws. Re-election is possible.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Classified boards are permitted.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Indemnification of directors and executive officers and limitation of liability</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Delaware General Corporation Law provides that a certificate of incorporation may contain a provision eliminating or limiting the personal liability of directors and officers of the corporation for monetary damages for breach of a fiduciary duty as a director or officer, except no provision in the certificate of incorporation may eliminate or limit: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liability of a director or officer for any breach of the duty of loyalty to the corporation or its shareholder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liability of a director or officer for acts or omissions not in good faith or which involve intentional misconduct or a knowing violation of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  a directors statutory liability for unlawful payment of dividends or unlawful share purchase or redemption;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liability of a director or officer for any transaction from which the director or officer derived an improper personal benefit;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liability of an officer in any action by or in the right of the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Swiss corporate law, an indemnification by the corporation of a director or member of the executive committee in relation to potential personal liability is not effective to the extent the director or member of the executive committee intentionally or negligently violated his or her corporate duties towards the corporation (certain scholars advocate that at least a grossly negligent violation is required to exclude the indemnification). Furthermore, the general meeting of shareholders may discharge (release) the directors and members of the executive committee from liability for their conduct to the extent the shareholders have knowledge of the relevant facts of a potential claim. Such discharge is effective only with respect to claims of the company and of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ordered by a court, any foregoing indemnification is subject to a determination that the director or officer has met the applicable standard of conduct: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  by a majority vote of the directors who are not parties to the proceeding, even though less than a quorum;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  by a committee of directors designated by a majority vote of the eligible directors, even though less than a quorum;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  by independent legal counsel in a written opinion if there are no eligible directors or if the eligible directors so direct;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  by the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 Also, a corporation may enter into and pay for directors and officers liability insurance, which may cover negligent acts as well</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Directors fiduciary duties</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 director of a Delaware corporation has a fiduciary duty to the corporation and its shareholders. This duty has two components: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duty of care;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duty of loyalty.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duty of care requires that a director act in good faith, with the care that an ordinarily prudent person would exercise under similar circumstances. Under this duty, a director must inform himself or herself of, and</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a Swiss corporation manages the business of the corporation, unless responsibility for such management has been duly delegated to the executive committee based on organizational rules. However, there are several non-transferable duties of the board of directors: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overall management of the corporation and the issuing of all necessary directives;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  determination of the corporations organization;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disclose to shareholders, all material information reasonably available regarding a significant transaction.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Should such evidence be presented concerning a transaction by a director, a director must prove the procedural fairness of the transaction and that the transaction was of fair value to the corporation.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organization of the accounting, financial control and financial planning systems as required for management of the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appointment and dismissal of persons entrusted with management and the representation of the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  overall supervision of the persons entrusted with managing the corporation, in particular with regard to compliance with the law, articles of association, bylaws and internal directives;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  compilation of the annual report, preparation for the general meeting of the shareholders, the compensation report and implementation of its resolutions;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  the filing an application for a debt restructuring moratorium and notification of the court in the event that the company is over-indebted;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  the filing of the compensation report.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0"/>
              <w:jc w:val="left"/>
              <w:rPr>
                <w:rFonts w:ascii="Times New Roman" w:hAnsi="Times New Roman"/>
                <w:sz w:val="20"/>
              </w:rPr>
            </w:pPr>
            <w:r>
              <w:rPr>
                <w:rFonts w:ascii="Times New Roman" w:hAnsi="Times New Roman"/>
                <w:sz w:val="20"/>
              </w:rPr>
              <w:t>The members of the board of directors must perform their duties with all due diligence and safeguard the interests of the corporation in good faith. They must afford the shareholders equal treatment in equal circumstances.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duty of care requires that a director act in good faith, with the care that an ordinarily prudent director would exercise under like circumstances.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duty of loyalty requires that a director safeguard the interests of the corporation and requires that directors act in the interest of the corporation and, if necessarily, put aside their personal interests. The members of the board of directors and the executive committee are required to immediately and fully inform the board of directors about their conflicts of interests. If there is a risk of a conflict of interest, the board of directors must take appropriate measures to ensure that the interests of the company are duly taken into account.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burden of proof for a violation of these duties is with the corporation or with the shareholder bringing a suit against the director.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Swiss Federal Supreme Court has established a doctrine that restricts its review of a business decision if the decision has been made after proper preparation, on an informed basis, and without conflicts of interest.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Shareholder action by written consent</w:t>
            </w:r>
          </w:p>
        </w:tc>
      </w:tr>
      <w:tr>
        <w:trPr/>
        <w:tc>
          <w:tcPr>
            <w:tcW w:w="5205" w:type="dxa"/>
            <w:tcBorders/>
          </w:tcPr>
          <w:p>
            <w:pPr>
              <w:pStyle w:val="TableContents"/>
              <w:bidi w:val="0"/>
              <w:spacing w:before="0" w:after="283"/>
              <w:jc w:val="left"/>
              <w:rPr/>
            </w:pPr>
            <w:r>
              <w:rPr/>
              <w:t>A Delaware corporation may, in its certificate of incorporation, eliminate the right of shareholders to act by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Shareholders of a Swiss corporation may exercise their voting rights in a general meeting of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Shareholders may also exercise their rights by instructing an independent proxy, who is elected by the general meeting or the board of directors. The instruction of such (independent) proxies may occur in writing or electronically. The articles of association of a Swiss corporation may also provide for the possibility for shareholders to attend a general meeting electronically (virtual or hybrid general meeting) and cast their vote electronically.</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Shareholder proposals</w:t>
            </w:r>
          </w:p>
        </w:tc>
      </w:tr>
      <w:tr>
        <w:trPr/>
        <w:tc>
          <w:tcPr>
            <w:tcW w:w="5205" w:type="dxa"/>
            <w:tcBorders/>
          </w:tcPr>
          <w:p>
            <w:pPr>
              <w:pStyle w:val="TableContents"/>
              <w:bidi w:val="0"/>
              <w:spacing w:before="0" w:after="283"/>
              <w:jc w:val="left"/>
              <w:rPr/>
            </w:pPr>
            <w:r>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At any general meeting of shareholders any shareholder may put proposals to the meeting if the proposal is part of an agenda item. No resolution may be taken on proposals relating to the agenda items</w:t>
            </w:r>
          </w:p>
          <w:p>
            <w:pPr>
              <w:pStyle w:val="TableContents"/>
              <w:bidi w:val="0"/>
              <w:spacing w:before="0" w:after="0"/>
              <w:jc w:val="left"/>
              <w:rPr>
                <w:rFonts w:ascii="Times New Roman" w:hAnsi="Times New Roman"/>
                <w:sz w:val="20"/>
              </w:rPr>
            </w:pPr>
            <w:r>
              <w:rPr>
                <w:rFonts w:ascii="Times New Roman" w:hAnsi="Times New Roman"/>
                <w:sz w:val="20"/>
              </w:rPr>
              <w:t>that were not duly notified.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Unless the articles of association provide for a lower threshold or for additional shareholders rights: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  shareholders jointly representing at least 5% of the share capital or voting rights may demand that a general meeting of shareholders be called for specific agenda items and specific proposals;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  shareholders jointly representing at least 0.5% of the share capital or voting rights of the share capital or the voting rights may demand that an agenda item including a specific proposal, or a proposal with respect to an existing agenda item, be put on the agenda for a scheduled general meeting of shareholders, provided such request is made with appropriate lead time.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shareholder can propose candidates for election as directors or make other proposals within the scope of an agenda item without prior written notice.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extraordinary general meeting, or (iv) request that the general meeting of shareholders resolve to appoint an examiner to carry out a special examination (</w:t>
            </w:r>
            <w:r>
              <w:rPr>
                <w:i/>
              </w:rPr>
              <w:t>Sonderuntersuchung</w:t>
            </w:r>
            <w:r>
              <w:rPr/>
              <w: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Cumulative voting</w:t>
            </w:r>
          </w:p>
        </w:tc>
      </w:tr>
      <w:tr>
        <w:trPr/>
        <w:tc>
          <w:tcPr>
            <w:tcW w:w="5205" w:type="dxa"/>
            <w:tcBorders/>
          </w:tcPr>
          <w:p>
            <w:pPr>
              <w:pStyle w:val="TableContents"/>
              <w:bidi w:val="0"/>
              <w:spacing w:before="0" w:after="283"/>
              <w:jc w:val="left"/>
              <w:rPr/>
            </w:pPr>
            <w:r>
              <w:rPr/>
              <w:t>Under the Delaware General Corporation Law, cumulative voting for elections of directors is not permitted unless the corporations certificate of incorporation provides for it.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Cumulative voting is not permitted under Swiss corporate law. Pursuant to Swiss law, shareholders can vote for each proposed candidate, but they are not allowed to cumulate their votes for single candidates.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 annual individual election of (i) all members of the board of directors, (ii) the chairperson of the board of directors, (iii) the members of the compensation committee, (iv) the election of the independent proxy for a term of office of one year (i.e. until the following annual general meeting of shareholders), as well as the vote on the aggregate</w:t>
            </w:r>
          </w:p>
          <w:p>
            <w:pPr>
              <w:pStyle w:val="TableContents"/>
              <w:bidi w:val="0"/>
              <w:spacing w:before="0" w:after="20"/>
              <w:jc w:val="left"/>
              <w:rPr>
                <w:rFonts w:ascii="Times New Roman" w:hAnsi="Times New Roman"/>
                <w:sz w:val="20"/>
              </w:rPr>
            </w:pPr>
            <w:r>
              <w:rPr>
                <w:rFonts w:ascii="Times New Roman" w:hAnsi="Times New Roman"/>
                <w:sz w:val="20"/>
              </w:rPr>
              <w:t>amount of compensation of the members of the board of directors, of the executive committee and of the members of any advisory board, is mandatory for listed companies. Re-election is permitted.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Removal of directors</w:t>
            </w:r>
          </w:p>
        </w:tc>
      </w:tr>
      <w:tr>
        <w:trPr/>
        <w:tc>
          <w:tcPr>
            <w:tcW w:w="5205" w:type="dxa"/>
            <w:tcBorders/>
          </w:tcPr>
          <w:p>
            <w:pPr>
              <w:pStyle w:val="TableContents"/>
              <w:bidi w:val="0"/>
              <w:spacing w:before="0" w:after="283"/>
              <w:jc w:val="left"/>
              <w:rPr/>
            </w:pPr>
            <w:r>
              <w:rPr/>
              <w:t>A Delaware corporation with a classified board may be removed only for cause with the approval of a majority of the outstanding shares entitled to vote, unless the certificate of incorporation provides otherwise.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 Swiss corporation may remove, with or without cause, any director at any time with a resolution passed by a majority of the shares represented at a general meeting of shareholders. The articles of association may provide that a larger majority is required.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Transactions with interested shareholders</w:t>
            </w:r>
          </w:p>
        </w:tc>
      </w:tr>
      <w:tr>
        <w:trPr/>
        <w:tc>
          <w:tcPr>
            <w:tcW w:w="5205" w:type="dxa"/>
            <w:tcBorders/>
          </w:tcPr>
          <w:p>
            <w:pPr>
              <w:pStyle w:val="TableContents"/>
              <w:bidi w:val="0"/>
              <w:spacing w:before="0" w:after="283"/>
              <w:jc w:val="left"/>
              <w:rPr/>
            </w:pPr>
            <w:r>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shares within the past three years.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No such rule applies to a Swiss corporation.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Dissolution; Winding-up</w:t>
            </w:r>
          </w:p>
        </w:tc>
      </w:tr>
      <w:tr>
        <w:trPr/>
        <w:tc>
          <w:tcPr>
            <w:tcW w:w="5205" w:type="dxa"/>
            <w:tcBorders/>
          </w:tcPr>
          <w:p>
            <w:pPr>
              <w:pStyle w:val="TableContents"/>
              <w:bidi w:val="0"/>
              <w:spacing w:before="0" w:after="283"/>
              <w:jc w:val="left"/>
              <w:rPr/>
            </w:pPr>
            <w:r>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 dissolution of a Swiss corporation requires the approval by two-thirds of the voting rights represented at the respective general meeting of shareholders as well as the majority of the par value of shares represented at such general meeting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shares. Delaware law allows a Delaware corporation to include in its certificate of incorporation a supermajority voting requirement in connection with dissolutions initiated by the board.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shareholders. The articles of association may provide that a larger majorities are required.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Variation of rights of shares</w:t>
            </w:r>
          </w:p>
        </w:tc>
      </w:tr>
      <w:tr>
        <w:trPr/>
        <w:tc>
          <w:tcPr>
            <w:tcW w:w="5205" w:type="dxa"/>
            <w:tcBorders/>
          </w:tcPr>
          <w:p>
            <w:pPr>
              <w:pStyle w:val="TableContents"/>
              <w:bidi w:val="0"/>
              <w:spacing w:before="0" w:after="283"/>
              <w:jc w:val="left"/>
              <w:rPr/>
            </w:pPr>
            <w:r>
              <w:rPr/>
              <w:t>A Delaware corporation may vary the rights of a class of shares with the approval of a majority of the outstanding shares of such class, unless the certificate of incorporation provides otherwise.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meeting of shareholders of a Swiss corporation may resolve that preference shares be issued or that existing shares be converted into preference shares with a resolution passed by a majority of the shares represented at the general meeting of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 Shares with preferential voting rights are not regarded as preference shares for voting on such items.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Amendment of governing documents</w:t>
            </w:r>
          </w:p>
        </w:tc>
      </w:tr>
      <w:tr>
        <w:trPr/>
        <w:tc>
          <w:tcPr>
            <w:tcW w:w="5205" w:type="dxa"/>
            <w:tcBorders/>
          </w:tcPr>
          <w:p>
            <w:pPr>
              <w:pStyle w:val="TableContents"/>
              <w:bidi w:val="0"/>
              <w:spacing w:before="0" w:after="283"/>
              <w:jc w:val="left"/>
              <w:rPr/>
            </w:pPr>
            <w:r>
              <w:rPr/>
              <w:t>A Delaware corporations governing documents may be amended with the approval of a majority of the outstanding shares entitled to vote, unless the certificate of incorporation provides otherwise.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articles of association of a Swiss corporation may be amended with a resolution passed by a majority of the shares represented at a general meeting of shareholders, unless otherwise provided by law or in the articles of association.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There are a number of resolutions, such as an amendment of the stated purpose of the corporation, the introduction of a capital band and conditional capital and the introduction of shares with preferential voting rights that require the approval by two-thirds of the votes and a majority of the par value of the shares represented at such general meeting of shareholders. The articles of association may increase these voting thresholds.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Inspection of books and records</w:t>
            </w:r>
          </w:p>
        </w:tc>
      </w:tr>
      <w:tr>
        <w:trPr/>
        <w:tc>
          <w:tcPr>
            <w:tcW w:w="5205" w:type="dxa"/>
            <w:tcBorders/>
          </w:tcPr>
          <w:p>
            <w:pPr>
              <w:pStyle w:val="TableContents"/>
              <w:bidi w:val="0"/>
              <w:spacing w:before="0" w:after="283"/>
              <w:jc w:val="left"/>
              <w:rPr/>
            </w:pPr>
            <w:r>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his or her rights as a shareholder. The board of directors has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shareholders right to inspect the share register is limited to the right to inspect his or her own entry in the share register.</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Payment of dividends</w:t>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may approve a dividend without shareholder approval. Subject to any restrictions contained in its certificate of incorporation, the board may declare and pay dividends upon the shares of its capital stock either: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  out of its surplus; 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  in case there is no such surplus, out of its net profits for the fiscal year in which the dividend is declared and/or the preceding fiscal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Shareholder approval is required to authorize capital stock in excess of that provided in the charter. Directors may issue authorized shares without shareholder approval.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Dividend (including interim dividend) payments and repayment of capital contributions (but not the nominal share capital) are subject to the approval of the general meeting of shareholders. The board of directors may propose to shareholders that a dividend shall be paid but cannot itself authorize the distribution.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Payments out of a corporations share capital (in other words, the aggregate par value of the corporations shares) in the form of dividends are not allowed and may be made only by way of a formal share capital reduction or a capital reduction within the capital band. Dividends may be paid only from the profits of the previous business year or brought forward from previous or current business years or if the corporation has distributable reserves, each as evidenced by the corporations audited stand-alone statutory balance sheet prepared pursuant to Swiss law and after allocations to reserves required by Swiss law and the articles of association have been deducted.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Creation and issuance of new shares</w:t>
            </w:r>
          </w:p>
        </w:tc>
      </w:tr>
      <w:tr>
        <w:trPr/>
        <w:tc>
          <w:tcPr>
            <w:tcW w:w="5204" w:type="dxa"/>
            <w:tcBorders/>
          </w:tcPr>
          <w:p>
            <w:pPr>
              <w:pStyle w:val="TableContents"/>
              <w:bidi w:val="0"/>
              <w:spacing w:before="0" w:after="283"/>
              <w:jc w:val="left"/>
              <w:rPr/>
            </w:pPr>
            <w:r>
              <w:rPr/>
              <w:t>The creation of shares require the board of directors to adopt a resolution or resolutions, pursuant to authority expressly vested in the board of directors by the provisions of the companys certificate of incorporation.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All creation of shares require a shareholders resolution. The creation of a capital band or conditional share capital requires at least two-thirds of the voting rights represented at the general meeting of shareholders and a majority of the par value of shares represented at such meeting.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board of directors may create and issue or cancel shares out of the capital band during a period of up to five years by a maximum amount of 50% of the current share capital.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Shares may be created and issued by the board of directors out of conditional share capital through the exercise of options or of conversion rights that the board of directors may grant to shareholders, creditors of bonds or similar debt instruments, employees, directors of the company or another group company or third parties.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394147_16"/>
      <w:bookmarkEnd w:id="18"/>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Business Combination, there was no public market for our ordinary shares. Our ordinary shares are listed on the Nasdaq Global Market, but we cannot assure you that a regular trading market for our ordinary shares will develop and be sustained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Future sales of ordinary shares in the U.S. public market after this offering, and the availability of ordinary shares for future sale, could adversely affect the market price of our ordinary shares prevailing from time to time. As described below, a significant number of currently outstanding ordinary shares will not be available for sale shortly after this offering due to contractual restrictions on transfers of ordinary shares. However, sales of substantial amounts of ordinary shares, or the perception that these sales could occur, could adversely affect prevailing market prices for the ordinary shares and could impair our future ability to raise equity capital. </w:t>
      </w:r>
    </w:p>
    <w:p>
      <w:pPr>
        <w:pStyle w:val="TextBody"/>
        <w:bidi w:val="0"/>
        <w:spacing w:before="360" w:after="0"/>
        <w:jc w:val="left"/>
        <w:rPr>
          <w:rFonts w:ascii="Times New Roman" w:hAnsi="Times New Roman"/>
          <w:b/>
          <w:sz w:val="20"/>
        </w:rPr>
      </w:pPr>
      <w:r>
        <w:rPr>
          <w:rFonts w:ascii="Times New Roman" w:hAnsi="Times New Roman"/>
          <w:b/>
          <w:sz w:val="20"/>
        </w:rPr>
        <w:t xml:space="preserve">Lock-Up Periods </w:t>
      </w:r>
    </w:p>
    <w:p>
      <w:pPr>
        <w:pStyle w:val="TextBody"/>
        <w:bidi w:val="0"/>
        <w:spacing w:before="120" w:after="0"/>
        <w:jc w:val="left"/>
        <w:rPr>
          <w:rFonts w:ascii="Times New Roman" w:hAnsi="Times New Roman"/>
          <w:b/>
          <w:i/>
          <w:sz w:val="20"/>
        </w:rPr>
      </w:pPr>
      <w:r>
        <w:rPr>
          <w:rFonts w:ascii="Times New Roman" w:hAnsi="Times New Roman"/>
          <w:b/>
          <w:i/>
          <w:sz w:val="20"/>
        </w:rPr>
        <w:t xml:space="preserve">Business Combination Lock-Up </w:t>
      </w:r>
    </w:p>
    <w:p>
      <w:pPr>
        <w:pStyle w:val="TextBody"/>
        <w:bidi w:val="0"/>
        <w:spacing w:before="120" w:after="0"/>
        <w:jc w:val="left"/>
        <w:rPr>
          <w:rFonts w:ascii="Times New Roman" w:hAnsi="Times New Roman"/>
          <w:sz w:val="20"/>
        </w:rPr>
      </w:pPr>
      <w:r>
        <w:rPr>
          <w:rFonts w:ascii="Times New Roman" w:hAnsi="Times New Roman"/>
          <w:sz w:val="20"/>
        </w:rPr>
        <w:t>On the Acquisition Closing Date, we, the Sponsor and certain of our shareholders (the </w:t>
      </w:r>
      <w:r>
        <w:rPr>
          <w:rFonts w:ascii="Times New Roman" w:hAnsi="Times New Roman"/>
          <w:i/>
          <w:sz w:val="20"/>
        </w:rPr>
        <w:t>RRA Holders</w:t>
      </w:r>
      <w:r>
        <w:rPr>
          <w:rFonts w:ascii="Times New Roman" w:hAnsi="Times New Roman"/>
          <w:sz w:val="20"/>
        </w:rPr>
        <w:t>) entered into the Registration Rights and Lock-Up Agreement. The Registration Rights and Lock-Up Agreement contains certain restrictions on transfer of the ordinary shares and other Registrable Securities (as defined therein) held by the RRA Holders immediately following the Acquisition Closing (the </w:t>
      </w:r>
      <w:r>
        <w:rPr>
          <w:rFonts w:ascii="Times New Roman" w:hAnsi="Times New Roman"/>
          <w:i/>
          <w:sz w:val="20"/>
        </w:rPr>
        <w:t>Lock-Up</w:t>
      </w:r>
      <w:r>
        <w:rPr>
          <w:rFonts w:ascii="Times New Roman" w:hAnsi="Times New Roman"/>
          <w:sz w:val="20"/>
        </w:rPr>
        <w:t> </w:t>
      </w:r>
      <w:r>
        <w:rPr>
          <w:rFonts w:ascii="Times New Roman" w:hAnsi="Times New Roman"/>
          <w:i/>
          <w:sz w:val="20"/>
        </w:rPr>
        <w:t>Securities</w:t>
      </w:r>
      <w:r>
        <w:rPr>
          <w:rFonts w:ascii="Times New Roman" w:hAnsi="Times New Roman"/>
          <w:sz w:val="20"/>
        </w:rPr>
        <w:t xml:space="preserve">). Such restrictions began on the Acquisition Closing Date and end (i) with respect to the ordinary shares held by the Oculis Shareholders party thereto upon the Acquisition Closing, on August 29, 2023, which is 180 days from the Acquisition Closing, and (ii) with respect to the ordinary shares held by Sponsor upon the Acquisition Closing, on November 27, 2023, which is 270 days after the Acquisition Closing, in each case subject to earlier release if the ordinary shares trade at or above a volume weighted average price of $15.00 for 20 trading days during any 30 trading day period commencing June 30, 2023.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Non-Redemption Agreements, each EBAC shareholder signatory thereto has agreed to certain restrictions on transfer of their ordinary shares subject to such Non-Redemption Agreements during the period from the date of the Non-Redemption Agreements through May 31, 2023, which is 90 days after the Acquisition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Lock-Up </w:t>
      </w:r>
    </w:p>
    <w:p>
      <w:pPr>
        <w:pStyle w:val="TextBody"/>
        <w:bidi w:val="0"/>
        <w:spacing w:before="120" w:after="0"/>
        <w:jc w:val="left"/>
        <w:rPr>
          <w:rFonts w:ascii="Times New Roman" w:hAnsi="Times New Roman"/>
          <w:sz w:val="20"/>
        </w:rPr>
      </w:pPr>
      <w:r>
        <w:rPr>
          <w:rFonts w:ascii="Times New Roman" w:hAnsi="Times New Roman"/>
          <w:sz w:val="20"/>
        </w:rPr>
        <w:t>We, our directors and executive officers and certain of our shareholders have agreed that, without the prior written consent of BofA Securities, Inc. and SVB Securities LLC, or the Representatives, on behalf of the underwriters, we and they will not, during the period ending 90 days after the date of this prospectus, (i) directly or indirectly, offer, sell, contract to sell, pledge, grant any option to purchase, lend or otherwise dispose of any ordinary shares, or any options or warrants to purchase any ordinary shares, or any securities convertible into, exchangeable for or that represent the right to receive ordinary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ordinary shares, whether any such transaction or arrangement (or instrument provided for thereunder) would be settled by delivery of ordinary shares or other securities, in cash or otherwise; or (iii) otherwise publicly announce any intention to engage in or cause any action or activity described in clause (i) above or transaction or arrangement described in clause (ii) above. The restrictions described in this paragraph are subject to certain exceptions. See </w:t>
      </w:r>
      <w:r>
        <w:rPr>
          <w:rFonts w:ascii="Times New Roman" w:hAnsi="Times New Roman"/>
          <w:i/>
          <w:sz w:val="20"/>
        </w:rPr>
        <w:t>Underwriting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in their sole discretion, may release the ordinary shares and other securities subject to the lock-up agreements described above in whole or in part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currently expect any release of ordinary shares subject to lock-up agreements prior to the expiration of the applicable lock-up periods. Upon the expiration of the applicable lock-up periods, substantially all of the ordinary shares subject to such lock-up restrictions will become eligible for sale, subject to the limitations described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lock-up periods described above, the RRA Holders are also entitled to registration rights pursuant to the terms of the Registration Rights and Lock-Up Agreement. Pursuant to the Registration Rights and Lock-Up Agreement, we agreed to, within 30 business days of the Acquisition Closing, register for resale, by submitting to or filing with the SEC a registration statement for a shelf registration on Form F-1 or a registration statement for a shelf registration on Form F-3, all the Registrable Securities (as defined therein). This resale registration statement was filed in March 2023 and declared effective by the SEC on May 1, 2023. The Registration Rights and Lock-Up Agreement also provides the RRA Holders with certain customary demand and piggy-back registration rights with respect to their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Subscription Agreements, we agreed to file with the SEC, within 30 business days after the Acquisition Closing, a registration statement covering the resale of the PIPE Shares and to use commercially reasonable efforts to have such registration statement declared effective as soon as practicable after the filing thereof. This resale registration statement was filed in March 2023 and declared effective by the SEC on May 1, 2023. We have also agreed to use commercially reasonable efforts to keep the registration statement effective until the earliest of: (i) May 1, 2026, which is the third anniversary of the effectiveness of the registration statement, (ii) the date when the PIPE Investor has sold all of its Registrable Securities pursuant to the registration statement or Rule 144 and (iii) the date all Registrable Securities held by the PIPE Investor may be sold without restriction under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The ordinary shares received in the Business Combination by persons who are our affiliates for purposes of Rule 144 under the Securities Act (</w:t>
      </w:r>
      <w:r>
        <w:rPr>
          <w:rFonts w:ascii="Times New Roman" w:hAnsi="Times New Roman"/>
          <w:i/>
          <w:sz w:val="20"/>
        </w:rPr>
        <w:t>Rule 144</w:t>
      </w:r>
      <w:r>
        <w:rPr>
          <w:rFonts w:ascii="Times New Roman" w:hAnsi="Times New Roman"/>
          <w:sz w:val="20"/>
        </w:rPr>
        <w:t xml:space="preserve">) may be resold by them only in transactions permitted by Rule 144 (when available, as further described below), or otherwise in accordance with the Securities Act. Persons who may be deemed our affiliates generally include individuals or entities that control, are controlled by or are under common control with, Oculis, including our directors and executive officers, as well as certain of our principal shareholders.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a person who has beneficially owned restricted ordinary shares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ordinary shares then outstanding, which will equal approximately 362,334 ordinary shares immediately after completion of this offering, based on the number of ordinary shares outstanding as of March 31, 2023;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the ordinary shares on the Nasdaq Global Market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our affiliates under Rule 144 are also limited by manner of sale provisions and notice requirements and to the availability of current public information about Oculis.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although we are a new registrant, Rule 144 will not be available for the resale of our ordinary shares until at least one year after we filed Form 10 type information with the SEC, subject to Oculis continuing to satisfy the Exchange Act reporting requirements described above. Following the consummation of the Business Combination, we are no longer a shell company and, as a result, following the one-year period described above, Rule 144 will become available for resale of our ordinary shares, subject to Oculis continuing to satisfy the Exchange Act reporting requirements above.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701 of the Securities Act as currently in effect, each of our employees, consultants or advisors who purchased equity shares from us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before="360" w:after="0"/>
        <w:jc w:val="left"/>
        <w:rPr>
          <w:rFonts w:ascii="Times New Roman" w:hAnsi="Times New Roman"/>
          <w:b/>
          <w:sz w:val="20"/>
        </w:rPr>
      </w:pPr>
      <w:r>
        <w:rPr>
          <w:rFonts w:ascii="Times New Roman" w:hAnsi="Times New Roman"/>
          <w:b/>
          <w:sz w:val="20"/>
        </w:rPr>
        <w:t xml:space="preserve">Form S-8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filed a registration statement on Form S-8 (No. 333-271938) registering the issuance of an aggregate of 7,835,544 ordinary shares subject to options or other equity awards issued or reserved for future issuance under our equity incentive plans. Shares registered under this registration statement, or any registration statements on Form S-8 that we file in the future, will be available for sale in the public market subject to vesting arrangements and exercise of options, the lock-up agreements described above and, in the case of our affiliates, the restrictions of Rule 144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S </w:t>
      </w:r>
    </w:p>
    <w:p>
      <w:pPr>
        <w:pStyle w:val="TextBody"/>
        <w:bidi w:val="0"/>
        <w:spacing w:before="120" w:after="0"/>
        <w:jc w:val="left"/>
        <w:rPr>
          <w:rFonts w:ascii="Times New Roman" w:hAnsi="Times New Roman"/>
          <w:sz w:val="20"/>
        </w:rPr>
      </w:pPr>
      <w:r>
        <w:rPr>
          <w:rFonts w:ascii="Times New Roman" w:hAnsi="Times New Roman"/>
          <w:sz w:val="20"/>
        </w:rPr>
        <w:t xml:space="preserve">Regulation S generally provides that sales made in offshore transactions are not subject to the registration or prospectus delivery requirements of the Securities Act. Accordingly, restricted securities may be sold in offshore transactions in compliance with Regulation 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394147_17"/>
      <w:bookmarkEnd w:id="19"/>
      <w:r>
        <w:rPr>
          <w:rFonts w:ascii="Times New Roman" w:hAnsi="Times New Roman"/>
          <w:b/>
          <w:sz w:val="20"/>
        </w:rPr>
        <w:t xml:space="preserve">MATERIAL SWISS INCOME TAX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information is of a general nature only and is based on the laws in force in Switzerland as of the date of this prospectus and is subject to any change in law that may take effect after such date. It does not purport to be a comprehensive description of all tax considerations that might be relevant to an investment decision. It is not intended to be, nor should it be construed to be, legal or tax advice. It is a description of the essential material Swiss tax consequences with respect to the listing and may not include tax considerations that arise from rules of general application or that are generally assumed to be known to investors. Prospective holders of ordinary shares should consult their professional advisors with respect to particular circumstances, the effects of state, local or foreign laws to which they may be subject, and as to their tax position. </w:t>
      </w:r>
    </w:p>
    <w:p>
      <w:pPr>
        <w:pStyle w:val="TextBody"/>
        <w:bidi w:val="0"/>
        <w:spacing w:before="480" w:after="0"/>
        <w:jc w:val="center"/>
        <w:rPr>
          <w:rFonts w:ascii="Times New Roman" w:hAnsi="Times New Roman"/>
          <w:b/>
          <w:sz w:val="20"/>
        </w:rPr>
      </w:pPr>
      <w:r>
        <w:rPr>
          <w:rFonts w:ascii="Times New Roman" w:hAnsi="Times New Roman"/>
          <w:b/>
          <w:sz w:val="20"/>
        </w:rPr>
        <w:t xml:space="preserve">Holding of Ordinary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Swiss Withholding Tax </w:t>
      </w:r>
    </w:p>
    <w:p>
      <w:pPr>
        <w:pStyle w:val="TextBody"/>
        <w:bidi w:val="0"/>
        <w:spacing w:before="120" w:after="0"/>
        <w:jc w:val="left"/>
        <w:rPr>
          <w:rFonts w:ascii="Times New Roman" w:hAnsi="Times New Roman"/>
          <w:sz w:val="20"/>
        </w:rPr>
      </w:pPr>
      <w:r>
        <w:rPr>
          <w:rFonts w:ascii="Times New Roman" w:hAnsi="Times New Roman"/>
          <w:sz w:val="20"/>
        </w:rPr>
        <w:t>Under present Swiss tax law, dividends and similar cash or in-kind distributions made by Oculis Holding AG to a holder of ordinary shares (including liquidation proceeds and bonus shares) are subject to Swiss federal withholding tax (the </w:t>
      </w:r>
      <w:r>
        <w:rPr>
          <w:rFonts w:ascii="Times New Roman" w:hAnsi="Times New Roman"/>
          <w:i/>
          <w:sz w:val="20"/>
        </w:rPr>
        <w:t>Withholding Tax</w:t>
      </w:r>
      <w:r>
        <w:rPr>
          <w:rFonts w:ascii="Times New Roman" w:hAnsi="Times New Roman"/>
          <w:sz w:val="20"/>
        </w:rPr>
        <w:t>), currently at a rate of 35% (applicable to the gross amount of taxable distribution), unless these payments are repayments of the par value of ordinary shares or, within the limitations accepted by the legislation in force and the respective administrative practice of the reserve from capital contribution (</w:t>
      </w:r>
      <w:r>
        <w:rPr>
          <w:rFonts w:ascii="Times New Roman" w:hAnsi="Times New Roman"/>
          <w:i/>
          <w:sz w:val="20"/>
        </w:rPr>
        <w:t>Reserve aus Kapitaleinlage</w:t>
      </w:r>
      <w:r>
        <w:rPr>
          <w:rFonts w:ascii="Times New Roman" w:hAnsi="Times New Roman"/>
          <w:sz w:val="20"/>
        </w:rPr>
        <w:t xml:space="preserve">). Oculis Holding AG is obliged to deduct the Withholding Tax from the gross amount of any taxable distribution and to pay the tax to the Swiss Federal Tax Administration within 30 days of the due date of such distribution; unless a notification procedure applies (the notification procedure does not apply to portfolio holdings). </w:t>
      </w:r>
    </w:p>
    <w:p>
      <w:pPr>
        <w:pStyle w:val="TextBody"/>
        <w:bidi w:val="0"/>
        <w:spacing w:before="240" w:after="0"/>
        <w:jc w:val="left"/>
        <w:rPr>
          <w:rFonts w:ascii="Times New Roman" w:hAnsi="Times New Roman"/>
          <w:sz w:val="20"/>
        </w:rPr>
      </w:pPr>
      <w:r>
        <w:rPr>
          <w:rFonts w:ascii="Times New Roman" w:hAnsi="Times New Roman"/>
          <w:sz w:val="20"/>
        </w:rPr>
        <w:t>Swiss resident individuals who hold their ordinary shares as private assets (</w:t>
      </w:r>
      <w:r>
        <w:rPr>
          <w:rFonts w:ascii="Times New Roman" w:hAnsi="Times New Roman"/>
          <w:i/>
          <w:sz w:val="20"/>
        </w:rPr>
        <w:t>Resident Private Shareholders</w:t>
      </w:r>
      <w:r>
        <w:rPr>
          <w:rFonts w:ascii="Times New Roman" w:hAnsi="Times New Roman"/>
          <w:sz w:val="20"/>
        </w:rPr>
        <w:t xml:space="preserve">) are in principle eligible for a full refund or credit against income tax of the Withholding Tax if they duly report the underlying income in their income tax return. In addition Domestic Commercial Shareholders who, among other things, are also the beneficial owners of the ordinary shares and the dividends or the other distributions made or paid by Oculis Holding AG on the ordinary shares are in principle eligible for a full refund or credit against income tax of the Withholding Tax if they, inter alia, duly report the underlying income in their income statements or income tax return, as the case may be. </w:t>
      </w:r>
    </w:p>
    <w:p>
      <w:pPr>
        <w:pStyle w:val="TextBody"/>
        <w:bidi w:val="0"/>
        <w:spacing w:before="240" w:after="0"/>
        <w:jc w:val="left"/>
        <w:rPr>
          <w:rFonts w:ascii="Times New Roman" w:hAnsi="Times New Roman"/>
          <w:sz w:val="20"/>
        </w:rPr>
      </w:pPr>
      <w:r>
        <w:rPr>
          <w:rFonts w:ascii="Times New Roman" w:hAnsi="Times New Roman"/>
          <w:sz w:val="20"/>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w:t>
      </w:r>
      <w:r>
        <w:rPr>
          <w:rFonts w:ascii="Times New Roman" w:hAnsi="Times New Roman"/>
          <w:i/>
          <w:sz w:val="20"/>
        </w:rPr>
        <w:t>Non-Resident Shareholders</w:t>
      </w:r>
      <w:r>
        <w:rPr>
          <w:rFonts w:ascii="Times New Roman" w:hAnsi="Times New Roman"/>
          <w:sz w:val="20"/>
        </w:rPr>
        <w:t xml:space="preserve">) may be entitled to a total or partial refund of the Withholding Tax if the country in which such recipient resides for tax purposes maintains a bilateral treaty for the avoidance of double taxation with Switzerland and further conditions of such treaty are met.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ordinary shares and the procedures for claiming a refund of the Withholding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Swiss Federal Stamp Taxes </w:t>
      </w:r>
    </w:p>
    <w:p>
      <w:pPr>
        <w:pStyle w:val="TextBody"/>
        <w:bidi w:val="0"/>
        <w:spacing w:before="120" w:after="0"/>
        <w:jc w:val="left"/>
        <w:rPr>
          <w:rFonts w:ascii="Times New Roman" w:hAnsi="Times New Roman"/>
          <w:sz w:val="20"/>
        </w:rPr>
      </w:pPr>
      <w:r>
        <w:rPr>
          <w:rFonts w:ascii="Times New Roman" w:hAnsi="Times New Roman"/>
          <w:sz w:val="20"/>
        </w:rPr>
        <w:t>To the extent Oculis Holding AG issues new shares, Oculis Holding AG will bear the Swiss federal issue stamp tax (</w:t>
      </w:r>
      <w:r>
        <w:rPr>
          <w:rFonts w:ascii="Times New Roman" w:hAnsi="Times New Roman"/>
          <w:i/>
          <w:sz w:val="20"/>
        </w:rPr>
        <w:t>Emissionsabgabe</w:t>
      </w:r>
      <w:r>
        <w:rPr>
          <w:rFonts w:ascii="Times New Roman" w:hAnsi="Times New Roman"/>
          <w:sz w:val="20"/>
        </w:rPr>
        <w:t xml:space="preserve">) on the issuance of such ordinary shares of 1% of the offering price, net of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deductions. The delivery of newly issued shares against payment of the offering price is generally not subject to Swiss federal securities turnover tax (</w:t>
      </w:r>
      <w:r>
        <w:rPr>
          <w:rFonts w:ascii="Times New Roman" w:hAnsi="Times New Roman"/>
          <w:i/>
          <w:sz w:val="20"/>
        </w:rPr>
        <w:t>Umsatzabgabe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Oculis Holding AG offers existing shares currently held by Oculis Holding AG or certain existing shareholders of Oculis Holding AG, the sale and delivery of any such existing shares will, subject to statutory exemptions, be subject to Swiss federal securities turnover tax (</w:t>
      </w:r>
      <w:r>
        <w:rPr>
          <w:rFonts w:ascii="Times New Roman" w:hAnsi="Times New Roman"/>
          <w:i/>
          <w:sz w:val="20"/>
        </w:rPr>
        <w:t>Umsatzabgabe</w:t>
      </w:r>
      <w:r>
        <w:rPr>
          <w:rFonts w:ascii="Times New Roman" w:hAnsi="Times New Roman"/>
          <w:sz w:val="20"/>
        </w:rPr>
        <w:t xml:space="preserve">) at an aggregate tax rate of up to 0.15% of the consideration paid on such sale and will be borne (or compensated) by the current holders of such existing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Swiss Federal, Cantonal and Communal Individual Income Tax and Corporate Income Tax </w:t>
      </w:r>
    </w:p>
    <w:p>
      <w:pPr>
        <w:pStyle w:val="TextBody"/>
        <w:bidi w:val="0"/>
        <w:spacing w:before="120" w:after="0"/>
        <w:jc w:val="left"/>
        <w:rPr>
          <w:rFonts w:ascii="Times New Roman" w:hAnsi="Times New Roman"/>
          <w:sz w:val="20"/>
        </w:rPr>
      </w:pPr>
      <w:r>
        <w:rPr>
          <w:rFonts w:ascii="Times New Roman" w:hAnsi="Times New Roman"/>
          <w:sz w:val="20"/>
        </w:rPr>
        <w:t xml:space="preserve">a. Non-Resident Shareholders </w:t>
      </w:r>
    </w:p>
    <w:p>
      <w:pPr>
        <w:pStyle w:val="TextBody"/>
        <w:bidi w:val="0"/>
        <w:spacing w:before="120" w:after="0"/>
        <w:jc w:val="left"/>
        <w:rPr>
          <w:rFonts w:ascii="Times New Roman" w:hAnsi="Times New Roman"/>
          <w:sz w:val="20"/>
        </w:rPr>
      </w:pPr>
      <w:r>
        <w:rPr>
          <w:rFonts w:ascii="Times New Roman" w:hAnsi="Times New Roman"/>
          <w:sz w:val="20"/>
        </w:rPr>
        <w:t>Non-Resident Shareholders are not subject to any Swiss federal, cantonal or communal income tax on dividend payments and similar distributions because of the mere holding of ordinary shares. For Withholding Tax consequences, please see the section entitled </w:t>
      </w:r>
      <w:r>
        <w:rPr>
          <w:rFonts w:ascii="Times New Roman" w:hAnsi="Times New Roman"/>
          <w:i/>
          <w:sz w:val="20"/>
        </w:rPr>
        <w:t>Material Swiss Tax ConsiderationsSwiss Withholding Tax.</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b. Resident Private Shareholders and Domestic Commercial Shareholders </w:t>
      </w:r>
    </w:p>
    <w:p>
      <w:pPr>
        <w:pStyle w:val="TextBody"/>
        <w:bidi w:val="0"/>
        <w:spacing w:before="120" w:after="0"/>
        <w:jc w:val="left"/>
        <w:rPr>
          <w:rFonts w:ascii="Times New Roman" w:hAnsi="Times New Roman"/>
          <w:sz w:val="20"/>
        </w:rPr>
      </w:pPr>
      <w:r>
        <w:rPr>
          <w:rFonts w:ascii="Times New Roman" w:hAnsi="Times New Roman"/>
          <w:sz w:val="20"/>
        </w:rPr>
        <w:t>Resident Private Shareholders who receive dividends and similar cash or in-kind distributions (including liquidation proceeds as well as bonus shares or taxable repurchases of ordinary shares as described above), which are not repayments of the par value of ordinary shares or, within the limitations accepted by the legislation in force and the respective administrative practice, reserve from capital contribution (</w:t>
      </w:r>
      <w:r>
        <w:rPr>
          <w:rFonts w:ascii="Times New Roman" w:hAnsi="Times New Roman"/>
          <w:i/>
          <w:sz w:val="20"/>
        </w:rPr>
        <w:t>Kapitaleinlagereserven</w:t>
      </w:r>
      <w:r>
        <w:rPr>
          <w:rFonts w:ascii="Times New Roman" w:hAnsi="Times New Roman"/>
          <w:sz w:val="20"/>
        </w:rPr>
        <w:t>), are required to report such distributions in their individual income tax returns. Furthermore, the Swiss federal income tax on dividends is currently reduced to 70% of regular taxation (</w:t>
      </w:r>
      <w:r>
        <w:rPr>
          <w:rFonts w:ascii="Times New Roman" w:hAnsi="Times New Roman"/>
          <w:i/>
          <w:sz w:val="20"/>
        </w:rPr>
        <w:t>Teilbesteuerung</w:t>
      </w:r>
      <w:r>
        <w:rPr>
          <w:rFonts w:ascii="Times New Roman" w:hAnsi="Times New Roman"/>
          <w:sz w:val="20"/>
        </w:rPr>
        <w:t xml:space="preserve">), if the investment amounts to at least 10% of the total share capital of the issuer. On cantonal and communal level, the same provisions regarding partial taxation apply, with income reduced to between 50% and 80% depending on the canton of residency. </w:t>
      </w:r>
    </w:p>
    <w:p>
      <w:pPr>
        <w:pStyle w:val="TextBody"/>
        <w:bidi w:val="0"/>
        <w:spacing w:before="240" w:after="0"/>
        <w:jc w:val="left"/>
        <w:rPr>
          <w:rFonts w:ascii="Times New Roman" w:hAnsi="Times New Roman"/>
          <w:sz w:val="20"/>
        </w:rPr>
      </w:pPr>
      <w:r>
        <w:rPr>
          <w:rFonts w:ascii="Times New Roman" w:hAnsi="Times New Roman"/>
          <w:sz w:val="20"/>
        </w:rPr>
        <w:t>Domestic Commercial Shareholders who receive dividends and similar cash or in-kind distributions (including liquidation proceeds as well as bonus shares) are required to recognize such payments in their income statements for the relevant tax period and are subject to Swiss federal, cantonal and communal individual or corporate income tax, as the case may be, on any net taxable earnings accumulated (including the dividends) for such period. Domestic Commercial Shareholders who are corporate taxpayers may qualify for participation relief on dividend distributions (</w:t>
      </w:r>
      <w:r>
        <w:rPr>
          <w:rFonts w:ascii="Times New Roman" w:hAnsi="Times New Roman"/>
          <w:i/>
          <w:sz w:val="20"/>
        </w:rPr>
        <w:t>Beteiligungsabzug</w:t>
      </w:r>
      <w:r>
        <w:rPr>
          <w:rFonts w:ascii="Times New Roman" w:hAnsi="Times New Roman"/>
          <w:sz w:val="20"/>
        </w:rPr>
        <w:t>), if, inter alia, ordinary shares held have a market value of at least CHF 1 million. For cantonal and communal income tax purposes, the regulations on participation relief are broadly similar, depending on the canton of residency. For Domestic Commercial Shareholders who are individual taxpayers, the Swiss federal individual income tax on Dividends is reduced to 70% of regular taxation (</w:t>
      </w:r>
      <w:r>
        <w:rPr>
          <w:rFonts w:ascii="Times New Roman" w:hAnsi="Times New Roman"/>
          <w:i/>
          <w:sz w:val="20"/>
        </w:rPr>
        <w:t>Teilbesteuerung</w:t>
      </w:r>
      <w:r>
        <w:rPr>
          <w:rFonts w:ascii="Times New Roman" w:hAnsi="Times New Roman"/>
          <w:sz w:val="20"/>
        </w:rPr>
        <w:t>), if the investment is held in connection with the conduct of a trade or business or qualifies as an opted business asset (</w:t>
      </w:r>
      <w:r>
        <w:rPr>
          <w:rFonts w:ascii="Times New Roman" w:hAnsi="Times New Roman"/>
          <w:i/>
          <w:sz w:val="20"/>
        </w:rPr>
        <w:t>gewillkürtes Geschäftsvermögen</w:t>
      </w:r>
      <w:r>
        <w:rPr>
          <w:rFonts w:ascii="Times New Roman" w:hAnsi="Times New Roman"/>
          <w:sz w:val="20"/>
        </w:rPr>
        <w:t xml:space="preserve">) according to Swiss tax law and amounts to at least 10% of the total share capital of the Company. On cantonal and communal level the same provisions regarding partial taxation apply, with income reduced to between 50% and 80% depending on the canton of residency.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Swiss Wealth Tax and Capital Tax </w:t>
      </w:r>
    </w:p>
    <w:p>
      <w:pPr>
        <w:pStyle w:val="TextBody"/>
        <w:bidi w:val="0"/>
        <w:spacing w:before="120" w:after="0"/>
        <w:jc w:val="left"/>
        <w:rPr>
          <w:rFonts w:ascii="Times New Roman" w:hAnsi="Times New Roman"/>
          <w:sz w:val="20"/>
        </w:rPr>
      </w:pPr>
      <w:r>
        <w:rPr>
          <w:rFonts w:ascii="Times New Roman" w:hAnsi="Times New Roman"/>
          <w:sz w:val="20"/>
        </w:rPr>
        <w:t xml:space="preserve">a Non-Resident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Non-Resident Shareholders holding ordinary shares are generally not subject to cantonal and communal wealth or annual capital tax because of the mere holding of ordinary shares. </w:t>
      </w:r>
    </w:p>
    <w:p>
      <w:pPr>
        <w:pStyle w:val="TextBody"/>
        <w:bidi w:val="0"/>
        <w:spacing w:before="360" w:after="0"/>
        <w:jc w:val="left"/>
        <w:rPr>
          <w:rFonts w:ascii="Times New Roman" w:hAnsi="Times New Roman"/>
          <w:sz w:val="20"/>
        </w:rPr>
      </w:pPr>
      <w:r>
        <w:rPr>
          <w:rFonts w:ascii="Times New Roman" w:hAnsi="Times New Roman"/>
          <w:sz w:val="20"/>
        </w:rPr>
        <w:t xml:space="preserve">b. Resident Private Shareholders </w:t>
      </w:r>
    </w:p>
    <w:p>
      <w:pPr>
        <w:pStyle w:val="TextBody"/>
        <w:bidi w:val="0"/>
        <w:spacing w:before="120" w:after="0"/>
        <w:jc w:val="left"/>
        <w:rPr>
          <w:rFonts w:ascii="Times New Roman" w:hAnsi="Times New Roman"/>
          <w:sz w:val="20"/>
        </w:rPr>
      </w:pPr>
      <w:r>
        <w:rPr>
          <w:rFonts w:ascii="Times New Roman" w:hAnsi="Times New Roman"/>
          <w:sz w:val="20"/>
        </w:rPr>
        <w:t xml:space="preserve">Resident Private Shareholders are required to report the market value of their ordinary shares at the end of each tax period as part of their private wealth, which is subject to cantonal and communal wealth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Domestic Commercial Shareholders </w:t>
      </w:r>
    </w:p>
    <w:p>
      <w:pPr>
        <w:pStyle w:val="TextBody"/>
        <w:bidi w:val="0"/>
        <w:spacing w:before="120" w:after="0"/>
        <w:jc w:val="left"/>
        <w:rPr>
          <w:rFonts w:ascii="Times New Roman" w:hAnsi="Times New Roman"/>
          <w:sz w:val="20"/>
        </w:rPr>
      </w:pPr>
      <w:r>
        <w:rPr>
          <w:rFonts w:ascii="Times New Roman" w:hAnsi="Times New Roman"/>
          <w:sz w:val="20"/>
        </w:rPr>
        <w:t xml:space="preserve">Domestic Commercial Shareholders are required to report their ordinary shares as part of their business wealth or taxable capital, as defined in the applicable cantonal and communal tax laws, which is subject to cantonal and communal wealth or annual capital tax. </w:t>
      </w:r>
    </w:p>
    <w:p>
      <w:pPr>
        <w:pStyle w:val="TextBody"/>
        <w:bidi w:val="0"/>
        <w:spacing w:before="480" w:after="0"/>
        <w:jc w:val="center"/>
        <w:rPr>
          <w:rFonts w:ascii="Times New Roman" w:hAnsi="Times New Roman"/>
          <w:b/>
          <w:sz w:val="20"/>
        </w:rPr>
      </w:pPr>
      <w:r>
        <w:rPr>
          <w:rFonts w:ascii="Times New Roman" w:hAnsi="Times New Roman"/>
          <w:b/>
          <w:sz w:val="20"/>
        </w:rPr>
        <w:t xml:space="preserve">Sale or Other Disposition of Ordinary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Swiss Federal Stamp Taxes </w:t>
      </w:r>
    </w:p>
    <w:p>
      <w:pPr>
        <w:pStyle w:val="TextBody"/>
        <w:bidi w:val="0"/>
        <w:spacing w:before="120" w:after="0"/>
        <w:jc w:val="left"/>
        <w:rPr>
          <w:rFonts w:ascii="Times New Roman" w:hAnsi="Times New Roman"/>
          <w:sz w:val="20"/>
        </w:rPr>
      </w:pPr>
      <w:r>
        <w:rPr>
          <w:rFonts w:ascii="Times New Roman" w:hAnsi="Times New Roman"/>
          <w:sz w:val="20"/>
        </w:rPr>
        <w:t>Any subsequent transactions in ordinary shares in the secondary markets are subject to Swiss securities turnover tax at an aggregate rate of 0.15% of the consideration paid for such ordinary shares, however, only if a bank or other securities dealer in Switzerland or Liechtenstein, as defined in the Swiss Federal Stamp Tax Act (</w:t>
      </w:r>
      <w:r>
        <w:rPr>
          <w:rFonts w:ascii="Times New Roman" w:hAnsi="Times New Roman"/>
          <w:i/>
          <w:sz w:val="20"/>
        </w:rPr>
        <w:t>Stempelabgabengesetz</w:t>
      </w:r>
      <w:r>
        <w:rPr>
          <w:rFonts w:ascii="Times New Roman" w:hAnsi="Times New Roman"/>
          <w:sz w:val="20"/>
        </w:rPr>
        <w:t xml:space="preserve">), is a party or an intermediary to the transaction and no exemption applies.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Swiss Federal, Cantonal and Communal Individual Income Tax and Corporate Income Tax </w:t>
      </w:r>
    </w:p>
    <w:p>
      <w:pPr>
        <w:pStyle w:val="TextBody"/>
        <w:bidi w:val="0"/>
        <w:spacing w:before="120" w:after="0"/>
        <w:jc w:val="left"/>
        <w:rPr>
          <w:rFonts w:ascii="Times New Roman" w:hAnsi="Times New Roman"/>
          <w:sz w:val="20"/>
        </w:rPr>
      </w:pPr>
      <w:r>
        <w:rPr>
          <w:rFonts w:ascii="Times New Roman" w:hAnsi="Times New Roman"/>
          <w:sz w:val="20"/>
        </w:rPr>
        <w:t xml:space="preserve">a. Non-Resident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Non-Resident Shareholders are not subject to any Swiss federal, cantonal or communal income tax for capital gains on the sale of ordinary shares. </w:t>
      </w:r>
    </w:p>
    <w:p>
      <w:pPr>
        <w:pStyle w:val="TextBody"/>
        <w:bidi w:val="0"/>
        <w:spacing w:before="360" w:after="0"/>
        <w:jc w:val="left"/>
        <w:rPr>
          <w:rFonts w:ascii="Times New Roman" w:hAnsi="Times New Roman"/>
          <w:sz w:val="20"/>
        </w:rPr>
      </w:pPr>
      <w:r>
        <w:rPr>
          <w:rFonts w:ascii="Times New Roman" w:hAnsi="Times New Roman"/>
          <w:sz w:val="20"/>
        </w:rPr>
        <w:t xml:space="preserve">b. Resident Private Shareholders and Domestic Commercial Shareholders </w:t>
      </w:r>
    </w:p>
    <w:p>
      <w:pPr>
        <w:pStyle w:val="TextBody"/>
        <w:bidi w:val="0"/>
        <w:spacing w:before="120" w:after="0"/>
        <w:jc w:val="left"/>
        <w:rPr>
          <w:rFonts w:ascii="Times New Roman" w:hAnsi="Times New Roman"/>
          <w:sz w:val="20"/>
        </w:rPr>
      </w:pPr>
      <w:r>
        <w:rPr>
          <w:rFonts w:ascii="Times New Roman" w:hAnsi="Times New Roman"/>
          <w:sz w:val="20"/>
        </w:rPr>
        <w:t xml:space="preserve">A gain or a loss by Resident Private Shareholders realized upon the sale or other disposition of ordinary shares to a third party will generally be a tax-free private capital gain or a not tax-deductible capital loss,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Domestic Commercial Shareholders are required to recognize a gain or loss realized upon the disposal of ordinary shares in their income statement for the respective taxation period and are subject to Swiss federal, cantonal and communal individual or corporate income tax, as the case may be, on any net taxable earnings (including the gain or loss realized on the sale or other disposition of ordinary shares) for such taxation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Gift and Inheritance Taxes </w:t>
      </w:r>
    </w:p>
    <w:p>
      <w:pPr>
        <w:pStyle w:val="TextBody"/>
        <w:bidi w:val="0"/>
        <w:spacing w:before="120" w:after="0"/>
        <w:jc w:val="left"/>
        <w:rPr>
          <w:rFonts w:ascii="Times New Roman" w:hAnsi="Times New Roman"/>
          <w:sz w:val="20"/>
        </w:rPr>
      </w:pPr>
      <w:r>
        <w:rPr>
          <w:rFonts w:ascii="Times New Roman" w:hAnsi="Times New Roman"/>
          <w:sz w:val="20"/>
        </w:rPr>
        <w:t xml:space="preserve">The transfer of ordinary shares may be subject to cantonal and/or communal gift, estate or inheritance taxes if the donor is, or the deceased was, resident for tax purposes in a Swiss canton levying such taxes. </w:t>
      </w:r>
    </w:p>
    <w:p>
      <w:pPr>
        <w:pStyle w:val="TextBody"/>
        <w:bidi w:val="0"/>
        <w:spacing w:before="480" w:after="0"/>
        <w:jc w:val="center"/>
        <w:rPr>
          <w:rFonts w:ascii="Times New Roman" w:hAnsi="Times New Roman"/>
          <w:b/>
          <w:sz w:val="20"/>
        </w:rPr>
      </w:pPr>
      <w:r>
        <w:rPr>
          <w:rFonts w:ascii="Times New Roman" w:hAnsi="Times New Roman"/>
          <w:b/>
          <w:sz w:val="20"/>
        </w:rPr>
        <w:t xml:space="preserve">General notes on Swiss Taxation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Automatic Exchange of Information in Tax Matters </w:t>
      </w:r>
    </w:p>
    <w:p>
      <w:pPr>
        <w:pStyle w:val="TextBody"/>
        <w:bidi w:val="0"/>
        <w:spacing w:before="120" w:after="0"/>
        <w:jc w:val="left"/>
        <w:rPr>
          <w:rFonts w:ascii="Times New Roman" w:hAnsi="Times New Roman"/>
          <w:sz w:val="20"/>
        </w:rPr>
      </w:pPr>
      <w:r>
        <w:rPr>
          <w:rFonts w:ascii="Times New Roman" w:hAnsi="Times New Roman"/>
          <w:sz w:val="20"/>
        </w:rPr>
        <w:t>On November 19, 2014, Switzerland signed the Multilateral Competent Authority Agreement. The Multilateral Competent Authority Agreement is intended to ensure the uniform implementation of Automatic Exchange of Information (the </w:t>
      </w:r>
      <w:r>
        <w:rPr>
          <w:rFonts w:ascii="Times New Roman" w:hAnsi="Times New Roman"/>
          <w:i/>
          <w:sz w:val="20"/>
        </w:rPr>
        <w:t>AEOI</w:t>
      </w:r>
      <w:r>
        <w:rPr>
          <w:rFonts w:ascii="Times New Roman" w:hAnsi="Times New Roman"/>
          <w:sz w:val="20"/>
        </w:rPr>
        <w:t>). The Swiss Federal Act on the International Automatic Exchange of Information in Tax Matters (the </w:t>
      </w:r>
      <w:r>
        <w:rPr>
          <w:rFonts w:ascii="Times New Roman" w:hAnsi="Times New Roman"/>
          <w:i/>
          <w:sz w:val="20"/>
        </w:rPr>
        <w:t>AEOI Act</w:t>
      </w:r>
      <w:r>
        <w:rPr>
          <w:rFonts w:ascii="Times New Roman" w:hAnsi="Times New Roman"/>
          <w:sz w:val="20"/>
        </w:rPr>
        <w:t xml:space="preserve">) entered into force on January 1, 2017. The AEOI Act is the legal basis for the implementation of the AEOI standard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The AEOI is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such multilateral and bilateral agreements and the implementing laws of Switzerland, Switzerland collects data in respect of financial assets, which may include ordinary shares, held in, and income derived thereon and credited to, accounts or deposits with a paying agent in Switzerland for the benefit of individuals resident in an EU member state or in a treaty state since 2017, and exchanges it since 2018. Switzerland has signed and is expected to sign AEOI agreements with other countries. A list of such agreements of Switzerland in effect or signed and becoming effective can be found on the website of the State Secretariat for International Finance.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Swiss Facilitation of the Implementation of the U.S. 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 xml:space="preserve">Switzerland has concluded an intergovernmental agreement with the United States to facilitate the implementation of U.S. Foreign Account Tax Compliance Act. The agreement ensures that the accounts held by U.S. persons with Swiss financial institutions are disclosed to the U.S. tax authorities either with the consent of the account holder or by means of group requests within the scope of administrative assistance. Information will not be transferred automatically in the absence of consent, but instead will be exchanged only within the scope of administrative assistance on the basis of the double taxation agreement between the United States and Switzerland. On September 20, 2019, the protocol of amendment to the double taxation treaty between Switzerland and the U.S. entered into force allowing the U.S. competent authority in accordance with the information reported in aggregated form to request all the information on U.S. accounts without a declaration of consent and on non-consenting non-participating financial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2014, the Swiss Federal Council approved a mandate for negotiations with the United States on changing the current direct-notification-based regime to a regime where the relevant information is sent to the Swiss Federal Tax Administration, which in turn provides the information to the U.S. tax authorities. </w:t>
      </w:r>
    </w:p>
    <w:p>
      <w:pPr>
        <w:pStyle w:val="TextBody"/>
        <w:bidi w:val="0"/>
        <w:spacing w:before="240" w:after="0"/>
        <w:jc w:val="left"/>
        <w:rPr>
          <w:rFonts w:ascii="Times New Roman" w:hAnsi="Times New Roman"/>
          <w:sz w:val="20"/>
        </w:rPr>
      </w:pPr>
      <w:r>
        <w:rPr>
          <w:rFonts w:ascii="Times New Roman" w:hAnsi="Times New Roman"/>
          <w:sz w:val="20"/>
        </w:rPr>
        <w:t xml:space="preserve">THE MATERIAL SWISS TAX DISCUSSION SET FORTH ABOVE IS INCLUDED FOR GENERAL INFORMATION ONLY AND MAY NOT BE APPLICABLE DEPENDING UPON A SWISS HOLDERS PARTICULAR SITUATION. SWISS HOLDERS ARE URGED TO CONSULT THEIR TAX ADVISORS WITH RESPECT TO, THE OWNERSHIP AND DISPOSITION OF ORDINARY SHARES, INCLUDING THE TAX CONSEQUENCES UNDER NON-SWISS, AND OTHER TAX LAWS AND TAX TREATIES AND THE POSSIBLE EFFECTS OF CHANGES IN SWISS OR OTHER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394147_18"/>
      <w:bookmarkEnd w:id="20"/>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Internal Revenue Code of 1986, as amended, or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or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 or dealers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mark-to-market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trusts or estates;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ordinary shares as part of a straddle, hedge, conversion, synthetic security, constructive sale, or other integrated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or former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owning (directly, indirectly, or constructively) 5% (by vote or value) or more of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ordinary shares pursuant to an exercise of employee stock options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pass-through entities for U.S. federal income tax purposes and investors in such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within the meaning of Section 957(a)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within the meaning of Section 1297(a)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ordinary shares, the tax treatment of a partner in such partnership generally will depend on the status of the partner and the activities of the partnership. Partnerships holding ordinary shares should consult their tax advisors regarding the tax consequences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ordinary shares,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U.S.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if a court within the United States is able to exercise primary supervision over the administration of the trust and one or more United States persons within the meaning of </w:t>
            </w:r>
          </w:p>
        </w:tc>
      </w:tr>
    </w:tbl>
    <w:p>
      <w:pPr>
        <w:pStyle w:val="TextBody"/>
        <w:bidi w:val="0"/>
        <w:spacing w:before="0" w:after="0"/>
        <w:jc w:val="left"/>
        <w:rPr>
          <w:rFonts w:ascii="Times New Roman" w:hAnsi="Times New Roman"/>
          <w:sz w:val="20"/>
        </w:rPr>
      </w:pPr>
      <w:r>
        <w:rPr>
          <w:rFonts w:ascii="Times New Roman" w:hAnsi="Times New Roman"/>
          <w:sz w:val="20"/>
        </w:rPr>
        <w:t xml:space="preserve">Section 7701(a)(30) of the Code have the authority to control all substantial decisions of the trust or (ii) that has in effect a valid election under applicable U.S. Treasury regulations to be treated as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INFORMATIONAL PURPOSES ONLY AND IS NOT TAX ADVICE U.S. HOLDERS SHOULD CONSULT THEIR TAX ADVISORS REGARDING THE TAX CONSEQUENCES OF THE ACQUISTION, OWNERSHIP, AND DISPOSITION OF ORDINARY SHARES IN THEIR PARTICULAR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the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passive foreign investment company, or PFIC, rules discussed below under </w:t>
      </w:r>
      <w:r>
        <w:rPr>
          <w:rFonts w:ascii="Times New Roman" w:hAnsi="Times New Roman"/>
          <w:i/>
          <w:sz w:val="20"/>
        </w:rPr>
        <w:t>Passive Foreign Investment Company Rules</w:t>
      </w:r>
      <w:r>
        <w:rPr>
          <w:rFonts w:ascii="Times New Roman" w:hAnsi="Times New Roman"/>
          <w:sz w:val="20"/>
        </w:rPr>
        <w:t>, distributions on ordinary shares generally will be taxable as dividends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w:t>
      </w:r>
      <w:r>
        <w:rPr>
          <w:rFonts w:ascii="Times New Roman" w:hAnsi="Times New Roman"/>
          <w:i/>
          <w:sz w:val="20"/>
        </w:rPr>
        <w:t>Sale or Other Taxable Disposition of the Ordinary Shares.</w:t>
      </w:r>
      <w:r>
        <w:rPr>
          <w:rFonts w:ascii="Times New Roman" w:hAnsi="Times New Roman"/>
          <w:sz w:val="20"/>
        </w:rPr>
        <w:t xml:space="preserve">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The amount of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United States and/or may be eligible for a foreign tax credit against the U.S. Holders U.S. federal income tax liability. Recently issued U.S. Treasury regulations,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the Code.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Taxable Disposition of the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under </w:t>
      </w:r>
      <w:r>
        <w:rPr>
          <w:rFonts w:ascii="Times New Roman" w:hAnsi="Times New Roman"/>
          <w:i/>
          <w:sz w:val="20"/>
        </w:rPr>
        <w:t>Passive Foreign Investment Company Rules</w:t>
      </w:r>
      <w:r>
        <w:rPr>
          <w:rFonts w:ascii="Times New Roman" w:hAnsi="Times New Roman"/>
          <w:sz w:val="20"/>
        </w:rPr>
        <w:t xml:space="preserve">,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U.S. federal income tax treatment of U.S. Holders could be materially different from that described above if we are treated as a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Assuming that the First Merger and the Second Merger, taken together, qualified as a reorganization under Section 368(a)(1)(F) of the Code, we will be treated as the successor to EBAC for U.S. federal income tax purposes, including for purposes of the PFIC rules. Since EBAC was a blank-check company with no current active business, based upon the composition of EBACs income and assets, we believe that EBAC was a PFIC for the taxable year ended December 31, 2022. If EBAC was a PFIC for the taxable year ended December 31, 2022, we will also be a PFIC for the same taxable year. However, our PFIC status for the taxable year 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December 31, 2022, does not take into account the impact of the Oculis Share Contribution and may not be indicative of our PFIC status for our current taxable year. We have not yet determined our PFIC status for the taxable year ending December 31, 2023 and cannot do so definitely until the close of the 2023 tax year.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The amount of passive income and passive assets we take into account for PFIC testing purposes depends, in part, on the size of our cash balance (taking into account the cash raised in this offering and from other sources as well as the timing and manner in which such cash is used) and the interest rates applicable thereto. In addition, the total value of our assets for PFIC testing purposes may be determined in part by reference to our market capitalization from time to time, which may fluctuate considerably. As a result, there can be no assurance with respect to our PFIC status for any taxable year, and our U.S. counsel expresses no opinion with respect to our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Under these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in its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other taxable years (or portions thereof) of the U.S. Holder and included in the U.S. Holders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PFIC Elections </w:t>
      </w:r>
    </w:p>
    <w:p>
      <w:pPr>
        <w:pStyle w:val="TextBody"/>
        <w:bidi w:val="0"/>
        <w:spacing w:before="120" w:after="0"/>
        <w:jc w:val="left"/>
        <w:rPr>
          <w:rFonts w:ascii="Times New Roman" w:hAnsi="Times New Roman"/>
          <w:sz w:val="20"/>
        </w:rPr>
      </w:pPr>
      <w:r>
        <w:rPr>
          <w:rFonts w:ascii="Times New Roman" w:hAnsi="Times New Roman"/>
          <w:sz w:val="20"/>
        </w:rPr>
        <w:t xml:space="preserve">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reflect any such income or loss amounts, and any further gain recognized on a sale or other taxable disposition of its ordinary shares will be treated as ordinary income.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the </w:t>
      </w:r>
    </w:p>
    <w:p>
      <w:pPr>
        <w:pStyle w:val="TextBody"/>
        <w:bidi w:val="0"/>
        <w:spacing w:before="0" w:after="0"/>
        <w:jc w:val="left"/>
        <w:rPr>
          <w:rFonts w:ascii="Times New Roman" w:hAnsi="Times New Roman"/>
          <w:sz w:val="20"/>
        </w:rPr>
      </w:pPr>
      <w:r>
        <w:rPr>
          <w:rFonts w:ascii="Times New Roman" w:hAnsi="Times New Roman"/>
          <w:sz w:val="20"/>
        </w:rPr>
        <w:t xml:space="preserve">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Accordingly, U.S. Holders may continue to be subject to the adverse PFIC tax consequences discussed above with respect to any lower-tier PFICs, as discussed below, notwithstanding their mark-to-market election with respect to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PFIC, a U.S. Holder may also avoid the adverse PFIC tax consequences discussed above with respect to ordinary shares if the U.S. Holder makes a valid QEF election for the first taxable year in which the U.S. Holder owns (or is treated as owning) ordinary shares. If a U.S. Holder has made a QEF election with respect to ordinary shares, and the special tax and interest charge rules do not apply to such ordinary shares (because the QEF election was made in the U.S. Holders first taxable year in which the U.S. Holder owns (or is treated as owning) ordinary shares or a purging election was made, as described below), any gain recognized on the sale of ordinary shares generally will be taxable as capital gain and no interest charge will be imposed under the PFIC rules. A U.S. Holder that makes a QEF election with respect to ordinary shares is currently taxed on its pro rata share of our earnings and profits, whether or not distributed. In such case, a subsequent distribution of such earnings and profits that were previously included in income generally should not be taxable as a dividend to the U.S. Holder. The U.S. Holders tax basis in the ordinary shares with respect to which a QEF election has been made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ordinary shares with respect to which a QEF election has been made. A U.S. Holder generally can make a separate election to defer the payment of taxes on undistributed income inclusions under the QEF election rules, but if deferred, any such taxes will be subject to an interest charge.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requirements of a QEF election with respect to ordinary shares, a U.S. Holder generally must receive a PFIC Annual Information Statement (as defined in Treasury Regulations Section 1.1295-1(g)) from us. If we are determined to be a PFIC for any taxable year, we will endeavor to make available to U.S. Holders a PFIC Annual Information Statement with respect to such taxable year. However, there is no assurance that we will have timely knowledge of our PFIC status in the future or that we will make available a PFIC Annual Information Statement. U.S. Holders should consult their tax advisors regarding the </w:t>
      </w:r>
    </w:p>
    <w:p>
      <w:pPr>
        <w:pStyle w:val="TextBody"/>
        <w:bidi w:val="0"/>
        <w:spacing w:before="0" w:after="0"/>
        <w:jc w:val="left"/>
        <w:rPr>
          <w:rFonts w:ascii="Times New Roman" w:hAnsi="Times New Roman"/>
          <w:sz w:val="20"/>
        </w:rPr>
      </w:pPr>
      <w:r>
        <w:rPr>
          <w:rFonts w:ascii="Times New Roman" w:hAnsi="Times New Roman"/>
          <w:sz w:val="20"/>
        </w:rPr>
        <w:t xml:space="preserve">availability and tax consequences of a QEF election with respect to ordinary shares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Related PFIC Rules </w:t>
      </w:r>
    </w:p>
    <w:p>
      <w:pPr>
        <w:pStyle w:val="TextBody"/>
        <w:bidi w:val="0"/>
        <w:spacing w:before="120" w:after="0"/>
        <w:jc w:val="left"/>
        <w:rPr>
          <w:rFonts w:ascii="Times New Roman" w:hAnsi="Times New Roman"/>
          <w:sz w:val="20"/>
        </w:rPr>
      </w:pPr>
      <w:r>
        <w:rPr>
          <w:rFonts w:ascii="Times New Roman" w:hAnsi="Times New Roman"/>
          <w:sz w:val="20"/>
        </w:rPr>
        <w:t xml:space="preserve">If we are treated as a PFIC and, at any time, have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ARE VERY COMPLEX. U.S. HOLDERS SHOULD CONSULT THEIR TAX ADVISORS REGARDING THE APPLICATION OF SUCH RULES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tax advisors regarding the information reporting requirements and the application of the backup withholding rules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394147_19"/>
      <w:bookmarkEnd w:id="21"/>
      <w:r>
        <w:rPr>
          <w:rFonts w:ascii="Times New Roman" w:hAnsi="Times New Roman"/>
          <w:b/>
          <w:sz w:val="20"/>
        </w:rPr>
        <w:t xml:space="preserve">SERVICE OF PROCESS AND ENFORCEMENT OF CIVIL LIABILITIES UNDER U.S.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are organized under the laws of Switzerland and our registered office and domicile is located in Zug, Switzerland. Moreover, a number of our directors and executive officers are not residents of the United States, and a substantial portion of the assets of such persons are located outside the U.S. As a result, it may not be possible for investors to effect service of process within the United States upon us or upon such persons or to enforce against us or them judgments obtained in United States courts, including judgments in actions predicated upon the civil liability provisions of U.S. federal securities laws. </w:t>
      </w:r>
    </w:p>
    <w:p>
      <w:pPr>
        <w:pStyle w:val="TextBody"/>
        <w:bidi w:val="0"/>
        <w:spacing w:before="240" w:after="0"/>
        <w:jc w:val="left"/>
        <w:rPr>
          <w:rFonts w:ascii="Times New Roman" w:hAnsi="Times New Roman"/>
          <w:sz w:val="20"/>
        </w:rPr>
      </w:pPr>
      <w:r>
        <w:rPr>
          <w:rFonts w:ascii="Times New Roman" w:hAnsi="Times New Roman"/>
          <w:sz w:val="20"/>
        </w:rPr>
        <w:t>We have been advised by our Swiss counsel, VISCHER AG,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of December 18, 1987, as amended (the PILA). The PILA provides that the application of provisions of non-Swiss law by the courts in Switzerland shall be precluded if the result would be incompatible with Swiss public policy (</w:t>
      </w:r>
      <w:r>
        <w:rPr>
          <w:rFonts w:ascii="Times New Roman" w:hAnsi="Times New Roman"/>
          <w:i/>
          <w:sz w:val="20"/>
        </w:rPr>
        <w:t>ordre public</w:t>
      </w:r>
      <w:r>
        <w:rPr>
          <w:rFonts w:ascii="Times New Roman" w:hAnsi="Times New Roman"/>
          <w:sz w:val="20"/>
        </w:rPr>
        <w:t xml:space="preserve">). Also, mandatory provisions of Swiss law may be applicable regardless of any other law that would otherwise apply. </w:t>
      </w:r>
    </w:p>
    <w:p>
      <w:pPr>
        <w:pStyle w:val="TextBody"/>
        <w:bidi w:val="0"/>
        <w:spacing w:before="240" w:after="0"/>
        <w:jc w:val="left"/>
        <w:rPr>
          <w:rFonts w:ascii="Times New Roman" w:hAnsi="Times New Roman"/>
          <w:sz w:val="20"/>
        </w:rPr>
      </w:pPr>
      <w:r>
        <w:rPr>
          <w:rFonts w:ascii="Times New Roman" w:hAnsi="Times New Roman"/>
          <w:sz w:val="20"/>
        </w:rPr>
        <w:t xml:space="preserve">We have appointed Oculis US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Switzerland and the United States do not, as of the date of this proxy statement/prospectus, have a treaty providing for reciprocal recognition of and enforcement of judgments in civil and commercial matters. The recognition and enforcement of a judgment of the courts of the United States in Switzerland is governed by the principles set forth in the PILA. This statute provides in principle that a judgment rendered by a non-Swiss court may be enforced in Switzerland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non-Swiss court had jurisdiction pursuant to the PILA;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judgment of such non-Swiss court has become final and non-appealable;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counterparty has been properly served with process according to the law of the state of his/her/its domicile or ordinary residence (if in Switzerland, through judicial aid granted by the Swiss authorities) or the counterparty has unconditionally joined the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the foreign judgment is not manifestly contrary to the public policy or the law in Switzerland;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proceedings leading to the judgment have respected the principles of a fair trial (as understood in Switzerland) and, in particular, that the counterparty has been granted the right to be heard and the possibility to properly defend his/her/its case;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action between the same parties and on the same subject matter has been commenced or decided first in a Swiss court and no judgment between the same parties and on the same subject matter has been first rendered by a foreign court, which judgment may be recognized in Switzerland.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rom394147_20"/>
      <w:bookmarkEnd w:id="2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and SVB Securities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ordinary shares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28"/>
        <w:gridCol w:w="285"/>
        <w:gridCol w:w="60"/>
        <w:gridCol w:w="1003"/>
        <w:gridCol w:w="63"/>
      </w:tblGrid>
      <w:tr>
        <w:trPr/>
        <w:tc>
          <w:tcPr>
            <w:tcW w:w="5528"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2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Underwriter</w:t>
            </w:r>
          </w:p>
        </w:tc>
        <w:tc>
          <w:tcPr>
            <w:tcW w:w="28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3" w:type="dxa"/>
            <w:tcBorders/>
            <w:vAlign w:val="bottom"/>
          </w:tcPr>
          <w:p>
            <w:pPr>
              <w:pStyle w:val="TableContents"/>
              <w:bidi w:val="0"/>
              <w:spacing w:before="0" w:after="283"/>
              <w:jc w:val="left"/>
              <w:rPr/>
            </w:pPr>
            <w:r>
              <w:rPr/>
              <w:t> </w:t>
            </w:r>
          </w:p>
        </w:tc>
      </w:tr>
      <w:tr>
        <w:trPr/>
        <w:tc>
          <w:tcPr>
            <w:tcW w:w="55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1,431,750</w:t>
            </w:r>
          </w:p>
        </w:tc>
        <w:tc>
          <w:tcPr>
            <w:tcW w:w="63" w:type="dxa"/>
            <w:tcBorders/>
            <w:shd w:fill="CCEEFF" w:val="clear"/>
            <w:vAlign w:val="bottom"/>
          </w:tcPr>
          <w:p>
            <w:pPr>
              <w:pStyle w:val="TableContents"/>
              <w:bidi w:val="0"/>
              <w:spacing w:before="0" w:after="283"/>
              <w:jc w:val="left"/>
              <w:rPr/>
            </w:pPr>
            <w:r>
              <w:rPr/>
              <w:t> </w:t>
            </w:r>
          </w:p>
        </w:tc>
      </w:tr>
      <w:tr>
        <w:trPr/>
        <w:tc>
          <w:tcPr>
            <w:tcW w:w="5528" w:type="dxa"/>
            <w:tcBorders/>
          </w:tcPr>
          <w:p>
            <w:pPr>
              <w:pStyle w:val="TableContents"/>
              <w:bidi w:val="0"/>
              <w:spacing w:before="0" w:after="0"/>
              <w:jc w:val="left"/>
              <w:rPr>
                <w:rFonts w:ascii="Times New Roman" w:hAnsi="Times New Roman"/>
                <w:sz w:val="20"/>
              </w:rPr>
            </w:pPr>
            <w:r>
              <w:rPr>
                <w:rFonts w:ascii="Times New Roman" w:hAnsi="Times New Roman"/>
                <w:sz w:val="20"/>
              </w:rPr>
              <w:t>SVB Securities LLC</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1,150,000</w:t>
            </w:r>
          </w:p>
        </w:tc>
        <w:tc>
          <w:tcPr>
            <w:tcW w:w="63" w:type="dxa"/>
            <w:tcBorders/>
            <w:vAlign w:val="bottom"/>
          </w:tcPr>
          <w:p>
            <w:pPr>
              <w:pStyle w:val="TableContents"/>
              <w:bidi w:val="0"/>
              <w:spacing w:before="0" w:after="283"/>
              <w:jc w:val="left"/>
              <w:rPr/>
            </w:pPr>
            <w:r>
              <w:rPr/>
              <w:t> </w:t>
            </w:r>
          </w:p>
        </w:tc>
      </w:tr>
      <w:tr>
        <w:trPr/>
        <w:tc>
          <w:tcPr>
            <w:tcW w:w="55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Wedbush Securities Inc.</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415,000</w:t>
            </w:r>
          </w:p>
        </w:tc>
        <w:tc>
          <w:tcPr>
            <w:tcW w:w="63" w:type="dxa"/>
            <w:tcBorders/>
            <w:shd w:fill="CCEEFF" w:val="clear"/>
            <w:vAlign w:val="bottom"/>
          </w:tcPr>
          <w:p>
            <w:pPr>
              <w:pStyle w:val="TableContents"/>
              <w:bidi w:val="0"/>
              <w:spacing w:before="0" w:after="283"/>
              <w:jc w:val="left"/>
              <w:rPr/>
            </w:pPr>
            <w:r>
              <w:rPr/>
              <w:t> </w:t>
            </w:r>
          </w:p>
        </w:tc>
      </w:tr>
      <w:tr>
        <w:trPr/>
        <w:tc>
          <w:tcPr>
            <w:tcW w:w="5528" w:type="dxa"/>
            <w:tcBorders/>
          </w:tcPr>
          <w:p>
            <w:pPr>
              <w:pStyle w:val="TableContents"/>
              <w:bidi w:val="0"/>
              <w:spacing w:before="0" w:after="0"/>
              <w:jc w:val="left"/>
              <w:rPr>
                <w:rFonts w:ascii="Times New Roman" w:hAnsi="Times New Roman"/>
                <w:sz w:val="20"/>
              </w:rPr>
            </w:pPr>
            <w:r>
              <w:rPr>
                <w:rFonts w:ascii="Times New Roman" w:hAnsi="Times New Roman"/>
                <w:sz w:val="20"/>
              </w:rPr>
              <w:t>Robert W. Baird &amp; Co. Incorporated</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290,050</w:t>
            </w:r>
          </w:p>
        </w:tc>
        <w:tc>
          <w:tcPr>
            <w:tcW w:w="63" w:type="dxa"/>
            <w:tcBorders/>
            <w:vAlign w:val="bottom"/>
          </w:tcPr>
          <w:p>
            <w:pPr>
              <w:pStyle w:val="TableContents"/>
              <w:bidi w:val="0"/>
              <w:spacing w:before="0" w:after="283"/>
              <w:jc w:val="left"/>
              <w:rPr/>
            </w:pPr>
            <w:r>
              <w:rPr/>
              <w:t> </w:t>
            </w:r>
          </w:p>
        </w:tc>
      </w:tr>
      <w:tr>
        <w:trPr/>
        <w:tc>
          <w:tcPr>
            <w:tcW w:w="55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 Wainwright &amp; Co., LLC</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188,200</w:t>
            </w:r>
          </w:p>
        </w:tc>
        <w:tc>
          <w:tcPr>
            <w:tcW w:w="63" w:type="dxa"/>
            <w:tcBorders/>
            <w:shd w:fill="CCEEFF" w:val="clear"/>
            <w:vAlign w:val="bottom"/>
          </w:tcPr>
          <w:p>
            <w:pPr>
              <w:pStyle w:val="TableContents"/>
              <w:bidi w:val="0"/>
              <w:spacing w:before="0" w:after="283"/>
              <w:jc w:val="left"/>
              <w:rPr/>
            </w:pPr>
            <w:r>
              <w:rPr/>
              <w:t> </w:t>
            </w:r>
          </w:p>
        </w:tc>
      </w:tr>
      <w:tr>
        <w:trPr/>
        <w:tc>
          <w:tcPr>
            <w:tcW w:w="5528" w:type="dxa"/>
            <w:tcBorders/>
          </w:tcPr>
          <w:p>
            <w:pPr>
              <w:pStyle w:val="TableContents"/>
              <w:bidi w:val="0"/>
              <w:spacing w:before="0" w:after="0"/>
              <w:jc w:val="left"/>
              <w:rPr>
                <w:rFonts w:ascii="Times New Roman" w:hAnsi="Times New Roman"/>
                <w:sz w:val="20"/>
              </w:rPr>
            </w:pPr>
            <w:r>
              <w:rPr>
                <w:rFonts w:ascii="Times New Roman" w:hAnsi="Times New Roman"/>
                <w:sz w:val="20"/>
              </w:rPr>
              <w:t>Pareto Securities Inc.</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52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3,500,000</w:t>
            </w:r>
          </w:p>
        </w:tc>
        <w:tc>
          <w:tcPr>
            <w:tcW w:w="63" w:type="dxa"/>
            <w:tcBorders/>
            <w:shd w:fill="CCEEFF" w:val="clear"/>
            <w:vAlign w:val="bottom"/>
          </w:tcPr>
          <w:p>
            <w:pPr>
              <w:pStyle w:val="TableContents"/>
              <w:bidi w:val="0"/>
              <w:spacing w:before="0" w:after="283"/>
              <w:jc w:val="left"/>
              <w:rPr/>
            </w:pPr>
            <w:r>
              <w:rPr/>
              <w:t> </w:t>
            </w:r>
          </w:p>
        </w:tc>
      </w:tr>
      <w:tr>
        <w:trPr/>
        <w:tc>
          <w:tcPr>
            <w:tcW w:w="552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to the public at the public offering price set forth on the cover page of this prospectus and to dealers at that price less a concession not in excess of $0.414 per share. After the initial offering, the public offering price, concession or any other term of the offering may be changed.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underwriting discount and proceeds before expenses to us. The information assumes either no exercise or full exercise by the underwriters of their option to purchase additional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63"/>
        <w:gridCol w:w="303"/>
        <w:gridCol w:w="209"/>
        <w:gridCol w:w="920"/>
        <w:gridCol w:w="60"/>
        <w:gridCol w:w="303"/>
        <w:gridCol w:w="189"/>
        <w:gridCol w:w="1578"/>
        <w:gridCol w:w="60"/>
        <w:gridCol w:w="303"/>
        <w:gridCol w:w="159"/>
        <w:gridCol w:w="1259"/>
        <w:gridCol w:w="66"/>
      </w:tblGrid>
      <w:tr>
        <w:trPr/>
        <w:tc>
          <w:tcPr>
            <w:tcW w:w="316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6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7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 Option</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Option</w:t>
            </w:r>
          </w:p>
        </w:tc>
        <w:tc>
          <w:tcPr>
            <w:tcW w:w="66"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03"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11.50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578" w:type="dxa"/>
            <w:tcBorders/>
            <w:shd w:fill="CCEEFF" w:val="clear"/>
            <w:vAlign w:val="bottom"/>
          </w:tcPr>
          <w:p>
            <w:pPr>
              <w:pStyle w:val="TableContents"/>
              <w:bidi w:val="0"/>
              <w:spacing w:before="0" w:after="283"/>
              <w:jc w:val="right"/>
              <w:rPr/>
            </w:pPr>
            <w:r>
              <w:rPr/>
              <w:t>40,250,000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46,287,500</w:t>
            </w:r>
          </w:p>
        </w:tc>
        <w:tc>
          <w:tcPr>
            <w:tcW w:w="66" w:type="dxa"/>
            <w:tcBorders/>
            <w:shd w:fill="CCEEFF" w:val="clear"/>
            <w:vAlign w:val="bottom"/>
          </w:tcPr>
          <w:p>
            <w:pPr>
              <w:pStyle w:val="TableContents"/>
              <w:bidi w:val="0"/>
              <w:spacing w:before="0" w:after="283"/>
              <w:jc w:val="left"/>
              <w:rPr/>
            </w:pPr>
            <w:r>
              <w:rPr/>
              <w:t> </w:t>
            </w:r>
          </w:p>
        </w:tc>
      </w:tr>
      <w:tr>
        <w:trPr/>
        <w:tc>
          <w:tcPr>
            <w:tcW w:w="3163"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03"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0.69</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578" w:type="dxa"/>
            <w:tcBorders/>
            <w:vAlign w:val="bottom"/>
          </w:tcPr>
          <w:p>
            <w:pPr>
              <w:pStyle w:val="TableContents"/>
              <w:bidi w:val="0"/>
              <w:spacing w:before="0" w:after="283"/>
              <w:jc w:val="right"/>
              <w:rPr/>
            </w:pPr>
            <w:r>
              <w:rPr/>
              <w:t>2,415,000</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2,777,250</w:t>
            </w:r>
          </w:p>
        </w:tc>
        <w:tc>
          <w:tcPr>
            <w:tcW w:w="66" w:type="dxa"/>
            <w:tcBorders/>
            <w:vAlign w:val="bottom"/>
          </w:tcPr>
          <w:p>
            <w:pPr>
              <w:pStyle w:val="TableContents"/>
              <w:bidi w:val="0"/>
              <w:spacing w:before="0" w:after="283"/>
              <w:jc w:val="left"/>
              <w:rPr/>
            </w:pPr>
            <w:r>
              <w:rPr/>
              <w:t> </w:t>
            </w:r>
          </w:p>
        </w:tc>
      </w:tr>
      <w:tr>
        <w:trPr/>
        <w:tc>
          <w:tcPr>
            <w:tcW w:w="3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03"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10.81</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578" w:type="dxa"/>
            <w:tcBorders/>
            <w:shd w:fill="CCEEFF" w:val="clear"/>
            <w:vAlign w:val="bottom"/>
          </w:tcPr>
          <w:p>
            <w:pPr>
              <w:pStyle w:val="TableContents"/>
              <w:bidi w:val="0"/>
              <w:spacing w:before="0" w:after="283"/>
              <w:jc w:val="right"/>
              <w:rPr/>
            </w:pPr>
            <w:r>
              <w:rPr/>
              <w:t>37,835,000</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43,510,250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$1.3 million and are payable by us. We have also agreed to reimburse the underwriters for certain of their expenses in an amount up to $40,000.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to purchase up to 525,000 additional shares at the public offering price, less the underwriting discount.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exercise this option, each will be obligated, subject to conditions contained in the underwriting agreement, to purchase a number of additional shares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that we will not (i) directly or indirectly, offer, pledge, sell, contract to sell, sell any option or contract to purchase, purchase any option or contract to sell, grant any option, right or warrant to purchase or otherwise transfer or dispose of any ordinary shares or any securities convertible into or exercisable or exchangeable for ordinary shares or file or confidentially submit any registration statement under the Securities Act with respect to any of the foregoing or (ii) enter into any swap or any other agreement or any transaction that transfers, in whole or in part, directly or indirectly, the economic consequence of ownership of the ordinary shares, whether any such swap or transaction described in clause (i) or (ii) above is to be settled by delivery of ordinary shares or other securities, in cash or otherwise, in each case without the prior written consent of BofA Securities, Inc. and SVB Securities LLC for a period of 90 days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transfers or other dispositions by use described above do not apply to: </w:t>
      </w:r>
    </w:p>
    <w:p>
      <w:pPr>
        <w:pStyle w:val="TextBody"/>
        <w:bidi w:val="0"/>
        <w:spacing w:before="120" w:after="0"/>
        <w:jc w:val="left"/>
        <w:rPr>
          <w:rFonts w:ascii="Times New Roman" w:hAnsi="Times New Roman"/>
          <w:sz w:val="20"/>
        </w:rPr>
      </w:pPr>
      <w:r>
        <w:rPr>
          <w:rFonts w:ascii="Times New Roman" w:hAnsi="Times New Roman"/>
          <w:sz w:val="20"/>
        </w:rPr>
        <w:t xml:space="preserve">(A) the ordinary shares to be sold in this offering, (B) any ordinary shares issued by us upon the exercise of an option or warrant or the conversion of a security issued or outstanding on the date of this prospectus and described in this prospectus, (C) any ordinary shares issued, options to purchase ordinary shares, restricted stock units, restricted stock awards or SARs granted pursuant to existing employee benefit plans or equity incentive plans described in this prospectus, (D) any ordinary shares issued pursuant to any non-employee director stock plan or dividend reinvestment plan described in this prospectus, (E) the filing by us of a registration statement with the SEC on Form S-8 in respect of any shares of other security instruments issued pursuant to any plans or programs described in (C) or (D) above or (F) the issuance of up to 5% of the outstanding ordinary shares in connection with the acquisition of the assets of, or a majority or controlling portion of the equity of, or a joint venture with another entity in connection with its acquisition by us of such entity.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and certain security holders have agreed that they will not, prior written consent of BofA Securities, Inc. and SVB Securities LLC for a period of 90 days after the date of this prospectus (the Lock-Up Period) (i) directly or indirectly, offer, pledge, sell, contract to sell, sell any option or contract to purchase, purchase any option or contract to sell, grant any option, right or warrant to purchase or otherwise transfer or dispose of any of the our ordinary shares or any securities convertible into or exercisable or exchangeable for ordinary shares, whether now owned or hereafter acquired by the securityholder or with respect to which the securityholder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(other than a post-effective amendment to a registration statement that was effective prior to the date hereof), or (ii) enter into any swap or any other agreement or any transaction that transfers, in whole or in part, directly or indirectly, the economic consequence of ownership of the Lock-Up Securities, whether any such swap or transaction is to be settled by delivery of ordinary shares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in the immediately preceding paragraph does not apply with respect to the below, provided that (1) with respect to clauses (a) through (g) and (j) through (m), BofA Securities, Inc. and SVB Securities LLC receive a signed lock-up agreement for the balance of the Lock-Up Period from each donee, trustee, distributee, or transferee, as the case may be, (2) with respect to clauses (a) through (f) and (j), any such transfer shall not involve a disposition for value, (3) with respect to clauses (a) through (g) and (j) through (l), such transfers are not required to be reported with the SEC on Form 4 in accordance with Section 16 of the Exchange Act, and (4) with respect to clauses (a) through (g) and (j) through (l), the lock-up signatory does not otherwise voluntarily effect any public filing or report regarding such transfers: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as a bona fide gift or gifts;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any trust for the direct or indirect benefit of the executive officers, directors and certain securityholders or the immediate family of the executive officers, directors and certain securityholders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(immediate family shall mean any relationship by blood, marriage or adoption, not more remote than first cousin);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securityholder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executive officers, directors and certain securityholders or (ii) distributions to partners, limited liability company members or shareholders of the executive officers, directors and certain securityholders;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ordinary shares held by or subject to any trust or foundation, transfers to the trustees of such trust or foundation and any entity controlled by such trust or foundation, or any other trust or foundation established for the benefit of such trust or foundation;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by will or intestate succession upon the death of the executive officers, directors and certain securityholders, including transfers to the executors, administrators or any other similar personal representatives of the executive officers, directors and certain securityholders in accordance with the will of the executive officers, directors and certain securityholders or the applicable laws or otherwise as directed by the order of any relevant courts or tribunals of competent jurisdiction;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qualified domestic order or in connection with a divorce settlement;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our officers, directors or their respective affiliates;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pursuant to a bona fide third-party tender offer, merger, stock sale, recapitalization, consolidation or other transaction involving a change in control of us, provided that in the event that such tender offer, merger, recapitalization, consolidation or other such transaction is not completed, the ordinary shares subject to the lock-up agreement shall remain subject to the lock-up agreement (for purposes hereof, change in control shall mean the transfer (whether by tender offer, merger, consolidation or other similar transaction), in one transaction or a series of related transactions, to a person or group of affiliated persons, of our shares of capital stock if, after such transfer, such person or group of affiliated persons would hold more than 50% of our outstanding voting securities (or the surviving entity));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establishment of a trading plan pursuant to Rule 10b5-1 promulgated under the Exchange Act, provided that such plan does not provide for the transfer of ordinary shares or any securities convertible into or exercisable or exchangeable for ordinary shares during the Lock-Up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any affiliate of the executive officers, directors and certain securityholders;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to us in the case of a repurchase of ordinary shares by us at a price no greater than that originally paid by the executive officers, directors and certain securityholders for such ordinary shares and pursuant to an agreement containing vesting and/or repurchase provisions approved by our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owner of any direct or indirect interest in the executive officers, directors and certain securityholders (the Principal Owner), transfers to any of that Principal Owners Family Members, or any entity controlled by such Principal Owner or any such Family Members, or any trust or foundation established for the benefit of such Principal Owner or any such Family Members, and transfers among the Principal Owners by one to another. For purposes of this clause, Family Member shall mean any child, parent, sibling, spouse or other first or second degree family member of the executive officers, directors and certain securityholders who is a natural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(m)</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the securityholder is an investment entity, any transfers in connection with or for the purpose of any transfer or sale of equity securities in other portfolio companies to one or more purchasers that are professional investment entities for the purpose of winding up or restructuring some or all of the executive officers, directors and certain securityholders investment portfolio (whether in a particular industry sector or segment or as part of liquidating its legacy positions);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transfers or surrenders to us as forfeitures to satisfy tax withholding and remittance obligations of the executive officers, directors and certain securityholders in connection with the vesting or exercise of equity awards granted pursuant to our equity incentive plans or pursuant to a net exercise or cashless exercise by the shareholder of outstanding equity awards pursuant to our equity incentive plans; provided, however, that (A) any filing under Section 16 of the Exchange Act made during the Lock-Up Period shall clearly indicate in the footnotes thereto that (1) the filing relates to the circumstances described above and (2) no Lock-Up Securities were sold by the executive officers, directors and certain securityholders, other than such transfers to us as described and (B) the executive officers, directors and certain securityholders do not otherwise voluntarily effect any other public filings or report regarding such transfer or surrender during the Lock-Up Period;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of any rights to purchase, exchange or convert any stock options granted to the executive officers, directors and certain securityholders pursuant to our equity incentive plans referred to in this prospectus, or exercise any warrants or other securities convertible into or exercisable or exchangeable for ordinary shares, which warrants or other securities are described in this prospectus; provided, that (A) any ordinary shares issued upon exercise, conversion or exchange of such option, warrant or other security shall continue to be subject to the restrictions set forth herein until the expiration of the Lock-Up Period and (B) any filing under Section 16 of the Exchange Act shall clearly indicate in the footnotes thereto that the ordinary shares received from such purchase, exchange or conversion remain subject to the restrictions on transfer set forth in the lock-up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we and these other persons may sell our ordinary shares purchased by the executive officers, directors and certain securityholders on the open market following this offering if and only if (i) such sales are not required to be reported in any public report or filing with the SEC, or otherwise and (ii) the executive officers, directors and certain securityholders do not otherwise voluntarily effect any public filing or report regarding such sales. </w:t>
      </w:r>
    </w:p>
    <w:p>
      <w:pPr>
        <w:pStyle w:val="TextBody"/>
        <w:bidi w:val="0"/>
        <w:spacing w:before="240" w:after="0"/>
        <w:jc w:val="left"/>
        <w:rPr>
          <w:rFonts w:ascii="Times New Roman" w:hAnsi="Times New Roman"/>
          <w:sz w:val="20"/>
        </w:rPr>
      </w:pPr>
      <w:r>
        <w:rPr>
          <w:rFonts w:ascii="Times New Roman" w:hAnsi="Times New Roman"/>
          <w:sz w:val="20"/>
        </w:rPr>
        <w:t xml:space="preserve">We and these other persons also agree and consent to the entry of stop transfer instructions with our transfer agent and registrar against the transfer of the Lock-Up Securities except in compliance with the foregoing restrictions.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The shares are listed on the Nasdaq Global Market under the symbol OCS.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ordinary shares. However, the representatives may engage in transactions that stabilize the price of the ordinary shares,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ordinary shares in the open market after pricing that could adversely affect investors who purchase in the offering. Stabilizing transactions consist of various bids for or purchases of shares of ordinary shares made by the underwriters in the open market prior to the completion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ordinary shares.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Passive Market Making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underwriters and selling group members may engage in passive market making transactions in the ordinary shares on the Nasdaq Global Market in accordance with Rule 103 of Regulation M under the Exchange Act during a period before the commencement of offers or sales of ordinary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ordinary shares to be higher than the price that otherwise would exist in the open market in the absence of those transactions. The underwriters and dealers are not required to engage in passive market making and may end passive market making activities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Stamp Taxes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ordinary shares offered in this prospectus, you may be required to pay stamp taxes and other charges under the laws and practices of the country of purchase, in addition to the offering price listed on the cover page of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securities shall require the Company or any underwriter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State who initially acquires any securities or to whom any offer is made will be deemed to have represented, acknowledged and agreed to and with the Company and the underwriters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representatives and their respective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The above selling restriction is in addition to any other selling restrictions set out below.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(UK), no securities have been offered or will be offered pursuant to the offering to the public in the UK prior to the publication of a prospectus in relation to the securities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in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the Company or any underwriter to publish a prospectus pursuant to Section 85 of the FSMA or Article 3 of the UK Prospectus Regulation or supplement a prospectus pursuant to Article 23 of the UK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person in the UK who initially acquires any securities or to whom any offer is made will be deemed to have represented, acknowledged and agreed to and with the Company and the underwriters that it is a qualified investor within the meaning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securities being offered to a financial intermediary as that term is used in Article 5(1) of the UK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representatives and their respective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securities in the UK means the communication in any form and by any means of sufficient information on the terms of the offer and any securities to be offered so as to enable an investor to decide to purchase or subscribe for any security, the expression UK Prospectus Regulation means Regulation (EU) 2017/1129 as it forms part of domestic law by virtue of the European Union (Withdrawal) Act 2018, and the expression FSMA means the Financial Services and Markets Act 2000.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or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securities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rom394147_21"/>
      <w:bookmarkEnd w:id="23"/>
      <w:r>
        <w:rPr>
          <w:rFonts w:ascii="Times New Roman" w:hAnsi="Times New Roman"/>
          <w:b/>
          <w:sz w:val="20"/>
        </w:rPr>
        <w:t xml:space="preserve">EXPENSES RELATED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costs and expenses payable in connection with the sale of ordinary shares in this offering. All amounts are estimated except the SEC registration fee and the Financial Industry Regulatory Authority, Inc., or FINRA, filing fee. Except as otherwise noted, all the expenses below will be paid by 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36"/>
        <w:gridCol w:w="284"/>
        <w:gridCol w:w="60"/>
        <w:gridCol w:w="997"/>
        <w:gridCol w:w="62"/>
      </w:tblGrid>
      <w:tr>
        <w:trPr/>
        <w:tc>
          <w:tcPr>
            <w:tcW w:w="5536"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36" w:type="dxa"/>
            <w:tcBorders/>
            <w:vAlign w:val="bottom"/>
          </w:tcPr>
          <w:p>
            <w:pPr>
              <w:pStyle w:val="TableContents"/>
              <w:bidi w:val="0"/>
              <w:spacing w:before="0" w:after="283"/>
              <w:jc w:val="left"/>
              <w:rPr>
                <w:b/>
              </w:rPr>
            </w:pPr>
            <w:r>
              <w:rPr>
                <w:b/>
              </w:rPr>
              <w:t>Expense</w:t>
            </w:r>
          </w:p>
        </w:tc>
        <w:tc>
          <w:tcPr>
            <w:tcW w:w="284"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7,604</w:t>
            </w:r>
          </w:p>
        </w:tc>
        <w:tc>
          <w:tcPr>
            <w:tcW w:w="62" w:type="dxa"/>
            <w:tcBorders/>
            <w:shd w:fill="CCEEFF" w:val="clear"/>
            <w:vAlign w:val="bottom"/>
          </w:tcPr>
          <w:p>
            <w:pPr>
              <w:pStyle w:val="TableContents"/>
              <w:bidi w:val="0"/>
              <w:spacing w:before="0" w:after="283"/>
              <w:jc w:val="left"/>
              <w:rPr/>
            </w:pPr>
            <w:r>
              <w:rPr/>
              <w:t> </w:t>
            </w:r>
          </w:p>
        </w:tc>
      </w:tr>
      <w:tr>
        <w:trPr/>
        <w:tc>
          <w:tcPr>
            <w:tcW w:w="5536"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10,850</w:t>
            </w:r>
          </w:p>
        </w:tc>
        <w:tc>
          <w:tcPr>
            <w:tcW w:w="62" w:type="dxa"/>
            <w:tcBorders/>
            <w:vAlign w:val="bottom"/>
          </w:tcPr>
          <w:p>
            <w:pPr>
              <w:pStyle w:val="TableContents"/>
              <w:bidi w:val="0"/>
              <w:spacing w:before="0" w:after="283"/>
              <w:jc w:val="left"/>
              <w:rPr/>
            </w:pPr>
            <w:r>
              <w:rPr/>
              <w:t> </w:t>
            </w:r>
          </w:p>
        </w:tc>
      </w:tr>
      <w:tr>
        <w:trPr/>
        <w:tc>
          <w:tcPr>
            <w:tcW w:w="55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575,000</w:t>
            </w:r>
          </w:p>
        </w:tc>
        <w:tc>
          <w:tcPr>
            <w:tcW w:w="62" w:type="dxa"/>
            <w:tcBorders/>
            <w:shd w:fill="CCEEFF" w:val="clear"/>
            <w:vAlign w:val="bottom"/>
          </w:tcPr>
          <w:p>
            <w:pPr>
              <w:pStyle w:val="TableContents"/>
              <w:bidi w:val="0"/>
              <w:spacing w:before="0" w:after="283"/>
              <w:jc w:val="left"/>
              <w:rPr/>
            </w:pPr>
            <w:r>
              <w:rPr/>
              <w:t> </w:t>
            </w:r>
          </w:p>
        </w:tc>
      </w:tr>
      <w:tr>
        <w:trPr/>
        <w:tc>
          <w:tcPr>
            <w:tcW w:w="5536"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140,000</w:t>
            </w:r>
          </w:p>
        </w:tc>
        <w:tc>
          <w:tcPr>
            <w:tcW w:w="62" w:type="dxa"/>
            <w:tcBorders/>
            <w:vAlign w:val="bottom"/>
          </w:tcPr>
          <w:p>
            <w:pPr>
              <w:pStyle w:val="TableContents"/>
              <w:bidi w:val="0"/>
              <w:spacing w:before="0" w:after="283"/>
              <w:jc w:val="left"/>
              <w:rPr/>
            </w:pPr>
            <w:r>
              <w:rPr/>
              <w:t> </w:t>
            </w:r>
          </w:p>
        </w:tc>
      </w:tr>
      <w:tr>
        <w:trPr/>
        <w:tc>
          <w:tcPr>
            <w:tcW w:w="55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90,000</w:t>
            </w:r>
          </w:p>
        </w:tc>
        <w:tc>
          <w:tcPr>
            <w:tcW w:w="62" w:type="dxa"/>
            <w:tcBorders/>
            <w:shd w:fill="CCEEFF" w:val="clear"/>
            <w:vAlign w:val="bottom"/>
          </w:tcPr>
          <w:p>
            <w:pPr>
              <w:pStyle w:val="TableContents"/>
              <w:bidi w:val="0"/>
              <w:spacing w:before="0" w:after="283"/>
              <w:jc w:val="left"/>
              <w:rPr/>
            </w:pPr>
            <w:r>
              <w:rPr/>
              <w:t> </w:t>
            </w:r>
          </w:p>
        </w:tc>
      </w:tr>
      <w:tr>
        <w:trPr/>
        <w:tc>
          <w:tcPr>
            <w:tcW w:w="5536" w:type="dxa"/>
            <w:tcBorders/>
          </w:tcPr>
          <w:p>
            <w:pPr>
              <w:pStyle w:val="TableContents"/>
              <w:bidi w:val="0"/>
              <w:spacing w:before="0" w:after="0"/>
              <w:jc w:val="left"/>
              <w:rPr>
                <w:rFonts w:ascii="Times New Roman" w:hAnsi="Times New Roman"/>
                <w:sz w:val="20"/>
              </w:rPr>
            </w:pPr>
            <w:r>
              <w:rPr>
                <w:rFonts w:ascii="Times New Roman" w:hAnsi="Times New Roman"/>
                <w:sz w:val="20"/>
              </w:rPr>
              <w:t>Issuance stamp duty</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402,500</w:t>
            </w:r>
          </w:p>
        </w:tc>
        <w:tc>
          <w:tcPr>
            <w:tcW w:w="62" w:type="dxa"/>
            <w:tcBorders/>
            <w:vAlign w:val="bottom"/>
          </w:tcPr>
          <w:p>
            <w:pPr>
              <w:pStyle w:val="TableContents"/>
              <w:bidi w:val="0"/>
              <w:spacing w:before="0" w:after="283"/>
              <w:jc w:val="left"/>
              <w:rPr/>
            </w:pPr>
            <w:r>
              <w:rPr/>
              <w:t> </w:t>
            </w:r>
          </w:p>
        </w:tc>
      </w:tr>
      <w:tr>
        <w:trPr/>
        <w:tc>
          <w:tcPr>
            <w:tcW w:w="55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49,375</w:t>
            </w:r>
          </w:p>
        </w:tc>
        <w:tc>
          <w:tcPr>
            <w:tcW w:w="62" w:type="dxa"/>
            <w:tcBorders/>
            <w:shd w:fill="CCEEFF" w:val="clear"/>
            <w:vAlign w:val="bottom"/>
          </w:tcPr>
          <w:p>
            <w:pPr>
              <w:pStyle w:val="TableContents"/>
              <w:bidi w:val="0"/>
              <w:spacing w:before="0" w:after="283"/>
              <w:jc w:val="left"/>
              <w:rPr/>
            </w:pPr>
            <w:r>
              <w:rPr/>
              <w:t> </w:t>
            </w:r>
          </w:p>
        </w:tc>
      </w:tr>
      <w:tr>
        <w:trPr/>
        <w:tc>
          <w:tcPr>
            <w:tcW w:w="5536"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3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1,275,329</w:t>
            </w:r>
          </w:p>
        </w:tc>
        <w:tc>
          <w:tcPr>
            <w:tcW w:w="62" w:type="dxa"/>
            <w:tcBorders/>
            <w:vAlign w:val="bottom"/>
          </w:tcPr>
          <w:p>
            <w:pPr>
              <w:pStyle w:val="TableContents"/>
              <w:bidi w:val="0"/>
              <w:spacing w:before="0" w:after="283"/>
              <w:jc w:val="left"/>
              <w:rPr/>
            </w:pPr>
            <w:r>
              <w:rPr/>
              <w:t> </w:t>
            </w:r>
          </w:p>
        </w:tc>
      </w:tr>
      <w:tr>
        <w:trPr/>
        <w:tc>
          <w:tcPr>
            <w:tcW w:w="5536"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24" w:name="rom394147_22"/>
      <w:bookmarkEnd w:id="2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Reston, Virginia, is representing us in connection with this offering. The validity of the ordinary shares and certain other matters of Swiss law will be passed upon for us by VISCHER AG, Zurich, Switzerland. Legal counsel to the underwriters in connection with this offering are Davis Polk &amp; Wardwell LLP, New York, New York. </w:t>
      </w:r>
    </w:p>
    <w:p>
      <w:pPr>
        <w:pStyle w:val="TextBody"/>
        <w:bidi w:val="0"/>
        <w:spacing w:before="480" w:after="0"/>
        <w:jc w:val="center"/>
        <w:rPr>
          <w:rFonts w:ascii="Times New Roman" w:hAnsi="Times New Roman"/>
          <w:b/>
          <w:sz w:val="20"/>
        </w:rPr>
      </w:pPr>
      <w:bookmarkStart w:id="25" w:name="rom394147_23"/>
      <w:bookmarkEnd w:id="2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Oculis SA as of December 31, 2022 and 2021 and for each of the three years in the period ended December 31, 2022 included in this prospectus have been so included in reliance on the report of PricewaterhouseCoopers SA, an independent registered public accounting firm, given on the authority of said firm as experts in auditing and accounting. PricewaterhouseCoopers SA is a member of EXPERTsuisseSwiss Expert Association for Audit, Tax and Fiduciary.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EBAC as of December 31, 2021 and 2022, for the year ended December 31, 2022 and for the period from January 8, 2021 (inception) through December 31, 2021 included in this prospectus have been audited by Marcum LLP (PCAOB ID: 688), an independent registered public accounting firm, as stated in their report, which includes an explanatory paragraph as to EBACs ability to continue as a going concern. Such financial statements are included in this prospectus in reliance upon the report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rom394147_24"/>
      <w:bookmarkEnd w:id="2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(including amendments and exhibits to the registration statement) on Form F-1 under the Securities Act with respect to ordinary shares offered in this prospectus. This prospectus, which constitutes a part of the registration statement, does not contain all of the information set forth in the registration statement or the exhibits and schedules filed therewith. For further information with respect to us and our securities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an Internet website at </w:t>
      </w:r>
      <w:r>
        <w:rPr>
          <w:rFonts w:ascii="Times New Roman" w:hAnsi="Times New Roman"/>
          <w:i/>
          <w:sz w:val="20"/>
        </w:rPr>
        <w:t>www.oculis.com</w:t>
      </w:r>
      <w:r>
        <w:rPr>
          <w:rFonts w:ascii="Times New Roman" w:hAnsi="Times New Roman"/>
          <w:sz w:val="20"/>
        </w:rPr>
        <w:t xml:space="preserve">.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OCULIS SA </w:t>
      </w:r>
    </w:p>
    <w:p>
      <w:pPr>
        <w:pStyle w:val="TextBody"/>
        <w:bidi w:val="0"/>
        <w:spacing w:before="120" w:after="0"/>
        <w:jc w:val="center"/>
        <w:rPr>
          <w:rFonts w:ascii="Times New Roman" w:hAnsi="Times New Roman"/>
          <w:b/>
          <w:sz w:val="20"/>
        </w:rPr>
      </w:pPr>
      <w:bookmarkStart w:id="27" w:name="rom394147_25"/>
      <w:bookmarkEnd w:id="27"/>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6"/>
        <w:gridCol w:w="144"/>
        <w:gridCol w:w="60"/>
        <w:gridCol w:w="482"/>
        <w:gridCol w:w="63"/>
      </w:tblGrid>
      <w:tr>
        <w:trPr/>
        <w:tc>
          <w:tcPr>
            <w:tcW w:w="9456"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56"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rFonts w:ascii="Times New Roman" w:hAnsi="Times New Roman"/>
                <w:b/>
                <w:sz w:val="20"/>
              </w:rPr>
            </w:pPr>
            <w:r>
              <w:rPr>
                <w:rFonts w:ascii="Times New Roman" w:hAnsi="Times New Roman"/>
                <w:b/>
                <w:sz w:val="20"/>
              </w:rPr>
              <w:t>OCULIS SA</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56"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56" w:type="dxa"/>
            <w:tcBorders/>
          </w:tcPr>
          <w:p>
            <w:pPr>
              <w:pStyle w:val="TableContents"/>
              <w:bidi w:val="0"/>
              <w:spacing w:before="0" w:after="0"/>
              <w:jc w:val="left"/>
              <w:rPr/>
            </w:pPr>
            <w:hyperlink w:anchor="fin394147_1">
              <w:r>
                <w:rPr>
                  <w:rStyle w:val="InternetLink"/>
                  <w:rFonts w:ascii="Times New Roman" w:hAnsi="Times New Roman"/>
                  <w:sz w:val="20"/>
                </w:rPr>
                <w:t xml:space="preserve">Report of Independent Registered Public Accounting Firm </w:t>
              </w:r>
            </w:hyperlink>
            <w:hyperlink w:anchor="fin394147_1">
              <w:r>
                <w:rPr>
                  <w:rStyle w:val="InternetLink"/>
                  <w:rFonts w:ascii="Times New Roman" w:hAnsi="Times New Roman"/>
                  <w:b/>
                  <w:sz w:val="20"/>
                </w:rPr>
                <w:t xml:space="preserve">(PCAOB ID 1358) </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F-2</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
              <w:r>
                <w:rPr>
                  <w:rStyle w:val="InternetLink"/>
                  <w:rFonts w:ascii="Times New Roman" w:hAnsi="Times New Roman"/>
                  <w:sz w:val="20"/>
                </w:rPr>
                <w:t xml:space="preserve">Consolidated Statements of Loss for the years ended December 31, 2022, 2021 and 2020 </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F-3</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3">
              <w:r>
                <w:rPr>
                  <w:rStyle w:val="InternetLink"/>
                  <w:rFonts w:ascii="Times New Roman" w:hAnsi="Times New Roman"/>
                  <w:sz w:val="20"/>
                </w:rPr>
                <w:t>Consolidated Statements of Comprehensive Loss for the years ended December 31, 2022, 2021 and 2020</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F-4</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4">
              <w:r>
                <w:rPr>
                  <w:rStyle w:val="InternetLink"/>
                  <w:rFonts w:ascii="Times New Roman" w:hAnsi="Times New Roman"/>
                  <w:sz w:val="20"/>
                </w:rPr>
                <w:t xml:space="preserve">Consolidated Statements of Financial Position as of December 31, 2022 and 2021 </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F-5</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5">
              <w:r>
                <w:rPr>
                  <w:rStyle w:val="InternetLink"/>
                  <w:rFonts w:ascii="Times New Roman" w:hAnsi="Times New Roman"/>
                  <w:sz w:val="20"/>
                </w:rPr>
                <w:t>Consolidated Statements of Changes in Equity for the years ended December 31, 2022, 2021 and 2020</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F-6</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6">
              <w:r>
                <w:rPr>
                  <w:rStyle w:val="InternetLink"/>
                  <w:rFonts w:ascii="Times New Roman" w:hAnsi="Times New Roman"/>
                  <w:sz w:val="20"/>
                </w:rPr>
                <w:t>Consolidated Statements of Cash Flows for the years ended December 31, 2022, 2021 and 2020</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F-7</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7">
              <w:r>
                <w:rPr>
                  <w:rStyle w:val="InternetLink"/>
                  <w:rFonts w:ascii="Times New Roman" w:hAnsi="Times New Roman"/>
                  <w:sz w:val="20"/>
                </w:rPr>
                <w:t>Notes to the Consolidated Financial Statements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F-8</w:t>
            </w:r>
          </w:p>
        </w:tc>
        <w:tc>
          <w:tcPr>
            <w:tcW w:w="63" w:type="dxa"/>
            <w:tcBorders/>
            <w:vAlign w:val="bottom"/>
          </w:tcPr>
          <w:p>
            <w:pPr>
              <w:pStyle w:val="TableContents"/>
              <w:bidi w:val="0"/>
              <w:spacing w:before="0" w:after="283"/>
              <w:jc w:val="left"/>
              <w:rPr/>
            </w:pPr>
            <w:r>
              <w:rPr/>
              <w:t> </w:t>
            </w:r>
          </w:p>
        </w:tc>
      </w:tr>
      <w:tr>
        <w:trPr>
          <w:trHeight w:val="120" w:hRule="atLeast"/>
        </w:trPr>
        <w:tc>
          <w:tcPr>
            <w:tcW w:w="9456" w:type="dxa"/>
            <w:tcBorders/>
            <w:vAlign w:val="center"/>
          </w:tcPr>
          <w:p>
            <w:pPr>
              <w:pStyle w:val="TableContents"/>
              <w:bidi w:val="0"/>
              <w:spacing w:before="0" w:after="283"/>
              <w:jc w:val="left"/>
              <w:rPr>
                <w:sz w:val="4"/>
                <w:szCs w:val="4"/>
              </w:rPr>
            </w:pPr>
            <w:r>
              <w:rPr>
                <w:sz w:val="4"/>
                <w:szCs w:val="4"/>
              </w:rPr>
            </w:r>
          </w:p>
        </w:tc>
        <w:tc>
          <w:tcPr>
            <w:tcW w:w="749" w:type="dxa"/>
            <w:gridSpan w:val="4"/>
            <w:tcBorders/>
            <w:vAlign w:val="center"/>
          </w:tcPr>
          <w:p>
            <w:pPr>
              <w:pStyle w:val="TableContents"/>
              <w:bidi w:val="0"/>
              <w:spacing w:before="0" w:after="283"/>
              <w:jc w:val="left"/>
              <w:rPr>
                <w:sz w:val="4"/>
                <w:szCs w:val="4"/>
              </w:rPr>
            </w:pPr>
            <w:r>
              <w:rPr>
                <w:sz w:val="4"/>
                <w:szCs w:val="4"/>
              </w:rPr>
            </w:r>
          </w:p>
        </w:tc>
      </w:tr>
      <w:tr>
        <w:trPr/>
        <w:tc>
          <w:tcPr>
            <w:tcW w:w="9456" w:type="dxa"/>
            <w:tcBorders/>
          </w:tcPr>
          <w:p>
            <w:pPr>
              <w:pStyle w:val="TableContents"/>
              <w:bidi w:val="0"/>
              <w:spacing w:before="0" w:after="0"/>
              <w:jc w:val="left"/>
              <w:rPr>
                <w:rFonts w:ascii="Times New Roman" w:hAnsi="Times New Roman"/>
                <w:b/>
                <w:sz w:val="20"/>
              </w:rPr>
            </w:pPr>
            <w:r>
              <w:rPr>
                <w:rFonts w:ascii="Times New Roman" w:hAnsi="Times New Roman"/>
                <w:b/>
                <w:sz w:val="20"/>
              </w:rPr>
              <w:t>EUROPEAN BIOTECH ACQUISITION CORP.</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56"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56" w:type="dxa"/>
            <w:tcBorders/>
          </w:tcPr>
          <w:p>
            <w:pPr>
              <w:pStyle w:val="TableContents"/>
              <w:bidi w:val="0"/>
              <w:spacing w:before="0" w:after="0"/>
              <w:jc w:val="left"/>
              <w:rPr/>
            </w:pPr>
            <w:hyperlink w:anchor="fin394147_201">
              <w:r>
                <w:rPr>
                  <w:rStyle w:val="InternetLink"/>
                  <w:rFonts w:ascii="Times New Roman" w:hAnsi="Times New Roman"/>
                  <w:sz w:val="20"/>
                </w:rPr>
                <w:t>Report of Independent Registered Public Accounting Firm (PCAOB ID 688)</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F-38</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02">
              <w:r>
                <w:rPr>
                  <w:rStyle w:val="InternetLink"/>
                  <w:rFonts w:ascii="Times New Roman" w:hAnsi="Times New Roman"/>
                  <w:sz w:val="20"/>
                </w:rPr>
                <w:t xml:space="preserve">Consolidated Balance Sheets as of December 31, 2022 and 2021 </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F-39</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03">
              <w:r>
                <w:rPr>
                  <w:rStyle w:val="InternetLink"/>
                  <w:rFonts w:ascii="Times New Roman" w:hAnsi="Times New Roman"/>
                  <w:sz w:val="20"/>
                </w:rPr>
                <w:t>Consolidated Statements of Operations for the year ended December 31, 2022 and for the period from January 8, 2021 (Inception) through December 31, 2021</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F-40</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04">
              <w:r>
                <w:rPr>
                  <w:rStyle w:val="InternetLink"/>
                  <w:rFonts w:ascii="Times New Roman" w:hAnsi="Times New Roman"/>
                  <w:sz w:val="20"/>
                </w:rPr>
                <w:t>Consolidated Statements of Changes in Shareholders Deficit for the year ended December 31, 2022 and for the period from January 8, 2021 (Inception) through December 31, 2021</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F-41</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05">
              <w:r>
                <w:rPr>
                  <w:rStyle w:val="InternetLink"/>
                  <w:rFonts w:ascii="Times New Roman" w:hAnsi="Times New Roman"/>
                  <w:sz w:val="20"/>
                </w:rPr>
                <w:t>Consolidated Statements of Cash Flows for the year ended December 31, 2022 and for the period from January 8, 2021 (Inception) through December 31, 2021</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F-42</w:t>
            </w:r>
          </w:p>
        </w:tc>
        <w:tc>
          <w:tcPr>
            <w:tcW w:w="63" w:type="dxa"/>
            <w:tcBorders/>
            <w:vAlign w:val="bottom"/>
          </w:tcPr>
          <w:p>
            <w:pPr>
              <w:pStyle w:val="TableContents"/>
              <w:bidi w:val="0"/>
              <w:spacing w:before="0" w:after="283"/>
              <w:jc w:val="left"/>
              <w:rPr/>
            </w:pPr>
            <w:r>
              <w:rPr/>
              <w:t> </w:t>
            </w:r>
          </w:p>
        </w:tc>
      </w:tr>
      <w:tr>
        <w:trPr/>
        <w:tc>
          <w:tcPr>
            <w:tcW w:w="9456" w:type="dxa"/>
            <w:tcBorders/>
          </w:tcPr>
          <w:p>
            <w:pPr>
              <w:pStyle w:val="TableContents"/>
              <w:bidi w:val="0"/>
              <w:spacing w:before="0" w:after="0"/>
              <w:jc w:val="left"/>
              <w:rPr/>
            </w:pPr>
            <w:hyperlink w:anchor="fin394147_206">
              <w:r>
                <w:rPr>
                  <w:rStyle w:val="InternetLink"/>
                  <w:rFonts w:ascii="Times New Roman" w:hAnsi="Times New Roman"/>
                  <w:sz w:val="20"/>
                </w:rPr>
                <w:t>Notes to Consolidated Financial Statements</w:t>
              </w:r>
            </w:hyperlink>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F-43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fin394147_1"/>
      <w:bookmarkEnd w:id="28"/>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Board of Directors and Shareholders of Oculis Holding AG </w:t>
      </w:r>
    </w:p>
    <w:p>
      <w:pPr>
        <w:pStyle w:val="TextBody"/>
        <w:bidi w:val="0"/>
        <w:spacing w:before="240" w:after="0"/>
        <w:jc w:val="left"/>
        <w:rPr>
          <w:rFonts w:ascii="Times New Roman" w:hAnsi="Times New Roman"/>
          <w:b/>
          <w:i/>
          <w:sz w:val="20"/>
        </w:rPr>
      </w:pPr>
      <w:r>
        <w:rPr>
          <w:rFonts w:ascii="Times New Roman" w:hAnsi="Times New Roman"/>
          <w:b/>
          <w:i/>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statements of financial position of Oculis SA and its subsidiaries (the Company) as of December 31, 2022 and 2021, and the related consolidated statements of loss, comprehensive loss, changes in equity and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the International Financial Reporting Standards as issued by the International Accounting Standards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SA</w:t>
            </w:r>
          </w:p>
        </w:tc>
      </w:tr>
      <w:tr>
        <w:trPr/>
        <w:tc>
          <w:tcPr>
            <w:tcW w:w="4082" w:type="dxa"/>
            <w:tcBorders/>
          </w:tcPr>
          <w:p>
            <w:pPr>
              <w:pStyle w:val="TableContents"/>
              <w:bidi w:val="0"/>
              <w:spacing w:before="0" w:after="283"/>
              <w:jc w:val="left"/>
              <w:rPr/>
            </w:pPr>
            <w:r>
              <w:rPr/>
              <w:t>Lausanne, Switzerland</w:t>
            </w:r>
          </w:p>
        </w:tc>
      </w:tr>
      <w:tr>
        <w:trPr/>
        <w:tc>
          <w:tcPr>
            <w:tcW w:w="4082" w:type="dxa"/>
            <w:tcBorders/>
          </w:tcPr>
          <w:p>
            <w:pPr>
              <w:pStyle w:val="TableContents"/>
              <w:bidi w:val="0"/>
              <w:spacing w:before="0" w:after="283"/>
              <w:jc w:val="left"/>
              <w:rPr/>
            </w:pPr>
            <w:r>
              <w:rPr/>
              <w:t>March 28, 2023</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29" w:name="fin394147_2"/>
      <w:bookmarkEnd w:id="29"/>
      <w:r>
        <w:rPr>
          <w:rFonts w:ascii="Times New Roman" w:hAnsi="Times New Roman"/>
          <w:b/>
          <w:sz w:val="20"/>
        </w:rPr>
        <w:t xml:space="preserve">Consolidated Statements of Loss </w:t>
      </w:r>
    </w:p>
    <w:p>
      <w:pPr>
        <w:pStyle w:val="TextBody"/>
        <w:bidi w:val="0"/>
        <w:spacing w:before="0" w:after="0"/>
        <w:jc w:val="left"/>
        <w:rPr>
          <w:rFonts w:ascii="Times New Roman" w:hAnsi="Times New Roman"/>
          <w:i/>
          <w:sz w:val="20"/>
        </w:rPr>
      </w:pPr>
      <w:r>
        <w:rPr>
          <w:rFonts w:ascii="Times New Roman" w:hAnsi="Times New Roman"/>
          <w:i/>
          <w:sz w:val="20"/>
        </w:rPr>
        <w:t xml:space="preserve">(in CHF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26"/>
        <w:gridCol w:w="164"/>
        <w:gridCol w:w="1011"/>
        <w:gridCol w:w="206"/>
        <w:gridCol w:w="74"/>
        <w:gridCol w:w="958"/>
        <w:gridCol w:w="194"/>
        <w:gridCol w:w="174"/>
        <w:gridCol w:w="74"/>
        <w:gridCol w:w="958"/>
        <w:gridCol w:w="194"/>
        <w:gridCol w:w="174"/>
        <w:gridCol w:w="74"/>
        <w:gridCol w:w="962"/>
        <w:gridCol w:w="162"/>
      </w:tblGrid>
      <w:tr>
        <w:trPr/>
        <w:tc>
          <w:tcPr>
            <w:tcW w:w="482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2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38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62" w:type="dxa"/>
            <w:tcBorders/>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center"/>
              <w:rPr>
                <w:b/>
              </w:rPr>
            </w:pPr>
            <w:r>
              <w:rPr>
                <w:b/>
              </w:rPr>
              <w:t>Note</w:t>
            </w:r>
          </w:p>
        </w:tc>
        <w:tc>
          <w:tcPr>
            <w:tcW w:w="206"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income</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center"/>
              <w:rPr/>
            </w:pPr>
            <w:r>
              <w:rPr/>
              <w:t>6. (A) / 10</w:t>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912</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960</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993</w:t>
            </w:r>
          </w:p>
        </w:tc>
        <w:tc>
          <w:tcPr>
            <w:tcW w:w="162" w:type="dxa"/>
            <w:tcBorders/>
            <w:shd w:fill="CCEEFF" w:val="clear"/>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912</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960</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b/>
              </w:rPr>
            </w:pPr>
            <w:r>
              <w:rPr>
                <w:b/>
              </w:rPr>
              <w:t>993</w:t>
            </w:r>
          </w:p>
        </w:tc>
        <w:tc>
          <w:tcPr>
            <w:tcW w:w="162" w:type="dxa"/>
            <w:tcBorders/>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center"/>
              <w:rPr/>
            </w:pPr>
            <w:r>
              <w:rPr/>
              <w:t>6. (B)</w:t>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(22,224</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(9,568</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(9,337</w:t>
            </w:r>
          </w:p>
        </w:tc>
        <w:tc>
          <w:tcPr>
            <w:tcW w:w="162" w:type="dxa"/>
            <w:tcBorders/>
            <w:shd w:fill="CCEEFF" w:val="clear"/>
            <w:vAlign w:val="bottom"/>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center"/>
              <w:rPr/>
            </w:pPr>
            <w:r>
              <w:rPr/>
              <w:t>6. (B)</w:t>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(11,064</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(4,624</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(3,992</w:t>
            </w:r>
          </w:p>
        </w:tc>
        <w:tc>
          <w:tcPr>
            <w:tcW w:w="162" w:type="dxa"/>
            <w:tcBorders/>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(33,288</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(14,192</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b/>
              </w:rPr>
            </w:pPr>
            <w:r>
              <w:rPr>
                <w:b/>
              </w:rPr>
              <w:t>(13,329</w:t>
            </w:r>
          </w:p>
        </w:tc>
        <w:tc>
          <w:tcPr>
            <w:tcW w:w="162" w:type="dxa"/>
            <w:tcBorders/>
            <w:shd w:fill="CCEEFF" w:val="clear"/>
            <w:vAlign w:val="bottom"/>
          </w:tcPr>
          <w:p>
            <w:pPr>
              <w:pStyle w:val="TableContents"/>
              <w:bidi w:val="0"/>
              <w:spacing w:before="0" w:after="283"/>
              <w:jc w:val="left"/>
              <w:rPr>
                <w:b/>
              </w:rPr>
            </w:pPr>
            <w:r>
              <w:rPr>
                <w:b/>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(32,376</w:t>
            </w:r>
          </w:p>
        </w:tc>
        <w:tc>
          <w:tcPr>
            <w:tcW w:w="194"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(13,232</w:t>
            </w:r>
          </w:p>
        </w:tc>
        <w:tc>
          <w:tcPr>
            <w:tcW w:w="194"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b/>
              </w:rPr>
            </w:pPr>
            <w:r>
              <w:rPr>
                <w:b/>
              </w:rPr>
              <w:t>(12,336</w:t>
            </w:r>
          </w:p>
        </w:tc>
        <w:tc>
          <w:tcPr>
            <w:tcW w:w="162" w:type="dxa"/>
            <w:tcBorders/>
            <w:vAlign w:val="bottom"/>
          </w:tcPr>
          <w:p>
            <w:pPr>
              <w:pStyle w:val="TableContents"/>
              <w:bidi w:val="0"/>
              <w:spacing w:before="0" w:after="283"/>
              <w:jc w:val="left"/>
              <w:rPr>
                <w:b/>
              </w:rPr>
            </w:pPr>
            <w:r>
              <w:rPr>
                <w:b/>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Finance income</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center"/>
              <w:rPr>
                <w:sz w:val="20"/>
              </w:rPr>
            </w:pPr>
            <w:r>
              <w:rPr>
                <w:sz w:val="20"/>
              </w:rPr>
              <w:t>6. (C)</w:t>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126</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21</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10</w:t>
            </w:r>
          </w:p>
        </w:tc>
        <w:tc>
          <w:tcPr>
            <w:tcW w:w="162" w:type="dxa"/>
            <w:tcBorders/>
            <w:shd w:fill="CCEEFF" w:val="clear"/>
            <w:vAlign w:val="bottom"/>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sz w:val="20"/>
              </w:rPr>
            </w:pPr>
            <w:r>
              <w:rPr>
                <w:rFonts w:ascii="Times New Roman" w:hAnsi="Times New Roman"/>
                <w:sz w:val="20"/>
              </w:rPr>
              <w:t>Finance expense</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center"/>
              <w:rPr/>
            </w:pPr>
            <w:r>
              <w:rPr/>
              <w:t>6. (C)</w:t>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(6,442</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(5,120</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(2,628</w:t>
            </w:r>
          </w:p>
        </w:tc>
        <w:tc>
          <w:tcPr>
            <w:tcW w:w="162" w:type="dxa"/>
            <w:tcBorders/>
            <w:vAlign w:val="bottom"/>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differences</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center"/>
              <w:rPr/>
            </w:pPr>
            <w:r>
              <w:rPr/>
              <w:t>6. (D)</w:t>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49</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(193</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163</w:t>
            </w:r>
          </w:p>
        </w:tc>
        <w:tc>
          <w:tcPr>
            <w:tcW w:w="162" w:type="dxa"/>
            <w:tcBorders/>
            <w:shd w:fill="CCEEFF" w:val="clear"/>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Finance result, net</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(6,267</w:t>
            </w:r>
          </w:p>
        </w:tc>
        <w:tc>
          <w:tcPr>
            <w:tcW w:w="194"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b/>
              </w:rPr>
            </w:pPr>
            <w:r>
              <w:rPr>
                <w:b/>
              </w:rPr>
              <w:t>(5,292</w:t>
            </w:r>
          </w:p>
        </w:tc>
        <w:tc>
          <w:tcPr>
            <w:tcW w:w="194" w:type="dxa"/>
            <w:tcBorders/>
            <w:vAlign w:val="bottom"/>
          </w:tcPr>
          <w:p>
            <w:pPr>
              <w:pStyle w:val="TableContents"/>
              <w:bidi w:val="0"/>
              <w:spacing w:before="0" w:after="283"/>
              <w:jc w:val="left"/>
              <w:rPr>
                <w:b/>
              </w:rPr>
            </w:pPr>
            <w:r>
              <w:rPr>
                <w:b/>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b/>
              </w:rPr>
            </w:pPr>
            <w:r>
              <w:rPr>
                <w:b/>
              </w:rPr>
              <w:t>(2,455</w:t>
            </w:r>
          </w:p>
        </w:tc>
        <w:tc>
          <w:tcPr>
            <w:tcW w:w="162" w:type="dxa"/>
            <w:tcBorders/>
            <w:vAlign w:val="bottom"/>
          </w:tcPr>
          <w:p>
            <w:pPr>
              <w:pStyle w:val="TableContents"/>
              <w:bidi w:val="0"/>
              <w:spacing w:before="0" w:after="283"/>
              <w:jc w:val="left"/>
              <w:rPr>
                <w:b/>
              </w:rPr>
            </w:pPr>
            <w:r>
              <w:rPr>
                <w:b/>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before tax for the period</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(38,643</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(18,524</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b/>
              </w:rPr>
            </w:pPr>
            <w:r>
              <w:rPr>
                <w:b/>
              </w:rPr>
              <w:t>(14,790</w:t>
            </w:r>
          </w:p>
        </w:tc>
        <w:tc>
          <w:tcPr>
            <w:tcW w:w="162" w:type="dxa"/>
            <w:tcBorders/>
            <w:shd w:fill="CCEEFF" w:val="clear"/>
            <w:vAlign w:val="bottom"/>
          </w:tcPr>
          <w:p>
            <w:pPr>
              <w:pStyle w:val="TableContents"/>
              <w:bidi w:val="0"/>
              <w:spacing w:before="0" w:after="283"/>
              <w:jc w:val="left"/>
              <w:rPr>
                <w:b/>
              </w:rPr>
            </w:pPr>
            <w:r>
              <w:rPr>
                <w:b/>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center"/>
              <w:rPr/>
            </w:pPr>
            <w:r>
              <w:rPr/>
              <w:t>6. (E)</w:t>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(55</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(27</w:t>
            </w:r>
          </w:p>
        </w:tc>
        <w:tc>
          <w:tcPr>
            <w:tcW w:w="194"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(83</w:t>
            </w:r>
          </w:p>
        </w:tc>
        <w:tc>
          <w:tcPr>
            <w:tcW w:w="162" w:type="dxa"/>
            <w:tcBorders/>
            <w:vAlign w:val="bottom"/>
          </w:tcPr>
          <w:p>
            <w:pPr>
              <w:pStyle w:val="TableContents"/>
              <w:bidi w:val="0"/>
              <w:spacing w:before="0" w:after="283"/>
              <w:jc w:val="left"/>
              <w:rPr/>
            </w:pPr>
            <w:r>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(38,698</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b/>
              </w:rPr>
            </w:pPr>
            <w:r>
              <w:rPr>
                <w:b/>
              </w:rPr>
              <w:t>(18,552</w:t>
            </w:r>
          </w:p>
        </w:tc>
        <w:tc>
          <w:tcPr>
            <w:tcW w:w="194" w:type="dxa"/>
            <w:tcBorders/>
            <w:shd w:fill="CCEEFF" w:val="clear"/>
            <w:vAlign w:val="bottom"/>
          </w:tcPr>
          <w:p>
            <w:pPr>
              <w:pStyle w:val="TableContents"/>
              <w:bidi w:val="0"/>
              <w:spacing w:before="0" w:after="283"/>
              <w:jc w:val="left"/>
              <w:rPr>
                <w:b/>
              </w:rPr>
            </w:pPr>
            <w:r>
              <w:rPr>
                <w:b/>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b/>
              </w:rPr>
            </w:pPr>
            <w:r>
              <w:rPr>
                <w:b/>
              </w:rPr>
              <w:t>(14,873</w:t>
            </w:r>
          </w:p>
        </w:tc>
        <w:tc>
          <w:tcPr>
            <w:tcW w:w="162" w:type="dxa"/>
            <w:tcBorders/>
            <w:shd w:fill="CCEEFF" w:val="clear"/>
            <w:vAlign w:val="bottom"/>
          </w:tcPr>
          <w:p>
            <w:pPr>
              <w:pStyle w:val="TableContents"/>
              <w:bidi w:val="0"/>
              <w:spacing w:before="0" w:after="283"/>
              <w:jc w:val="left"/>
              <w:rPr>
                <w:b/>
              </w:rPr>
            </w:pPr>
            <w:r>
              <w:rPr>
                <w:b/>
              </w:rPr>
              <w:t>) </w:t>
            </w:r>
          </w:p>
        </w:tc>
      </w:tr>
      <w:tr>
        <w:trPr/>
        <w:tc>
          <w:tcPr>
            <w:tcW w:w="4826"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26" w:type="dxa"/>
            <w:tcBorders/>
          </w:tcPr>
          <w:p>
            <w:pPr>
              <w:pStyle w:val="TableContents"/>
              <w:bidi w:val="0"/>
              <w:spacing w:before="0" w:after="0"/>
              <w:jc w:val="left"/>
              <w:rPr>
                <w:rFonts w:ascii="Times New Roman" w:hAnsi="Times New Roman"/>
                <w:sz w:val="20"/>
              </w:rPr>
            </w:pPr>
            <w:r>
              <w:rPr>
                <w:rFonts w:ascii="Times New Roman" w:hAnsi="Times New Roman"/>
                <w:sz w:val="20"/>
              </w:rPr>
              <w:t>Loss per share:</w:t>
            </w:r>
          </w:p>
        </w:tc>
        <w:tc>
          <w:tcPr>
            <w:tcW w:w="164"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6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loss for the period attributable to equity holders</w:t>
            </w:r>
          </w:p>
        </w:tc>
        <w:tc>
          <w:tcPr>
            <w:tcW w:w="164"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center"/>
              <w:rPr/>
            </w:pPr>
            <w:r>
              <w:rPr/>
              <w:t>21</w:t>
            </w:r>
          </w:p>
        </w:tc>
        <w:tc>
          <w:tcPr>
            <w:tcW w:w="20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(12.94</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(6.68</w:t>
            </w:r>
          </w:p>
        </w:tc>
        <w:tc>
          <w:tcPr>
            <w:tcW w:w="194"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(5.77</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form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0" w:name="fin394147_3"/>
      <w:bookmarkEnd w:id="30"/>
      <w:r>
        <w:rPr>
          <w:rFonts w:ascii="Times New Roman" w:hAnsi="Times New Roman"/>
          <w:b/>
          <w:sz w:val="20"/>
        </w:rPr>
        <w:t xml:space="preserve">Consolidated Statements of Comprehensive Loss </w:t>
      </w:r>
    </w:p>
    <w:p>
      <w:pPr>
        <w:pStyle w:val="TextBody"/>
        <w:bidi w:val="0"/>
        <w:spacing w:before="0" w:after="0"/>
        <w:jc w:val="left"/>
        <w:rPr>
          <w:rFonts w:ascii="Times New Roman" w:hAnsi="Times New Roman"/>
          <w:i/>
          <w:sz w:val="20"/>
        </w:rPr>
      </w:pPr>
      <w:r>
        <w:rPr>
          <w:rFonts w:ascii="Times New Roman" w:hAnsi="Times New Roman"/>
          <w:i/>
          <w:sz w:val="20"/>
        </w:rPr>
        <w:t xml:space="preserve">(in CHF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4"/>
        <w:gridCol w:w="179"/>
        <w:gridCol w:w="60"/>
        <w:gridCol w:w="906"/>
        <w:gridCol w:w="60"/>
        <w:gridCol w:w="210"/>
        <w:gridCol w:w="60"/>
        <w:gridCol w:w="769"/>
        <w:gridCol w:w="155"/>
        <w:gridCol w:w="179"/>
        <w:gridCol w:w="60"/>
        <w:gridCol w:w="769"/>
        <w:gridCol w:w="155"/>
        <w:gridCol w:w="179"/>
        <w:gridCol w:w="60"/>
        <w:gridCol w:w="768"/>
        <w:gridCol w:w="162"/>
      </w:tblGrid>
      <w:tr>
        <w:trPr/>
        <w:tc>
          <w:tcPr>
            <w:tcW w:w="547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7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31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w:t>
              <w:br/>
              <w:t>December 31,</w:t>
            </w:r>
          </w:p>
        </w:tc>
        <w:tc>
          <w:tcPr>
            <w:tcW w:w="162" w:type="dxa"/>
            <w:tcBorders/>
            <w:vAlign w:val="bottom"/>
          </w:tcPr>
          <w:p>
            <w:pPr>
              <w:pStyle w:val="TableContents"/>
              <w:bidi w:val="0"/>
              <w:spacing w:before="0" w:after="283"/>
              <w:jc w:val="left"/>
              <w:rPr/>
            </w:pPr>
            <w:r>
              <w:rPr/>
              <w:t> </w:t>
            </w:r>
          </w:p>
        </w:tc>
      </w:tr>
      <w:tr>
        <w:trPr/>
        <w:tc>
          <w:tcPr>
            <w:tcW w:w="547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r>
      <w:tr>
        <w:trPr/>
        <w:tc>
          <w:tcPr>
            <w:tcW w:w="5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for the period</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(38,698</w:t>
            </w:r>
          </w:p>
        </w:tc>
        <w:tc>
          <w:tcPr>
            <w:tcW w:w="155" w:type="dxa"/>
            <w:tcBorders/>
            <w:shd w:fill="CCEEFF" w:val="clear"/>
            <w:vAlign w:val="bottom"/>
          </w:tcPr>
          <w:p>
            <w:pPr>
              <w:pStyle w:val="TableContents"/>
              <w:bidi w:val="0"/>
              <w:spacing w:before="0" w:after="283"/>
              <w:jc w:val="left"/>
              <w:rPr>
                <w:b/>
              </w:rPr>
            </w:pPr>
            <w:r>
              <w:rPr>
                <w:b/>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(18,552</w:t>
            </w:r>
          </w:p>
        </w:tc>
        <w:tc>
          <w:tcPr>
            <w:tcW w:w="155" w:type="dxa"/>
            <w:tcBorders/>
            <w:shd w:fill="CCEEFF" w:val="clear"/>
            <w:vAlign w:val="bottom"/>
          </w:tcPr>
          <w:p>
            <w:pPr>
              <w:pStyle w:val="TableContents"/>
              <w:bidi w:val="0"/>
              <w:spacing w:before="0" w:after="283"/>
              <w:jc w:val="left"/>
              <w:rPr>
                <w:b/>
              </w:rPr>
            </w:pPr>
            <w:r>
              <w:rPr>
                <w:b/>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b/>
              </w:rPr>
            </w:pPr>
            <w:r>
              <w:rPr>
                <w:b/>
              </w:rPr>
              <w:t>(14,873</w:t>
            </w:r>
          </w:p>
        </w:tc>
        <w:tc>
          <w:tcPr>
            <w:tcW w:w="162" w:type="dxa"/>
            <w:tcBorders/>
            <w:shd w:fill="CCEEFF" w:val="clear"/>
            <w:vAlign w:val="bottom"/>
          </w:tcPr>
          <w:p>
            <w:pPr>
              <w:pStyle w:val="TableContents"/>
              <w:bidi w:val="0"/>
              <w:spacing w:before="0" w:after="283"/>
              <w:jc w:val="left"/>
              <w:rPr>
                <w:b/>
              </w:rPr>
            </w:pPr>
            <w:r>
              <w:rPr>
                <w:b/>
              </w:rPr>
              <w:t>) </w:t>
            </w:r>
          </w:p>
        </w:tc>
      </w:tr>
      <w:tr>
        <w:trPr/>
        <w:tc>
          <w:tcPr>
            <w:tcW w:w="547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47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Items that will not be reclassified to profit or loss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4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Actuarial gains/(losses) of defined benefit plans</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4. (C) / 11</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744</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88</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(115</w:t>
            </w:r>
          </w:p>
        </w:tc>
        <w:tc>
          <w:tcPr>
            <w:tcW w:w="162" w:type="dxa"/>
            <w:tcBorders/>
            <w:vAlign w:val="bottom"/>
          </w:tcPr>
          <w:p>
            <w:pPr>
              <w:pStyle w:val="TableContents"/>
              <w:bidi w:val="0"/>
              <w:spacing w:before="0" w:after="283"/>
              <w:jc w:val="left"/>
              <w:rPr/>
            </w:pPr>
            <w:r>
              <w:rPr/>
              <w:t>) </w:t>
            </w:r>
          </w:p>
        </w:tc>
      </w:tr>
      <w:tr>
        <w:trPr/>
        <w:tc>
          <w:tcPr>
            <w:tcW w:w="5474" w:type="dxa"/>
            <w:tcBorders/>
            <w:shd w:fill="CCEEFF" w:val="clear"/>
          </w:tcPr>
          <w:p>
            <w:pPr>
              <w:pStyle w:val="TableContents"/>
              <w:bidi w:val="0"/>
              <w:spacing w:before="0" w:after="0"/>
              <w:jc w:val="left"/>
              <w:rPr>
                <w:rFonts w:ascii="Times New Roman" w:hAnsi="Times New Roman"/>
                <w:sz w:val="20"/>
                <w:u w:val="single"/>
              </w:rPr>
            </w:pPr>
            <w:r>
              <w:rPr>
                <w:rFonts w:ascii="Times New Roman" w:hAnsi="Times New Roman"/>
                <w:sz w:val="20"/>
                <w:u w:val="single"/>
              </w:rPr>
              <w:t>Items that may be reclassified subsequently to profit or loss</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4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Currency translation differences</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center"/>
              <w:rPr/>
            </w:pPr>
            <w:r>
              <w:rPr/>
              <w:t>2. (D)</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28</w:t>
            </w:r>
          </w:p>
        </w:tc>
        <w:tc>
          <w:tcPr>
            <w:tcW w:w="162" w:type="dxa"/>
            <w:tcBorders/>
            <w:vAlign w:val="bottom"/>
          </w:tcPr>
          <w:p>
            <w:pPr>
              <w:pStyle w:val="TableContents"/>
              <w:bidi w:val="0"/>
              <w:spacing w:before="0" w:after="283"/>
              <w:jc w:val="left"/>
              <w:rPr/>
            </w:pPr>
            <w:r>
              <w:rPr/>
              <w:t> </w:t>
            </w:r>
          </w:p>
        </w:tc>
      </w:tr>
      <w:tr>
        <w:trPr/>
        <w:tc>
          <w:tcPr>
            <w:tcW w:w="547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profit/(loss) for the period</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747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b/>
              </w:rPr>
            </w:pPr>
            <w:r>
              <w:rPr>
                <w:b/>
              </w:rPr>
              <w:t>(87</w:t>
            </w:r>
          </w:p>
        </w:tc>
        <w:tc>
          <w:tcPr>
            <w:tcW w:w="162" w:type="dxa"/>
            <w:tcBorders/>
            <w:shd w:fill="CCEEFF" w:val="clear"/>
            <w:vAlign w:val="bottom"/>
          </w:tcPr>
          <w:p>
            <w:pPr>
              <w:pStyle w:val="TableContents"/>
              <w:bidi w:val="0"/>
              <w:spacing w:before="0" w:after="283"/>
              <w:jc w:val="left"/>
              <w:rPr>
                <w:b/>
              </w:rPr>
            </w:pPr>
            <w:r>
              <w:rPr>
                <w:b/>
              </w:rPr>
              <w:t>) </w:t>
            </w:r>
          </w:p>
        </w:tc>
      </w:tr>
      <w:tr>
        <w:trPr/>
        <w:tc>
          <w:tcPr>
            <w:tcW w:w="547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47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comprehensive loss for the period</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(37,951</w:t>
            </w:r>
          </w:p>
        </w:tc>
        <w:tc>
          <w:tcPr>
            <w:tcW w:w="155" w:type="dxa"/>
            <w:tcBorders/>
            <w:vAlign w:val="bottom"/>
          </w:tcPr>
          <w:p>
            <w:pPr>
              <w:pStyle w:val="TableContents"/>
              <w:bidi w:val="0"/>
              <w:spacing w:before="0" w:after="283"/>
              <w:jc w:val="left"/>
              <w:rPr>
                <w:b/>
              </w:rPr>
            </w:pPr>
            <w:r>
              <w:rPr>
                <w:b/>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(18,492</w:t>
            </w:r>
          </w:p>
        </w:tc>
        <w:tc>
          <w:tcPr>
            <w:tcW w:w="155" w:type="dxa"/>
            <w:tcBorders/>
            <w:vAlign w:val="bottom"/>
          </w:tcPr>
          <w:p>
            <w:pPr>
              <w:pStyle w:val="TableContents"/>
              <w:bidi w:val="0"/>
              <w:spacing w:before="0" w:after="283"/>
              <w:jc w:val="left"/>
              <w:rPr>
                <w:b/>
              </w:rPr>
            </w:pPr>
            <w:r>
              <w:rPr>
                <w:b/>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b/>
              </w:rPr>
            </w:pPr>
            <w:r>
              <w:rPr>
                <w:b/>
              </w:rPr>
              <w:t>(14,960</w:t>
            </w:r>
          </w:p>
        </w:tc>
        <w:tc>
          <w:tcPr>
            <w:tcW w:w="162" w:type="dxa"/>
            <w:tcBorders/>
            <w:vAlign w:val="bottom"/>
          </w:tcPr>
          <w:p>
            <w:pPr>
              <w:pStyle w:val="TableContents"/>
              <w:bidi w:val="0"/>
              <w:spacing w:before="0" w:after="283"/>
              <w:jc w:val="left"/>
              <w:rPr>
                <w:b/>
              </w:rPr>
            </w:pPr>
            <w:r>
              <w:rPr>
                <w:b/>
              </w:rPr>
              <w:t>) </w:t>
            </w:r>
          </w:p>
        </w:tc>
      </w:tr>
      <w:tr>
        <w:trPr/>
        <w:tc>
          <w:tcPr>
            <w:tcW w:w="5474"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form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1" w:name="fin394147_4"/>
      <w:bookmarkEnd w:id="31"/>
      <w:r>
        <w:rPr>
          <w:rFonts w:ascii="Times New Roman" w:hAnsi="Times New Roman"/>
          <w:b/>
          <w:sz w:val="20"/>
        </w:rPr>
        <w:t xml:space="preserve">Consolidated Statements of Financial Position </w:t>
      </w:r>
    </w:p>
    <w:p>
      <w:pPr>
        <w:pStyle w:val="TextBody"/>
        <w:bidi w:val="0"/>
        <w:spacing w:before="0" w:after="0"/>
        <w:jc w:val="left"/>
        <w:rPr>
          <w:rFonts w:ascii="Times New Roman" w:hAnsi="Times New Roman"/>
          <w:i/>
          <w:sz w:val="20"/>
        </w:rPr>
      </w:pPr>
      <w:r>
        <w:rPr>
          <w:rFonts w:ascii="Times New Roman" w:hAnsi="Times New Roman"/>
          <w:i/>
          <w:sz w:val="20"/>
        </w:rPr>
        <w:t xml:space="preserve">(in CHF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07"/>
        <w:gridCol w:w="138"/>
        <w:gridCol w:w="60"/>
        <w:gridCol w:w="1047"/>
        <w:gridCol w:w="60"/>
        <w:gridCol w:w="138"/>
        <w:gridCol w:w="60"/>
        <w:gridCol w:w="1025"/>
        <w:gridCol w:w="155"/>
        <w:gridCol w:w="109"/>
        <w:gridCol w:w="60"/>
        <w:gridCol w:w="886"/>
        <w:gridCol w:w="160"/>
      </w:tblGrid>
      <w:tr>
        <w:trPr/>
        <w:tc>
          <w:tcPr>
            <w:tcW w:w="630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0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0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07"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7"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&amp; equipment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365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431</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12,206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8,724</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758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855</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Financial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13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52</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6. (E)</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13,403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10,062</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10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2,959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944</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912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760</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13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19,786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46,277</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23,657</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47,981</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b/>
              </w:rPr>
            </w:pPr>
            <w:r>
              <w:rPr>
                <w:b/>
              </w:rPr>
              <w:t>37,060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58,043</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 AND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7" w:type="dxa"/>
            <w:tcBorders/>
          </w:tcPr>
          <w:p>
            <w:pPr>
              <w:pStyle w:val="TableContents"/>
              <w:bidi w:val="0"/>
              <w:spacing w:before="0" w:after="0"/>
              <w:jc w:val="left"/>
              <w:rPr>
                <w:rFonts w:ascii="Times New Roman" w:hAnsi="Times New Roman"/>
                <w:b/>
                <w:sz w:val="20"/>
              </w:rPr>
            </w:pPr>
            <w:r>
              <w:rPr>
                <w:rFonts w:ascii="Times New Roman" w:hAnsi="Times New Roman"/>
                <w:b/>
                <w:sz w:val="20"/>
              </w:rPr>
              <w:t>Equity attributable to equity holders of the parent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15. (A)</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340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335</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15. (A)</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10,540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10,434</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Reserve for share-based payment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2,771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1,967</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Actuarial loss on post employment benefit obligations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4. (C) / 11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(1,008)</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15. (C)</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(100)</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Cumulative translation adjustments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(303)</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(110,978)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(72,280)</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b/>
              </w:rPr>
            </w:pPr>
            <w:r>
              <w:rPr>
                <w:b/>
              </w:rPr>
              <w:t>(97,991</w:t>
            </w:r>
          </w:p>
        </w:tc>
        <w:tc>
          <w:tcPr>
            <w:tcW w:w="155" w:type="dxa"/>
            <w:tcBorders/>
            <w:vAlign w:val="bottom"/>
          </w:tcPr>
          <w:p>
            <w:pPr>
              <w:pStyle w:val="TableContents"/>
              <w:bidi w:val="0"/>
              <w:spacing w:before="0" w:after="283"/>
              <w:jc w:val="left"/>
              <w:rPr>
                <w:b/>
              </w:rPr>
            </w:pPr>
            <w:r>
              <w:rPr>
                <w:b/>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(60,955</w:t>
            </w:r>
          </w:p>
        </w:tc>
        <w:tc>
          <w:tcPr>
            <w:tcW w:w="160" w:type="dxa"/>
            <w:tcBorders/>
            <w:vAlign w:val="bottom"/>
          </w:tcPr>
          <w:p>
            <w:pPr>
              <w:pStyle w:val="TableContents"/>
              <w:bidi w:val="0"/>
              <w:spacing w:before="0" w:after="283"/>
              <w:jc w:val="left"/>
              <w:rPr>
                <w:b/>
              </w:rPr>
            </w:pPr>
            <w:r>
              <w:rPr>
                <w:b/>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Long-term lease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577</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financial debt</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122,449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113,502</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pension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4. (C) / 11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845</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6. (E)</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11</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Total non-current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123,031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114,936</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16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3,867</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824</w:t>
            </w:r>
          </w:p>
        </w:tc>
        <w:tc>
          <w:tcPr>
            <w:tcW w:w="160" w:type="dxa"/>
            <w:tcBorders/>
            <w:vAlign w:val="bottom"/>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center"/>
              <w:rPr/>
            </w:pPr>
            <w:r>
              <w:rPr/>
              <w:t>17</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8,011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3,045</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193</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12,020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4,062</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b/>
              </w:rPr>
            </w:pPr>
            <w:r>
              <w:rPr>
                <w:b/>
              </w:rPr>
              <w:t>135,051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b/>
              </w:rPr>
            </w:pPr>
            <w:r>
              <w:rPr>
                <w:b/>
              </w:rPr>
              <w:t>118,998</w:t>
            </w:r>
          </w:p>
        </w:tc>
        <w:tc>
          <w:tcPr>
            <w:tcW w:w="160" w:type="dxa"/>
            <w:tcBorders/>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3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 AND LIABILITIES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b/>
              </w:rPr>
            </w:pPr>
            <w:r>
              <w:rPr>
                <w:b/>
              </w:rPr>
              <w:t>37,060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b/>
              </w:rPr>
            </w:pPr>
            <w:r>
              <w:rPr>
                <w:b/>
              </w:rPr>
              <w:t>58,043</w:t>
            </w:r>
          </w:p>
        </w:tc>
        <w:tc>
          <w:tcPr>
            <w:tcW w:w="160" w:type="dxa"/>
            <w:tcBorders/>
            <w:shd w:fill="CCEEFF" w:val="clear"/>
            <w:vAlign w:val="bottom"/>
          </w:tcPr>
          <w:p>
            <w:pPr>
              <w:pStyle w:val="TableContents"/>
              <w:bidi w:val="0"/>
              <w:spacing w:before="0" w:after="283"/>
              <w:jc w:val="left"/>
              <w:rPr/>
            </w:pPr>
            <w:r>
              <w:rPr/>
              <w:t> </w:t>
            </w:r>
          </w:p>
        </w:tc>
      </w:tr>
      <w:tr>
        <w:trPr/>
        <w:tc>
          <w:tcPr>
            <w:tcW w:w="6307"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form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2" w:name="fin394147_5"/>
      <w:bookmarkEnd w:id="32"/>
      <w:r>
        <w:rPr>
          <w:rFonts w:ascii="Times New Roman" w:hAnsi="Times New Roman"/>
          <w:b/>
          <w:sz w:val="20"/>
        </w:rPr>
        <w:t xml:space="preserve">Consolidated Statements of Changes in Equity </w:t>
      </w:r>
    </w:p>
    <w:p>
      <w:pPr>
        <w:pStyle w:val="TextBody"/>
        <w:bidi w:val="0"/>
        <w:spacing w:before="0" w:after="0"/>
        <w:jc w:val="left"/>
        <w:rPr>
          <w:rFonts w:ascii="Times New Roman" w:hAnsi="Times New Roman"/>
          <w:i/>
          <w:sz w:val="20"/>
        </w:rPr>
      </w:pPr>
      <w:r>
        <w:rPr>
          <w:rFonts w:ascii="Times New Roman" w:hAnsi="Times New Roman"/>
          <w:i/>
          <w:sz w:val="20"/>
        </w:rPr>
        <w:t xml:space="preserve">(in CHF thousands) </w:t>
      </w:r>
    </w:p>
    <w:p>
      <w:pPr>
        <w:pStyle w:val="TextBody"/>
        <w:bidi w:val="0"/>
        <w:spacing w:before="0" w:after="0"/>
        <w:jc w:val="left"/>
        <w:rPr/>
      </w:pPr>
      <w:r>
        <w:rPr/>
        <w:t> </w:t>
      </w:r>
    </w:p>
    <w:tbl>
      <w:tblPr>
        <w:tblW w:w="11840" w:type="dxa"/>
        <w:jc w:val="center"/>
        <w:tblInd w:w="0" w:type="dxa"/>
        <w:tblLayout w:type="fixed"/>
        <w:tblCellMar>
          <w:top w:w="0" w:type="dxa"/>
          <w:left w:w="0" w:type="dxa"/>
          <w:bottom w:w="0" w:type="dxa"/>
          <w:right w:w="0" w:type="dxa"/>
        </w:tblCellMar>
      </w:tblPr>
      <w:tblGrid>
        <w:gridCol w:w="1235"/>
        <w:gridCol w:w="60"/>
        <w:gridCol w:w="60"/>
        <w:gridCol w:w="995"/>
        <w:gridCol w:w="60"/>
        <w:gridCol w:w="60"/>
        <w:gridCol w:w="86"/>
        <w:gridCol w:w="549"/>
        <w:gridCol w:w="60"/>
        <w:gridCol w:w="60"/>
        <w:gridCol w:w="69"/>
        <w:gridCol w:w="791"/>
        <w:gridCol w:w="155"/>
        <w:gridCol w:w="60"/>
        <w:gridCol w:w="109"/>
        <w:gridCol w:w="1021"/>
        <w:gridCol w:w="60"/>
        <w:gridCol w:w="60"/>
        <w:gridCol w:w="100"/>
        <w:gridCol w:w="760"/>
        <w:gridCol w:w="155"/>
        <w:gridCol w:w="60"/>
        <w:gridCol w:w="131"/>
        <w:gridCol w:w="999"/>
        <w:gridCol w:w="155"/>
        <w:gridCol w:w="60"/>
        <w:gridCol w:w="102"/>
        <w:gridCol w:w="1088"/>
        <w:gridCol w:w="155"/>
        <w:gridCol w:w="60"/>
        <w:gridCol w:w="82"/>
        <w:gridCol w:w="1198"/>
        <w:gridCol w:w="155"/>
        <w:gridCol w:w="60"/>
        <w:gridCol w:w="60"/>
        <w:gridCol w:w="755"/>
        <w:gridCol w:w="155"/>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15" w:type="dxa"/>
            <w:gridSpan w:val="30"/>
            <w:tcBorders>
              <w:bottom w:val="single" w:sz="8" w:space="0" w:color="000000"/>
            </w:tcBorders>
            <w:tcMar>
              <w:bottom w:w="28" w:type="dxa"/>
            </w:tcMar>
            <w:vAlign w:val="bottom"/>
          </w:tcPr>
          <w:p>
            <w:pPr>
              <w:pStyle w:val="TableContents"/>
              <w:bidi w:val="0"/>
              <w:spacing w:before="0" w:after="283"/>
              <w:jc w:val="center"/>
              <w:rPr/>
            </w:pPr>
            <w:r>
              <w:rPr/>
              <w:t>Attributable to equity holders of the parent</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bottom"/>
          </w:tcPr>
          <w:p>
            <w:pPr>
              <w:pStyle w:val="TableContents"/>
              <w:bidi w:val="0"/>
              <w:spacing w:before="0" w:after="283"/>
              <w:jc w:val="center"/>
              <w:rPr/>
            </w:pPr>
            <w:r>
              <w:rPr/>
              <w:t>Share</w:t>
              <w:b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Share</w:t>
              <w:br/>
              <w:t>premium</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Reserve for</w:t>
              <w:br/>
              <w:t>share-based</w:t>
              <w:br/>
              <w:t>payment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t>Cumulative</w:t>
              <w:br/>
              <w:t>translation</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pPr>
            <w:r>
              <w:rPr/>
              <w:t>Actuarial</w:t>
              <w:br/>
              <w:t>gain / (loss)</w:t>
              <w:br/>
              <w:t>on post-</w:t>
              <w:br/>
              <w:t>employment</w:t>
              <w:br/>
              <w:t>benefit</w:t>
              <w:br/>
              <w:t>obligations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Accumulated</w:t>
              <w:br/>
              <w:t>losses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as of January 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9,476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(100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(303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(981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(38,855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(29,163</w:t>
            </w:r>
          </w:p>
        </w:tc>
        <w:tc>
          <w:tcPr>
            <w:tcW w:w="155" w:type="dxa"/>
            <w:tcBorders/>
            <w:shd w:fill="CCEEFF" w:val="clear"/>
            <w:vAlign w:val="bottom"/>
          </w:tcPr>
          <w:p>
            <w:pPr>
              <w:pStyle w:val="TableContents"/>
              <w:bidi w:val="0"/>
              <w:spacing w:before="0" w:after="283"/>
              <w:jc w:val="left"/>
              <w:rPr>
                <w:b/>
              </w:rPr>
            </w:pPr>
            <w:r>
              <w:rPr>
                <w:b/>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(14,873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(14,873</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comprehensive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1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Actuarial loss on post-employment benefit obligations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4. (C) / 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Currency translation differences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2. (D)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Sub-total other comprehensive 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(115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(87</w:t>
            </w:r>
          </w:p>
        </w:tc>
        <w:tc>
          <w:tcPr>
            <w:tcW w:w="155" w:type="dxa"/>
            <w:tcBorders/>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comprehensive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(14,873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(14,960</w:t>
            </w:r>
          </w:p>
        </w:tc>
        <w:tc>
          <w:tcPr>
            <w:tcW w:w="155" w:type="dxa"/>
            <w:tcBorders/>
            <w:shd w:fill="CCEEFF" w:val="clear"/>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Share based payment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328</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Restricted shares awards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Transaction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as of December 31, 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297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9,609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1,640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(100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(275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(1,096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(53,728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(43,654</w:t>
            </w:r>
          </w:p>
        </w:tc>
        <w:tc>
          <w:tcPr>
            <w:tcW w:w="155" w:type="dxa"/>
            <w:tcBorders/>
            <w:shd w:fill="CCEEFF" w:val="clear"/>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as of January 1, 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297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9,609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(100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(275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(1,096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(53,728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(43,654</w:t>
            </w:r>
          </w:p>
        </w:tc>
        <w:tc>
          <w:tcPr>
            <w:tcW w:w="155" w:type="dxa"/>
            <w:tcBorders/>
            <w:vAlign w:val="bottom"/>
          </w:tcPr>
          <w:p>
            <w:pPr>
              <w:pStyle w:val="TableContents"/>
              <w:bidi w:val="0"/>
              <w:spacing w:before="0" w:after="283"/>
              <w:jc w:val="left"/>
              <w:rPr>
                <w:b/>
              </w:rPr>
            </w:pPr>
            <w:r>
              <w:rPr>
                <w:b/>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(18,552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(18,552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Other comprehensive profit: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0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0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sz w:val="4"/>
                <w:szCs w:val="4"/>
              </w:rPr>
            </w:pPr>
            <w:r>
              <w:rPr>
                <w:sz w:val="4"/>
                <w:szCs w:val="4"/>
              </w:rPr>
            </w:r>
          </w:p>
        </w:tc>
        <w:tc>
          <w:tcPr>
            <w:tcW w:w="11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Actuarial gain on post-employment benefit obligations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4. (C) / 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Currency translation differences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2.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Sub-total other comprehensive profit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(28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Total comprehensive 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(28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(18,552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(18,492</w:t>
            </w:r>
          </w:p>
        </w:tc>
        <w:tc>
          <w:tcPr>
            <w:tcW w:w="155" w:type="dxa"/>
            <w:tcBorders/>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Share based payment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Restricted shares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837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876</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Transaction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as of December 31, 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10,434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1,967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(100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(303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(1,008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(72,280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(60,955</w:t>
            </w:r>
          </w:p>
        </w:tc>
        <w:tc>
          <w:tcPr>
            <w:tcW w:w="155" w:type="dxa"/>
            <w:tcBorders/>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Balance as of January 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10,434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1,967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(100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(303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(1,008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(72,280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(60,955</w:t>
            </w:r>
          </w:p>
        </w:tc>
        <w:tc>
          <w:tcPr>
            <w:tcW w:w="155" w:type="dxa"/>
            <w:tcBorders/>
            <w:shd w:fill="CCEEFF" w:val="clear"/>
            <w:vAlign w:val="bottom"/>
          </w:tcPr>
          <w:p>
            <w:pPr>
              <w:pStyle w:val="TableContents"/>
              <w:bidi w:val="0"/>
              <w:spacing w:before="0" w:after="283"/>
              <w:jc w:val="left"/>
              <w:rPr>
                <w:b/>
              </w:rPr>
            </w:pPr>
            <w:r>
              <w:rPr>
                <w:b/>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(38,698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(38,698</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Other comprehensive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1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Actuarial gain on post-employment benefit obligations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4. (C) / 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744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744</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Currency translation differences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2. (D)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Sub-total other comprehensive profit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744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747</w:t>
            </w:r>
          </w:p>
        </w:tc>
        <w:tc>
          <w:tcPr>
            <w:tcW w:w="155" w:type="dxa"/>
            <w:tcBorders/>
            <w:vAlign w:val="bottom"/>
          </w:tcPr>
          <w:p>
            <w:pPr>
              <w:pStyle w:val="TableContents"/>
              <w:bidi w:val="0"/>
              <w:spacing w:before="0" w:after="283"/>
              <w:jc w:val="left"/>
              <w:rPr/>
            </w:pPr>
            <w:r>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b/>
                <w:sz w:val="17"/>
              </w:rPr>
            </w:pPr>
            <w:r>
              <w:rPr>
                <w:rFonts w:ascii="Times New Roman" w:hAnsi="Times New Roman"/>
                <w:b/>
                <w:sz w:val="17"/>
              </w:rPr>
              <w:t>Total comprehensive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b/>
              </w:rPr>
            </w:pPr>
            <w:r>
              <w:rPr>
                <w:b/>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b/>
              </w:rPr>
            </w:pPr>
            <w:r>
              <w:rPr>
                <w:b/>
              </w:rPr>
              <w:t>744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b/>
              </w:rPr>
            </w:pPr>
            <w:r>
              <w:rPr>
                <w:b/>
              </w:rPr>
              <w:t>(38,698</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(37,951</w:t>
            </w:r>
          </w:p>
        </w:tc>
        <w:tc>
          <w:tcPr>
            <w:tcW w:w="155" w:type="dxa"/>
            <w:tcBorders/>
            <w:shd w:fill="CCEEFF" w:val="clear"/>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0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Share based payment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804</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Transaction costs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center"/>
              <w:rPr/>
            </w:pPr>
            <w:r>
              <w:rPr/>
              <w:t>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0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r>
      <w:tr>
        <w:trPr/>
        <w:tc>
          <w:tcPr>
            <w:tcW w:w="1235" w:type="dxa"/>
            <w:tcBorders/>
          </w:tcPr>
          <w:p>
            <w:pPr>
              <w:pStyle w:val="TableContents"/>
              <w:bidi w:val="0"/>
              <w:spacing w:before="0" w:after="0"/>
              <w:jc w:val="left"/>
              <w:rPr>
                <w:rFonts w:ascii="Times New Roman" w:hAnsi="Times New Roman"/>
                <w:sz w:val="17"/>
              </w:rPr>
            </w:pPr>
            <w:r>
              <w:rPr>
                <w:rFonts w:ascii="Times New Roman" w:hAnsi="Times New Roman"/>
                <w:sz w:val="17"/>
              </w:rPr>
              <w:t>Stock options exercised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pPr>
            <w:r>
              <w:rPr/>
              <w:t>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r>
      <w:tr>
        <w:trPr/>
        <w:tc>
          <w:tcPr>
            <w:tcW w:w="123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10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7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0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1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0"/>
              <w:jc w:val="left"/>
              <w:rPr>
                <w:rFonts w:ascii="Times New Roman" w:hAnsi="Times New Roman"/>
                <w:b/>
                <w:sz w:val="17"/>
              </w:rPr>
            </w:pPr>
            <w:r>
              <w:rPr>
                <w:rFonts w:ascii="Times New Roman" w:hAnsi="Times New Roman"/>
                <w:b/>
                <w:sz w:val="17"/>
              </w:rPr>
              <w:t>Balance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b/>
              </w:rPr>
            </w:pPr>
            <w:r>
              <w:rPr>
                <w:b/>
              </w:rPr>
              <w:t>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b/>
              </w:rPr>
            </w:pPr>
            <w:r>
              <w:rPr>
                <w:b/>
              </w:rPr>
              <w:t>10,540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2,771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(100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b/>
              </w:rPr>
            </w:pPr>
            <w:r>
              <w:rPr>
                <w:b/>
              </w:rPr>
              <w:t>(300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088" w:type="dxa"/>
            <w:tcBorders/>
            <w:vAlign w:val="bottom"/>
          </w:tcPr>
          <w:p>
            <w:pPr>
              <w:pStyle w:val="TableContents"/>
              <w:bidi w:val="0"/>
              <w:spacing w:before="0" w:after="283"/>
              <w:jc w:val="right"/>
              <w:rPr>
                <w:b/>
              </w:rPr>
            </w:pPr>
            <w:r>
              <w:rPr>
                <w:b/>
              </w:rPr>
              <w:t>(264</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(110,978</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(97,991</w:t>
            </w:r>
          </w:p>
        </w:tc>
        <w:tc>
          <w:tcPr>
            <w:tcW w:w="155" w:type="dxa"/>
            <w:tcBorders/>
            <w:vAlign w:val="bottom"/>
          </w:tcPr>
          <w:p>
            <w:pPr>
              <w:pStyle w:val="TableContents"/>
              <w:bidi w:val="0"/>
              <w:spacing w:before="0" w:after="283"/>
              <w:jc w:val="left"/>
              <w:rPr>
                <w:b/>
              </w:rPr>
            </w:pPr>
            <w:r>
              <w:rPr>
                <w:b/>
              </w:rPr>
              <w:t>) </w:t>
            </w:r>
          </w:p>
        </w:tc>
      </w:tr>
      <w:tr>
        <w:trPr/>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6" w:type="dxa"/>
            <w:tcBorders/>
            <w:vAlign w:val="bottom"/>
          </w:tcPr>
          <w:p>
            <w:pPr>
              <w:pStyle w:val="TableContents"/>
              <w:pBdr>
                <w:top w:val="double" w:sz="6" w:space="1" w:color="000000"/>
              </w:pBdr>
              <w:bidi w:val="0"/>
              <w:spacing w:before="0" w:after="0"/>
              <w:jc w:val="left"/>
              <w:rPr/>
            </w:pPr>
            <w:r>
              <w:rPr/>
              <w:t> </w:t>
            </w:r>
          </w:p>
        </w:tc>
        <w:tc>
          <w:tcPr>
            <w:tcW w:w="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 w:type="dxa"/>
            <w:tcBorders/>
            <w:vAlign w:val="bottom"/>
          </w:tcPr>
          <w:p>
            <w:pPr>
              <w:pStyle w:val="TableContents"/>
              <w:pBdr>
                <w:top w:val="double" w:sz="6" w:space="1" w:color="000000"/>
              </w:pBdr>
              <w:bidi w:val="0"/>
              <w:spacing w:before="0" w:after="0"/>
              <w:jc w:val="left"/>
              <w:rPr/>
            </w:pPr>
            <w:r>
              <w:rPr/>
              <w:t> </w:t>
            </w:r>
          </w:p>
        </w:tc>
        <w:tc>
          <w:tcPr>
            <w:tcW w:w="10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0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form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3" w:name="fin394147_6"/>
      <w:bookmarkEnd w:id="33"/>
      <w:r>
        <w:rPr>
          <w:rFonts w:ascii="Times New Roman" w:hAnsi="Times New Roman"/>
          <w:b/>
          <w:sz w:val="20"/>
        </w:rPr>
        <w:t xml:space="preserve">Consolidated Statements of Cash Flows </w:t>
      </w:r>
    </w:p>
    <w:p>
      <w:pPr>
        <w:pStyle w:val="TextBody"/>
        <w:bidi w:val="0"/>
        <w:spacing w:before="0" w:after="0"/>
        <w:jc w:val="left"/>
        <w:rPr>
          <w:rFonts w:ascii="Times New Roman" w:hAnsi="Times New Roman"/>
          <w:i/>
          <w:sz w:val="20"/>
        </w:rPr>
      </w:pPr>
      <w:r>
        <w:rPr>
          <w:rFonts w:ascii="Times New Roman" w:hAnsi="Times New Roman"/>
          <w:i/>
          <w:sz w:val="20"/>
        </w:rPr>
        <w:t xml:space="preserve">(in CHF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4"/>
        <w:gridCol w:w="139"/>
        <w:gridCol w:w="60"/>
        <w:gridCol w:w="1013"/>
        <w:gridCol w:w="60"/>
        <w:gridCol w:w="139"/>
        <w:gridCol w:w="60"/>
        <w:gridCol w:w="792"/>
        <w:gridCol w:w="160"/>
        <w:gridCol w:w="103"/>
        <w:gridCol w:w="60"/>
        <w:gridCol w:w="792"/>
        <w:gridCol w:w="160"/>
        <w:gridCol w:w="103"/>
        <w:gridCol w:w="60"/>
        <w:gridCol w:w="792"/>
        <w:gridCol w:w="168"/>
      </w:tblGrid>
      <w:tr>
        <w:trPr/>
        <w:tc>
          <w:tcPr>
            <w:tcW w:w="554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7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082"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Years</w:t>
            </w:r>
            <w:r>
              <w:rPr/>
              <w:br/>
            </w:r>
            <w:r>
              <w:rPr>
                <w:b/>
              </w:rPr>
              <w:t>Ended December 31,</w:t>
            </w:r>
          </w:p>
        </w:tc>
        <w:tc>
          <w:tcPr>
            <w:tcW w:w="168" w:type="dxa"/>
            <w:tcBorders/>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73"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tax</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(38,643</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(18,524</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(14,790</w:t>
            </w:r>
          </w:p>
        </w:tc>
        <w:tc>
          <w:tcPr>
            <w:tcW w:w="168" w:type="dxa"/>
            <w:tcBorders/>
            <w:vAlign w:val="bottom"/>
          </w:tcPr>
          <w:p>
            <w:pPr>
              <w:pStyle w:val="TableContents"/>
              <w:bidi w:val="0"/>
              <w:spacing w:before="0" w:after="283"/>
              <w:jc w:val="left"/>
              <w:rPr>
                <w:b/>
              </w:rPr>
            </w:pPr>
            <w:r>
              <w:rPr>
                <w:b/>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 cash adjustments: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Net financial result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(500</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53</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(155</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Depreciation of property, plant and equipment</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7</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132</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88</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104</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Depreciation of right-of-use assets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167</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147</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124</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Recognized expense for stock option plan</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804</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328</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328</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Payroll expenses related to restricted stock</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12 /15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876</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157</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Interest expense on Series B &amp; C preferred shares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6,343</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4,996</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2,560</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Interests on lease liabilities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45</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49</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50</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Post-employment benefits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(9</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(139</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77</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Non-realized foreign exchange differences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6. (D) / 14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583</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(792</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28</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 adjustments: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De/(Increase) in other current assets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(1,796</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(731</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169</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De/(Increase) in accrued income</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233</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230</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Changes in receivables/payables from/to related parties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29</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10</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(De)/Increase in trade payables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16</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3,043</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30</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(649</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 (De)/Increase in accrued expenses and other payables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17</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4,903</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(352</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(211</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received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126</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(100</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(116</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(58</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Taxes paid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(20</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flows used in operating activities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(25,074</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(13,825</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(12,029</w:t>
            </w:r>
          </w:p>
        </w:tc>
        <w:tc>
          <w:tcPr>
            <w:tcW w:w="168" w:type="dxa"/>
            <w:tcBorders/>
            <w:vAlign w:val="bottom"/>
          </w:tcPr>
          <w:p>
            <w:pPr>
              <w:pStyle w:val="TableContents"/>
              <w:bidi w:val="0"/>
              <w:spacing w:before="0" w:after="283"/>
              <w:jc w:val="left"/>
              <w:rPr>
                <w:b/>
              </w:rPr>
            </w:pPr>
            <w:r>
              <w:rPr>
                <w:b/>
              </w:rPr>
              <w:t>) </w:t>
            </w:r>
          </w:p>
        </w:tc>
      </w:tr>
      <w:tr>
        <w:trPr/>
        <w:tc>
          <w:tcPr>
            <w:tcW w:w="5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purchase of property, plant and equipment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7</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(65</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(28</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(19</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for purchase of intangible assets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(3,483</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(3,548</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(28</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(19</w:t>
            </w:r>
          </w:p>
        </w:tc>
        <w:tc>
          <w:tcPr>
            <w:tcW w:w="168" w:type="dxa"/>
            <w:tcBorders/>
            <w:vAlign w:val="bottom"/>
          </w:tcPr>
          <w:p>
            <w:pPr>
              <w:pStyle w:val="TableContents"/>
              <w:bidi w:val="0"/>
              <w:spacing w:before="0" w:after="283"/>
              <w:jc w:val="left"/>
              <w:rPr>
                <w:b/>
              </w:rPr>
            </w:pPr>
            <w:r>
              <w:rPr>
                <w:b/>
              </w:rPr>
              <w:t>) </w:t>
            </w:r>
          </w:p>
        </w:tc>
      </w:tr>
      <w:tr>
        <w:trPr/>
        <w:tc>
          <w:tcPr>
            <w:tcW w:w="5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for issuance of preferred shares/capital increase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14 / 15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(63</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(804</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(67</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Transactions costs related to the BCA</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2. (E)</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(214</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capital increase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15. (A)</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120</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preferred shares, classified as liabilities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14</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2,030</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56,096</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5,025</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 of lease obligation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9</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(159</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(98</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(98</w:t>
            </w:r>
          </w:p>
        </w:tc>
        <w:tc>
          <w:tcPr>
            <w:tcW w:w="168" w:type="dxa"/>
            <w:tcBorders/>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from financing activities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b/>
              </w:rPr>
            </w:pPr>
            <w:r>
              <w:rPr>
                <w:b/>
              </w:rPr>
              <w:t>1,714</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b/>
              </w:rPr>
            </w:pPr>
            <w:r>
              <w:rPr>
                <w:b/>
              </w:rPr>
              <w:t>55,194</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b/>
              </w:rPr>
            </w:pPr>
            <w:r>
              <w:rPr>
                <w:b/>
              </w:rPr>
              <w:t>4,859</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b/>
                <w:sz w:val="20"/>
              </w:rPr>
            </w:pPr>
            <w:r>
              <w:rPr>
                <w:rFonts w:ascii="Times New Roman" w:hAnsi="Times New Roman"/>
                <w:b/>
                <w:sz w:val="20"/>
              </w:rPr>
              <w:t>(De)/Increase in cash and cash equivalents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(26,909</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41,341</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(7,189</w:t>
            </w:r>
          </w:p>
        </w:tc>
        <w:tc>
          <w:tcPr>
            <w:tcW w:w="168" w:type="dxa"/>
            <w:tcBorders/>
            <w:vAlign w:val="bottom"/>
          </w:tcPr>
          <w:p>
            <w:pPr>
              <w:pStyle w:val="TableContents"/>
              <w:bidi w:val="0"/>
              <w:spacing w:before="0" w:after="283"/>
              <w:jc w:val="left"/>
              <w:rPr>
                <w:b/>
              </w:rPr>
            </w:pPr>
            <w:r>
              <w:rPr>
                <w:b/>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46,277</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4,952</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12,152</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Exchange difference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center"/>
              <w:rPr/>
            </w:pPr>
            <w:r>
              <w:rPr/>
              <w:t>13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418</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(12</w:t>
            </w:r>
          </w:p>
        </w:tc>
        <w:tc>
          <w:tcPr>
            <w:tcW w:w="168"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center"/>
              <w:rPr/>
            </w:pPr>
            <w:r>
              <w:rPr/>
              <w:t>13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19,786</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46,277</w:t>
            </w:r>
          </w:p>
        </w:tc>
        <w:tc>
          <w:tcPr>
            <w:tcW w:w="1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4,952</w:t>
            </w:r>
          </w:p>
        </w:tc>
        <w:tc>
          <w:tcPr>
            <w:tcW w:w="168" w:type="dxa"/>
            <w:tcBorders/>
            <w:shd w:fill="CCEEFF" w:val="clear"/>
            <w:vAlign w:val="bottom"/>
          </w:tcPr>
          <w:p>
            <w:pPr>
              <w:pStyle w:val="TableContents"/>
              <w:bidi w:val="0"/>
              <w:spacing w:before="0" w:after="283"/>
              <w:jc w:val="left"/>
              <w:rPr/>
            </w:pPr>
            <w:r>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and cash equivalents variation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(26,909</w:t>
            </w:r>
          </w:p>
        </w:tc>
        <w:tc>
          <w:tcPr>
            <w:tcW w:w="160" w:type="dxa"/>
            <w:tcBorders/>
            <w:vAlign w:val="bottom"/>
          </w:tcPr>
          <w:p>
            <w:pPr>
              <w:pStyle w:val="TableContents"/>
              <w:bidi w:val="0"/>
              <w:spacing w:before="0" w:after="283"/>
              <w:jc w:val="left"/>
              <w:rPr>
                <w:b/>
              </w:rPr>
            </w:pPr>
            <w:r>
              <w:rPr>
                <w:b/>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41,341</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b/>
              </w:rPr>
            </w:pPr>
            <w:r>
              <w:rPr>
                <w:b/>
              </w:rPr>
              <w:t>(7,189</w:t>
            </w:r>
          </w:p>
        </w:tc>
        <w:tc>
          <w:tcPr>
            <w:tcW w:w="168" w:type="dxa"/>
            <w:tcBorders/>
            <w:vAlign w:val="bottom"/>
          </w:tcPr>
          <w:p>
            <w:pPr>
              <w:pStyle w:val="TableContents"/>
              <w:bidi w:val="0"/>
              <w:spacing w:before="0" w:after="283"/>
              <w:jc w:val="left"/>
              <w:rPr>
                <w:b/>
              </w:rPr>
            </w:pPr>
            <w:r>
              <w:rPr>
                <w:b/>
              </w:rPr>
              <w:t>) </w:t>
            </w:r>
          </w:p>
        </w:tc>
      </w:tr>
      <w:tr>
        <w:trPr/>
        <w:tc>
          <w:tcPr>
            <w:tcW w:w="554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Non-Cash Financing Information</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the BCA recorded in accrued expenses and other payables/trade payables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356</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form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bookmarkStart w:id="34" w:name="fin394147_7"/>
      <w:bookmarkEnd w:id="34"/>
      <w:r>
        <w:rPr>
          <w:rFonts w:ascii="Times New Roman" w:hAnsi="Times New Roman"/>
          <w:b/>
          <w:sz w:val="20"/>
        </w:rPr>
        <w:t xml:space="preserve">NOTES TO THE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Oculis SA (Oculis, the Group, or the Company) is a limited company (société anonyme) with registered office at EPFL Innovation Park, c/o Bâtiment D, 1015 Lausanne, Ecublens, Switzerland and its shares are not publicly traded. It was established on December 11, 2017.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controls four wholly owned subsidiaries: Oculis ehf (Oculis Iceland), which was incorporated in Reykjavik, Iceland on October 28, 2003, Oculis France SARL (Oculis France) which was incorporated in Paris, France on March 27, 2020, Oculis US Inc. (Oculis US) which was incorporated in Delaware, USA, on May 26, 2020, and Oculis HK, Limited (Oculis HK) which was incorporated in Hong Kong, China on June 1, 2021. The Company and its subsidiaries form the Oculis Group (the Group).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Company is the research, study, development, manufacture, promotion, sale and marketing of pharmaceutical products and substances as well as the purchase, sale and exploitation of intellectual property rights, such as patents and licenses, in this field. More precisely, Oculis is a global biopharmaceutical company developing treatments to save sight and improve eye care with breakthrough innovations. The Companys differentiated pipeline includes candidates for topical retinal treatments, topical biologics and disease modifying treatments.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Oculis as of and for the year ended December 31, 2022, were approved and authorized for issue by the Companys Board of Directors on March 28,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PREPARATION AND CHANGES TO THE GROUPS ACCOUNTING POLICIES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The Groups accounts are prepared on a going concern basis. To date, the Group has financed its cash requirements primarily from share issuances, as well as government research and development grants. The recent business combination with European Biotech Acquisition Corp. (EBAC) and the listing in NASDAQ early in March 2023 raised additional funding to secure business continuity as explained under note 2. (E). The Board of Directors believes that the Group has the ability to meet its financial obligations for at least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biotech and pharmaceutical industry, (iii) successfully move its product candidates through clinical development, and (iv) attract and retain key personnel. The Companys success is subject to its ability to be able to raise capital to support its operations. To date, the Company has financed its cash requirements primarily through share issuances and grant income. Shareholders should note that the long-term viability of the Company is dependent on its ability to raise additional capital to finance its future operations. The Company will continue to evaluate additional funding through public or private financings, debt financing or collaboration agreements. The Company cannot be certain that additional funding will be available on acceptable terms, or at all. If the Company is unable to raise additional capital when required or on acceptable terms, it may have to (i) significantly delay, scale back or discontinue the development of one or more product candidates; (ii) seek collaborators for product candidates at an earlier stage than otherwise would be desirable and on terms that are less favorable than might otherwise be available; or (iii) relinquish or otherwise dispose of rights to product candidates that the Company would otherwise seek to develop itself, on unfavorable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conflict between Russia and Ukraine has caused major macroeconomic disruptions that have impacted the global trade and economies. As such increasing inflation around the globe has forced national banks to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interest rates, consequently impacting interest yields around the globe. The Group has assessed the impact of these measures and concluded that this impacted primarily the estimates in relation to the pension plan obligations, as noted below under 4. (C). As of today, no further material impact has been identified on the Groups business nor its ability to continue as a going concern. </w:t>
      </w:r>
    </w:p>
    <w:p>
      <w:pPr>
        <w:pStyle w:val="TextBody"/>
        <w:bidi w:val="0"/>
        <w:spacing w:before="120" w:after="0"/>
        <w:jc w:val="left"/>
        <w:rPr>
          <w:rFonts w:ascii="Times New Roman" w:hAnsi="Times New Roman"/>
          <w:b/>
          <w:sz w:val="20"/>
        </w:rPr>
      </w:pPr>
      <w:r>
        <w:rPr>
          <w:rFonts w:ascii="Times New Roman" w:hAnsi="Times New Roman"/>
          <w:b/>
          <w:sz w:val="20"/>
        </w:rPr>
        <w:t xml:space="preserve">(B) Statement of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Oculis SA are prepared in accordance with International Financial Reporting Standards (IFRS) as issued by the International Accounting Standards Board (IASB). </w:t>
      </w:r>
    </w:p>
    <w:p>
      <w:pPr>
        <w:pStyle w:val="TextBody"/>
        <w:bidi w:val="0"/>
        <w:spacing w:before="360" w:after="0"/>
        <w:jc w:val="left"/>
        <w:rPr>
          <w:rFonts w:ascii="Times New Roman" w:hAnsi="Times New Roman"/>
          <w:b/>
          <w:sz w:val="20"/>
        </w:rPr>
      </w:pPr>
      <w:r>
        <w:rPr>
          <w:rFonts w:ascii="Times New Roman" w:hAnsi="Times New Roman"/>
          <w:b/>
          <w:sz w:val="20"/>
        </w:rPr>
        <w:t xml:space="preserve">(C) Basis of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policies set out below are consistently applied to all the years presented. The consolidated financial statements have been prepared under the historical cost convention. </w:t>
      </w:r>
    </w:p>
    <w:p>
      <w:pPr>
        <w:pStyle w:val="TextBody"/>
        <w:bidi w:val="0"/>
        <w:spacing w:before="240" w:after="0"/>
        <w:jc w:val="left"/>
        <w:rPr>
          <w:rFonts w:ascii="Times New Roman" w:hAnsi="Times New Roman"/>
          <w:sz w:val="20"/>
        </w:rPr>
      </w:pPr>
      <w:r>
        <w:rPr>
          <w:rFonts w:ascii="Times New Roman" w:hAnsi="Times New Roman"/>
          <w:sz w:val="20"/>
        </w:rPr>
        <w:t xml:space="preserve">The totals are calculated with the original unit amounts, which could lead to rounding differences. These differences in thousands of units are not changed in order to keep the accuracy of the original data. </w:t>
      </w:r>
    </w:p>
    <w:p>
      <w:pPr>
        <w:pStyle w:val="TextBody"/>
        <w:bidi w:val="0"/>
        <w:spacing w:before="360" w:after="0"/>
        <w:jc w:val="left"/>
        <w:rPr>
          <w:rFonts w:ascii="Times New Roman" w:hAnsi="Times New Roman"/>
          <w:b/>
          <w:sz w:val="20"/>
        </w:rPr>
      </w:pPr>
      <w:r>
        <w:rPr>
          <w:rFonts w:ascii="Times New Roman" w:hAnsi="Times New Roman"/>
          <w:b/>
          <w:sz w:val="20"/>
        </w:rPr>
        <w:t xml:space="preserve">(D) Functional currency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Group are expressed in CHF, which is the Companys functional and the Groups presentation currency. The functional currency of the Company and Oculis Iceland is CHF. The functional currency of Oculis France is EUR, of Oculis US is USD and of Oculis Hong Kong is HKD. </w:t>
      </w:r>
    </w:p>
    <w:p>
      <w:pPr>
        <w:pStyle w:val="TextBody"/>
        <w:bidi w:val="0"/>
        <w:spacing w:before="240" w:after="0"/>
        <w:jc w:val="left"/>
        <w:rPr>
          <w:rFonts w:ascii="Times New Roman" w:hAnsi="Times New Roman"/>
          <w:sz w:val="20"/>
        </w:rPr>
      </w:pPr>
      <w:r>
        <w:rPr>
          <w:rFonts w:ascii="Times New Roman" w:hAnsi="Times New Roman"/>
          <w:sz w:val="20"/>
        </w:rPr>
        <w:t xml:space="preserve">Assets and liabilities of foreign operations are translated into CHF at the rate of exchange prevailing at the reporting date and their statements of profit or loss are translated at yearly average exchange rates. The exchange differences arising on translation for consolidation are recognized in other comprehensive income. </w:t>
      </w:r>
    </w:p>
    <w:p>
      <w:pPr>
        <w:pStyle w:val="TextBody"/>
        <w:bidi w:val="0"/>
        <w:spacing w:before="360" w:after="0"/>
        <w:jc w:val="left"/>
        <w:rPr>
          <w:rFonts w:ascii="Times New Roman" w:hAnsi="Times New Roman"/>
          <w:b/>
          <w:sz w:val="20"/>
        </w:rPr>
      </w:pPr>
      <w:r>
        <w:rPr>
          <w:rFonts w:ascii="Times New Roman" w:hAnsi="Times New Roman"/>
          <w:b/>
          <w:sz w:val="20"/>
        </w:rPr>
        <w:t xml:space="preserve">(E) Business Combination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17, 2022, Oculis SA entered into a Business Combination Agreement (BCA) with European Biotech Acquisition Corp., a NASDAQ listed blank check company incorporated in Cayman Islands as an exempted company (EBAC). This merger and subsequent listing in NASDAQ provides the Company with additional funding from EBACs Trust fund, additional subscription agreements from private investments by third-party investors (the PIPE) and conversion of Convertible Loan Agreements (the CLAs).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Company has capitalized CHF 0.6 million of transactions costs linked to the BCA transaction within Other current assets that met the following criteria: 1) directly attributable to the issue of equity instruments, 2) incurred after BCA agreement signature, at which date the transaction was considered highly probable and finally, 3) related to newly issued shares (incremental costs). The paid portion of transaction costs for an amount of CHF 0.2 million was also reflected in the financing activities of the Consolidated Statements of Cash flows. For further details about the closing of the BCA transaction, refer to note 22.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accounting policies adopted in the preparation of these financial statements are set out below. The policies set out below are consistently applied to all the years presented, unless otherwise stated. </w:t>
      </w:r>
    </w:p>
    <w:p>
      <w:pPr>
        <w:pStyle w:val="TextBody"/>
        <w:bidi w:val="0"/>
        <w:spacing w:before="360" w:after="0"/>
        <w:jc w:val="left"/>
        <w:rPr>
          <w:rFonts w:ascii="Times New Roman" w:hAnsi="Times New Roman"/>
          <w:b/>
          <w:sz w:val="20"/>
        </w:rPr>
      </w:pPr>
      <w:r>
        <w:rPr>
          <w:rFonts w:ascii="Times New Roman" w:hAnsi="Times New Roman"/>
          <w:b/>
          <w:sz w:val="20"/>
        </w:rPr>
        <w:t xml:space="preserve">(A) Current vs. non-current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presents assets and liabilities in the balance sheet based on current/non-current classification. The Company classifies all amounts to be realized or settled within 12 months after the reporting period to be current and all other amounts to be non-current.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 Foreign currency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statements of loss in the period in which they arise. </w:t>
      </w:r>
    </w:p>
    <w:p>
      <w:pPr>
        <w:pStyle w:val="TextBody"/>
        <w:bidi w:val="0"/>
        <w:spacing w:before="360" w:after="0"/>
        <w:jc w:val="left"/>
        <w:rPr>
          <w:rFonts w:ascii="Times New Roman" w:hAnsi="Times New Roman"/>
          <w:b/>
          <w:sz w:val="20"/>
        </w:rPr>
      </w:pPr>
      <w:r>
        <w:rPr>
          <w:rFonts w:ascii="Times New Roman" w:hAnsi="Times New Roman"/>
          <w:b/>
          <w:sz w:val="20"/>
        </w:rPr>
        <w:t xml:space="preserve">(C) Group accounting </w:t>
      </w:r>
    </w:p>
    <w:p>
      <w:pPr>
        <w:pStyle w:val="TextBody"/>
        <w:bidi w:val="0"/>
        <w:spacing w:before="120" w:after="0"/>
        <w:jc w:val="left"/>
        <w:rPr>
          <w:rFonts w:ascii="Times New Roman" w:hAnsi="Times New Roman"/>
          <w:sz w:val="20"/>
        </w:rPr>
      </w:pPr>
      <w:r>
        <w:rPr>
          <w:rFonts w:ascii="Times New Roman" w:hAnsi="Times New Roman"/>
          <w:sz w:val="20"/>
        </w:rPr>
        <w:t xml:space="preserve">Oculis SA has four wholly owned subsidiaries, including Oculis Iceland, Oculis France, Oculis US and Oculis Hong Kong. The Companys consolidated financial statements present the aggregate of the five Group entities, after elimination of intra-group transactions, balances, investments and capital. </w:t>
      </w:r>
    </w:p>
    <w:p>
      <w:pPr>
        <w:pStyle w:val="TextBody"/>
        <w:bidi w:val="0"/>
        <w:spacing w:before="360" w:after="0"/>
        <w:jc w:val="left"/>
        <w:rPr>
          <w:rFonts w:ascii="Times New Roman" w:hAnsi="Times New Roman"/>
          <w:b/>
          <w:sz w:val="20"/>
        </w:rPr>
      </w:pPr>
      <w:r>
        <w:rPr>
          <w:rFonts w:ascii="Times New Roman" w:hAnsi="Times New Roman"/>
          <w:b/>
          <w:sz w:val="20"/>
        </w:rPr>
        <w:t xml:space="preserve">(D)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managed and operated as one business. A single management team that reports to the Chief Executive Officer comprehensively manages the entire business and accordingly, has one reporting segment.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locations in five countries: Switzerland, Iceland, France, USA and Hong Kong. An analysis of non-current assets by geographic region is presented in Note 5. </w:t>
      </w:r>
    </w:p>
    <w:p>
      <w:pPr>
        <w:pStyle w:val="TextBody"/>
        <w:bidi w:val="0"/>
        <w:spacing w:before="360" w:after="0"/>
        <w:jc w:val="left"/>
        <w:rPr>
          <w:rFonts w:ascii="Times New Roman" w:hAnsi="Times New Roman"/>
          <w:b/>
          <w:sz w:val="20"/>
        </w:rPr>
      </w:pPr>
      <w:r>
        <w:rPr>
          <w:rFonts w:ascii="Times New Roman" w:hAnsi="Times New Roman"/>
          <w:b/>
          <w:sz w:val="20"/>
        </w:rPr>
        <w:t xml:space="preserve">(E) Leases </w:t>
      </w:r>
    </w:p>
    <w:p>
      <w:pPr>
        <w:pStyle w:val="TextBody"/>
        <w:bidi w:val="0"/>
        <w:spacing w:before="120" w:after="0"/>
        <w:jc w:val="left"/>
        <w:rPr>
          <w:rFonts w:ascii="Times New Roman" w:hAnsi="Times New Roman"/>
          <w:sz w:val="20"/>
        </w:rPr>
      </w:pPr>
      <w:r>
        <w:rPr>
          <w:rFonts w:ascii="Times New Roman" w:hAnsi="Times New Roman"/>
          <w:sz w:val="20"/>
        </w:rPr>
        <w:t xml:space="preserve">All leases are accounted for by recognizing a right-of-use asset and a lease liability except for leases of low value assets and leases with a duration of 12 months or less. </w:t>
      </w:r>
    </w:p>
    <w:p>
      <w:pPr>
        <w:pStyle w:val="TextBody"/>
        <w:bidi w:val="0"/>
        <w:spacing w:before="240" w:after="0"/>
        <w:jc w:val="left"/>
        <w:rPr>
          <w:rFonts w:ascii="Times New Roman" w:hAnsi="Times New Roman"/>
          <w:sz w:val="20"/>
        </w:rPr>
      </w:pPr>
      <w:r>
        <w:rPr>
          <w:rFonts w:ascii="Times New Roman" w:hAnsi="Times New Roman"/>
          <w:sz w:val="20"/>
        </w:rPr>
        <w:t xml:space="preserve">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Variable lease payments are only included in the measurement of the lease liability if they depend on an index or rate and remain unchanged throughout the lease term. Other variable lease payments are expensed. </w:t>
      </w:r>
    </w:p>
    <w:p>
      <w:pPr>
        <w:pStyle w:val="TextBody"/>
        <w:bidi w:val="0"/>
        <w:spacing w:before="240" w:after="0"/>
        <w:jc w:val="left"/>
        <w:rPr>
          <w:rFonts w:ascii="Times New Roman" w:hAnsi="Times New Roman"/>
          <w:sz w:val="20"/>
        </w:rPr>
      </w:pPr>
      <w:r>
        <w:rPr>
          <w:rFonts w:ascii="Times New Roman" w:hAnsi="Times New Roman"/>
          <w:sz w:val="20"/>
        </w:rPr>
        <w:t xml:space="preserve">On initial recognition, the carrying value of the lease liability also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expected to be payable under any residual value guarantee;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any purchase option granted in favor of the group if it is reasonably certain to assess that option.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Right-of-use assets are initially measured at the amount of the lease liability, reduced for any lease incentives received, and increased for lease payments made at or before commencement of the lease and initial direct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initial measurement, lease liabilities increase as a result of interest charged at a constant rate on the balance outstanding and are reduced for lease payments made. Right-of-use assets are depreciated on a straight-line basis over the remaining expected term of the lease or over the remaining economic life of the asset if this is judged to be shorter than the lease term. </w:t>
      </w:r>
    </w:p>
    <w:p>
      <w:pPr>
        <w:pStyle w:val="TextBody"/>
        <w:bidi w:val="0"/>
        <w:spacing w:before="240" w:after="0"/>
        <w:jc w:val="left"/>
        <w:rPr>
          <w:rFonts w:ascii="Times New Roman" w:hAnsi="Times New Roman"/>
          <w:sz w:val="20"/>
        </w:rPr>
      </w:pPr>
      <w:r>
        <w:rPr>
          <w:rFonts w:ascii="Times New Roman" w:hAnsi="Times New Roman"/>
          <w:sz w:val="20"/>
        </w:rPr>
        <w:t xml:space="preserve">When the Group revises its estimate of the term of any lease, it adjusts the carrying amount of the lease liability to reflect the expected payments over the revised term, which are discounted using a revised discount rate. The carrying value of lease liabilities is similarly revised if the variable future lease payments dependent on a rate or index is revised. In both cases, an equivalent adjustment is made to the carrying value of the right-of-use asset, with the revised carrying amount being amortized over the remaining lease term. If the carrying amount of the right-of-use asset is adjusted to zero, any further reduction is recognized in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 Grant income recognition </w:t>
      </w:r>
    </w:p>
    <w:p>
      <w:pPr>
        <w:pStyle w:val="TextBody"/>
        <w:bidi w:val="0"/>
        <w:spacing w:before="120" w:after="0"/>
        <w:jc w:val="left"/>
        <w:rPr>
          <w:rFonts w:ascii="Times New Roman" w:hAnsi="Times New Roman"/>
          <w:sz w:val="20"/>
        </w:rPr>
      </w:pPr>
      <w:r>
        <w:rPr>
          <w:rFonts w:ascii="Times New Roman" w:hAnsi="Times New Roman"/>
          <w:sz w:val="20"/>
        </w:rPr>
        <w:t xml:space="preserve">Grant income is recognized where there is reasonable assurance that the grant will be received and all attaching conditions will be complied with, and in the year when the related expenses are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(G) Taxes </w:t>
      </w:r>
    </w:p>
    <w:p>
      <w:pPr>
        <w:pStyle w:val="TextBody"/>
        <w:bidi w:val="0"/>
        <w:spacing w:before="120" w:after="0"/>
        <w:jc w:val="left"/>
        <w:rPr>
          <w:rFonts w:ascii="Times New Roman" w:hAnsi="Times New Roman"/>
          <w:sz w:val="20"/>
        </w:rPr>
      </w:pPr>
      <w:r>
        <w:rPr>
          <w:rFonts w:ascii="Times New Roman" w:hAnsi="Times New Roman"/>
          <w:sz w:val="20"/>
        </w:rPr>
        <w:t xml:space="preserve">Taxes reported in the consolidated income statements include current and deferred taxes on profit. Taxes on income are accrued in the same periods as the revenues and expenses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Deferred tax is the tax attributable to the temporary differences that appear when taxation authorities recognize and measure assets and liabilities with rules that differ from those of the consolidated accounts. Deferred income tax is calculated using the liability method and determined using tax rates and laws that have been enacted or substantively enacted by the balance sheet date and are expected to apply when the related deferred income tax asset is realized, or the deferred income tax liability is settled. Any changes to the tax rates are recognized in the income statement unless related to items directly recognized in equity or other comprehensive loss. </w:t>
      </w:r>
    </w:p>
    <w:p>
      <w:pPr>
        <w:pStyle w:val="TextBody"/>
        <w:bidi w:val="0"/>
        <w:spacing w:before="240" w:after="0"/>
        <w:jc w:val="left"/>
        <w:rPr>
          <w:rFonts w:ascii="Times New Roman" w:hAnsi="Times New Roman"/>
          <w:sz w:val="20"/>
        </w:rPr>
      </w:pPr>
      <w:r>
        <w:rPr>
          <w:rFonts w:ascii="Times New Roman" w:hAnsi="Times New Roman"/>
          <w:sz w:val="20"/>
        </w:rPr>
        <w:t xml:space="preserve">Deferred tax liabilities are recognized on all taxable temporary differences. Deferred income tax assets are recognized only to the extent that it is probable that future taxable profit will be available against which the temporary differences or the unused tax losses can be utilized. Deferred income tax assets from tax credit carry forwards are recognized to the extent that the national tax authority confirms the eligibility of such a claim and that the realization of the related tax benefit through future taxable profits is probable. 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same taxable entity or different taxable entities where there is an intention to settle the balances on a net basis. </w:t>
      </w:r>
    </w:p>
    <w:p>
      <w:pPr>
        <w:pStyle w:val="TextBody"/>
        <w:bidi w:val="0"/>
        <w:spacing w:before="360" w:after="0"/>
        <w:jc w:val="left"/>
        <w:rPr>
          <w:rFonts w:ascii="Times New Roman" w:hAnsi="Times New Roman"/>
          <w:b/>
          <w:sz w:val="20"/>
        </w:rPr>
      </w:pPr>
      <w:r>
        <w:rPr>
          <w:rFonts w:ascii="Times New Roman" w:hAnsi="Times New Roman"/>
          <w:b/>
          <w:sz w:val="20"/>
        </w:rPr>
        <w:t xml:space="preserve">(H) Earnings /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presents basic earnings / (loss) per share for each period in the financial statements. The earnings (loss) per share is calculated by dividing the earnings / (loss) of the period by the weighted average number of shares outstanding during the period. Diluted earnings per share, applicable in case of positive result, reflect the potential dilution that could occur if dilutive securities such as preferred shares or share options were vested or exercised into common shares. </w:t>
      </w:r>
    </w:p>
    <w:p>
      <w:pPr>
        <w:pStyle w:val="TextBody"/>
        <w:bidi w:val="0"/>
        <w:spacing w:before="360" w:after="0"/>
        <w:jc w:val="left"/>
        <w:rPr>
          <w:rFonts w:ascii="Times New Roman" w:hAnsi="Times New Roman"/>
          <w:b/>
          <w:sz w:val="20"/>
        </w:rPr>
      </w:pPr>
      <w:r>
        <w:rPr>
          <w:rFonts w:ascii="Times New Roman" w:hAnsi="Times New Roman"/>
          <w:b/>
          <w:sz w:val="20"/>
        </w:rPr>
        <w:t xml:space="preserve">(I) 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Judgment was required in determining the classification of the preferred shares issued by the Company as either equity or liabilities. The preferred shareholders hold certain preference rights that include preferential distribution of proceeds in the case of liquidity events as defined in the shareholder agreements. Under IAS 32 the Company classifies the Preferred Shares as liabilities. This applies to Series A, B and C shares as per Note 14. </w:t>
      </w:r>
    </w:p>
    <w:p>
      <w:pPr>
        <w:pStyle w:val="TextBody"/>
        <w:bidi w:val="0"/>
        <w:spacing w:before="360" w:after="0"/>
        <w:jc w:val="left"/>
        <w:rPr>
          <w:rFonts w:ascii="Times New Roman" w:hAnsi="Times New Roman"/>
          <w:b/>
          <w:sz w:val="20"/>
        </w:rPr>
      </w:pPr>
      <w:r>
        <w:rPr>
          <w:rFonts w:ascii="Times New Roman" w:hAnsi="Times New Roman"/>
          <w:b/>
          <w:sz w:val="20"/>
        </w:rPr>
        <w:t xml:space="preserve">(J)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All property, plant and equipment are shown at cost, less subsequent depreciation and impairment. Cost includes expenditure that is directly attributable to the acquisition of the items. Subsequent costs are included in the assets carrying amount or recognized as a separate asset, as appropriate, only when it is probable that future economic benefits associated with the item will flow to the Group and the cost of the item can be measured reliably.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Depreciation is calculated on a straight-line basis over the useful life, according to the following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bidi w:val="0"/>
              <w:spacing w:before="0" w:after="283"/>
              <w:jc w:val="left"/>
              <w:rPr>
                <w:b/>
              </w:rPr>
            </w:pPr>
            <w:r>
              <w:rPr>
                <w:b/>
              </w:rPr>
              <w:t>Category</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b/>
              </w:rPr>
            </w:pPr>
            <w:r>
              <w:rPr>
                <w:b/>
              </w:rPr>
              <w:t>Useful life in years</w:t>
            </w:r>
          </w:p>
        </w:tc>
      </w:tr>
      <w:tr>
        <w:trPr/>
        <w:tc>
          <w:tcPr>
            <w:tcW w:w="5204" w:type="dxa"/>
            <w:tcBorders/>
          </w:tcPr>
          <w:p>
            <w:pPr>
              <w:pStyle w:val="TableContents"/>
              <w:bidi w:val="0"/>
              <w:spacing w:before="0" w:after="283"/>
              <w:jc w:val="left"/>
              <w:rPr/>
            </w:pPr>
            <w:r>
              <w:rPr/>
              <w:t>Laboratory equipment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5 - 7</w:t>
            </w:r>
          </w:p>
        </w:tc>
      </w:tr>
      <w:tr>
        <w:trPr/>
        <w:tc>
          <w:tcPr>
            <w:tcW w:w="5204" w:type="dxa"/>
            <w:tcBorders/>
          </w:tcPr>
          <w:p>
            <w:pPr>
              <w:pStyle w:val="TableContents"/>
              <w:bidi w:val="0"/>
              <w:spacing w:before="0" w:after="283"/>
              <w:jc w:val="left"/>
              <w:rPr/>
            </w:pPr>
            <w:r>
              <w:rPr/>
              <w:t>Laboratory fixtures and fittings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10</w:t>
            </w:r>
          </w:p>
        </w:tc>
      </w:tr>
      <w:tr>
        <w:trPr/>
        <w:tc>
          <w:tcPr>
            <w:tcW w:w="5204" w:type="dxa"/>
            <w:tcBorders/>
          </w:tcPr>
          <w:p>
            <w:pPr>
              <w:pStyle w:val="TableContents"/>
              <w:bidi w:val="0"/>
              <w:spacing w:before="0" w:after="283"/>
              <w:jc w:val="left"/>
              <w:rPr/>
            </w:pPr>
            <w:r>
              <w:rPr/>
              <w:t>Office - IT tools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2 - 3</w:t>
            </w:r>
          </w:p>
        </w:tc>
      </w:tr>
      <w:tr>
        <w:trPr/>
        <w:tc>
          <w:tcPr>
            <w:tcW w:w="5204" w:type="dxa"/>
            <w:tcBorders/>
          </w:tcPr>
          <w:p>
            <w:pPr>
              <w:pStyle w:val="TableContents"/>
              <w:bidi w:val="0"/>
              <w:spacing w:before="0" w:after="283"/>
              <w:jc w:val="left"/>
              <w:rPr/>
            </w:pPr>
            <w:r>
              <w:rPr/>
              <w:t>Office furniture and equipment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5</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assets residual values and useful lives are reviewed, and adjusted if appropriate, at each balance sheet date. An assets carrying amount is impaired immediately to its recoverable amount if the assets carrying amount is greater than its estimated recoverable amount. Gains and losses on disposal or retirement of tangible fixed assets are determined by comparing the net proceeds received with the carrying amounts and are included in the consolidated income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(K) Intangible assets </w:t>
      </w:r>
    </w:p>
    <w:p>
      <w:pPr>
        <w:pStyle w:val="TextBody"/>
        <w:bidi w:val="0"/>
        <w:spacing w:before="120" w:after="0"/>
        <w:jc w:val="left"/>
        <w:rPr>
          <w:rFonts w:ascii="Times New Roman" w:hAnsi="Times New Roman"/>
          <w:i/>
          <w:sz w:val="20"/>
        </w:rPr>
      </w:pPr>
      <w:r>
        <w:rPr>
          <w:rFonts w:ascii="Times New Roman" w:hAnsi="Times New Roman"/>
          <w:i/>
          <w:sz w:val="20"/>
        </w:rPr>
        <w:t xml:space="preserve">(a) 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Research expenditure is recognized in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 The amortization of the licenses will start when the market approval is obtained. </w:t>
      </w:r>
    </w:p>
    <w:p>
      <w:pPr>
        <w:pStyle w:val="TextBody"/>
        <w:bidi w:val="0"/>
        <w:spacing w:before="360" w:after="0"/>
        <w:jc w:val="left"/>
        <w:rPr>
          <w:rFonts w:ascii="Times New Roman" w:hAnsi="Times New Roman"/>
          <w:i/>
          <w:sz w:val="20"/>
        </w:rPr>
      </w:pPr>
      <w:r>
        <w:rPr>
          <w:rFonts w:ascii="Times New Roman" w:hAnsi="Times New Roman"/>
          <w:i/>
          <w:sz w:val="20"/>
        </w:rPr>
        <w:t xml:space="preserve">(b) Licenses </w:t>
      </w:r>
    </w:p>
    <w:p>
      <w:pPr>
        <w:pStyle w:val="TextBody"/>
        <w:bidi w:val="0"/>
        <w:spacing w:before="120" w:after="0"/>
        <w:jc w:val="left"/>
        <w:rPr>
          <w:rFonts w:ascii="Times New Roman" w:hAnsi="Times New Roman"/>
          <w:sz w:val="20"/>
        </w:rPr>
      </w:pPr>
      <w:r>
        <w:rPr>
          <w:rFonts w:ascii="Times New Roman" w:hAnsi="Times New Roman"/>
          <w:sz w:val="20"/>
        </w:rPr>
        <w:t xml:space="preserve">Licenses acquired are capitalized as intangible assets at historical cost and amortized over their useful lives, which are determined on a basis of the expected pattern of consumption of the expected future economic benefits embodied in the licenses and which therefore commence only once the necessary regulatory and marketing approval has been received. These licenses are tested for impairment in the last quarter of each financial period, or when there is any indication for impairment. </w:t>
      </w:r>
    </w:p>
    <w:p>
      <w:pPr>
        <w:pStyle w:val="TextBody"/>
        <w:bidi w:val="0"/>
        <w:spacing w:before="240" w:after="0"/>
        <w:jc w:val="left"/>
        <w:rPr>
          <w:rFonts w:ascii="Times New Roman" w:hAnsi="Times New Roman"/>
          <w:sz w:val="20"/>
        </w:rPr>
      </w:pPr>
      <w:r>
        <w:rPr>
          <w:rFonts w:ascii="Times New Roman" w:hAnsi="Times New Roman"/>
          <w:sz w:val="20"/>
        </w:rPr>
        <w:t xml:space="preserve">Amortization of capitalized licenses is charged to research and development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(c) Impairment of licenses </w:t>
      </w:r>
    </w:p>
    <w:p>
      <w:pPr>
        <w:pStyle w:val="TextBody"/>
        <w:bidi w:val="0"/>
        <w:spacing w:before="120" w:after="0"/>
        <w:jc w:val="left"/>
        <w:rPr>
          <w:rFonts w:ascii="Times New Roman" w:hAnsi="Times New Roman"/>
          <w:sz w:val="20"/>
        </w:rPr>
      </w:pPr>
      <w:r>
        <w:rPr>
          <w:rFonts w:ascii="Times New Roman" w:hAnsi="Times New Roman"/>
          <w:sz w:val="20"/>
        </w:rPr>
        <w:t xml:space="preserve">Impairment of capitalized licenses is charged to research and development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 Impairment of non-financial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Assets that are subject to amortization are reviewed for impairment whenever events or changes in circumstances indicate that the carrying amount of the asset may not be recoverable. </w:t>
      </w:r>
    </w:p>
    <w:p>
      <w:pPr>
        <w:pStyle w:val="TextBody"/>
        <w:bidi w:val="0"/>
        <w:spacing w:before="240" w:after="0"/>
        <w:jc w:val="left"/>
        <w:rPr>
          <w:rFonts w:ascii="Times New Roman" w:hAnsi="Times New Roman"/>
          <w:sz w:val="20"/>
        </w:rPr>
      </w:pPr>
      <w:r>
        <w:rPr>
          <w:rFonts w:ascii="Times New Roman" w:hAnsi="Times New Roman"/>
          <w:sz w:val="20"/>
        </w:rPr>
        <w:t xml:space="preserve">An impairment loss is recognized for the amount by which the assets carrying amount exceeds its recoverable amount. The recoverable amount is the higher of the assets fair value less costs of disposal and value-in-use.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impairment testing, assets are grouped together into the smallest group of assets that generates cash inflows from continuing use that are largely independent of the cash flows of other assets (cash-generating units). Impairment losses are recognized in the income statement. Prior impairments of non-financial assets are reviewed for possible reversal of the impairment at each reporting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financial instruments used by the Group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and short-term deposits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Long-term financial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and other payables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financial instruments are carried at amortized cost. </w:t>
      </w:r>
    </w:p>
    <w:p>
      <w:pPr>
        <w:pStyle w:val="TextBody"/>
        <w:bidi w:val="0"/>
        <w:spacing w:before="240" w:after="0"/>
        <w:jc w:val="left"/>
        <w:rPr>
          <w:rFonts w:ascii="Times New Roman" w:hAnsi="Times New Roman"/>
          <w:sz w:val="20"/>
        </w:rPr>
      </w:pPr>
      <w:r>
        <w:rPr>
          <w:rFonts w:ascii="Times New Roman" w:hAnsi="Times New Roman"/>
          <w:sz w:val="20"/>
        </w:rPr>
        <w:t xml:space="preserve">Due to their short-term nature, the carrying value of cash and cash equivalents, other current assets, and trade and other payables approximates their fair value. For details of the fair value hierarchy, valuation techniques, and significant unobservable inputs related to determining the fair value of long-term financial debt, refer to Note 20. </w:t>
      </w:r>
    </w:p>
    <w:p>
      <w:pPr>
        <w:pStyle w:val="TextBody"/>
        <w:bidi w:val="0"/>
        <w:spacing w:before="360" w:after="0"/>
        <w:jc w:val="left"/>
        <w:rPr>
          <w:rFonts w:ascii="Times New Roman" w:hAnsi="Times New Roman"/>
          <w:i/>
          <w:sz w:val="20"/>
        </w:rPr>
      </w:pPr>
      <w:r>
        <w:rPr>
          <w:rFonts w:ascii="Times New Roman" w:hAnsi="Times New Roman"/>
          <w:i/>
          <w:sz w:val="20"/>
        </w:rPr>
        <w:t xml:space="preserve">(a)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amount of other receivables/current assets is reduced through the use of an allowance account, and the amount of the loss is recognized in the income statement. Subsequent recoveries of amounts previously written off are credited to the income statement. </w:t>
      </w:r>
    </w:p>
    <w:p>
      <w:pPr>
        <w:pStyle w:val="TextBody"/>
        <w:bidi w:val="0"/>
        <w:spacing w:before="360" w:after="0"/>
        <w:jc w:val="left"/>
        <w:rPr>
          <w:rFonts w:ascii="Times New Roman" w:hAnsi="Times New Roman"/>
          <w:i/>
          <w:sz w:val="20"/>
        </w:rPr>
      </w:pPr>
      <w:r>
        <w:rPr>
          <w:rFonts w:ascii="Times New Roman" w:hAnsi="Times New Roman"/>
          <w:i/>
          <w:sz w:val="20"/>
        </w:rPr>
        <w:t xml:space="preserve">(b) 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cash on hand and highly liquid investments with original maturities of three month or less. These investments are readily convertible to known amounts of cash. </w:t>
      </w:r>
    </w:p>
    <w:p>
      <w:pPr>
        <w:pStyle w:val="TextBody"/>
        <w:bidi w:val="0"/>
        <w:spacing w:before="360" w:after="0"/>
        <w:jc w:val="left"/>
        <w:rPr>
          <w:rFonts w:ascii="Times New Roman" w:hAnsi="Times New Roman"/>
          <w:i/>
          <w:sz w:val="20"/>
        </w:rPr>
      </w:pPr>
      <w:r>
        <w:rPr>
          <w:rFonts w:ascii="Times New Roman" w:hAnsi="Times New Roman"/>
          <w:i/>
          <w:sz w:val="20"/>
        </w:rPr>
        <w:t xml:space="preserve">(c) Long-term financial debt </w:t>
      </w:r>
    </w:p>
    <w:p>
      <w:pPr>
        <w:pStyle w:val="TextBody"/>
        <w:bidi w:val="0"/>
        <w:spacing w:before="120" w:after="0"/>
        <w:jc w:val="left"/>
        <w:rPr>
          <w:rFonts w:ascii="Times New Roman" w:hAnsi="Times New Roman"/>
          <w:sz w:val="20"/>
        </w:rPr>
      </w:pPr>
      <w:r>
        <w:rPr>
          <w:rFonts w:ascii="Times New Roman" w:hAnsi="Times New Roman"/>
          <w:sz w:val="20"/>
        </w:rPr>
        <w:t xml:space="preserve">Long-term financial debt exclusively results from the issuance of preferred shares that qualify as financial liabilities under IAS 32. Long-term financial debt is carried at amortized cost, plus the accrued interest/preferred dividend payments that are due by the Group under certain conditions. Refer to Note 14 for further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Lease liabilities are measured at the present value of the expected contractual payments due to the lessor over the lease term, with the discount rate determined by reference to the rate inherent in the lease unless this is not readily determinable, in which case the Groups incremental borrowing rate on commencement date of the lease is used. </w:t>
      </w:r>
    </w:p>
    <w:p>
      <w:pPr>
        <w:pStyle w:val="TextBody"/>
        <w:bidi w:val="0"/>
        <w:spacing w:before="360" w:after="0"/>
        <w:jc w:val="left"/>
        <w:rPr>
          <w:rFonts w:ascii="Times New Roman" w:hAnsi="Times New Roman"/>
          <w:i/>
          <w:sz w:val="20"/>
        </w:rPr>
      </w:pPr>
      <w:r>
        <w:rPr>
          <w:rFonts w:ascii="Times New Roman" w:hAnsi="Times New Roman"/>
          <w:i/>
          <w:sz w:val="20"/>
        </w:rPr>
        <w:t xml:space="preserve">(e) Trade and other payables </w:t>
      </w:r>
    </w:p>
    <w:p>
      <w:pPr>
        <w:pStyle w:val="TextBody"/>
        <w:bidi w:val="0"/>
        <w:spacing w:before="120" w:after="0"/>
        <w:jc w:val="left"/>
        <w:rPr>
          <w:rFonts w:ascii="Times New Roman" w:hAnsi="Times New Roman"/>
          <w:sz w:val="20"/>
        </w:rPr>
      </w:pPr>
      <w:r>
        <w:rPr>
          <w:rFonts w:ascii="Times New Roman" w:hAnsi="Times New Roman"/>
          <w:sz w:val="20"/>
        </w:rPr>
        <w:t xml:space="preserve">Trade and other payables are amounts due to third parties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(N) Employee benefits </w:t>
      </w:r>
    </w:p>
    <w:p>
      <w:pPr>
        <w:pStyle w:val="TextBody"/>
        <w:bidi w:val="0"/>
        <w:spacing w:before="120" w:after="0"/>
        <w:jc w:val="left"/>
        <w:rPr>
          <w:rFonts w:ascii="Times New Roman" w:hAnsi="Times New Roman"/>
          <w:i/>
          <w:sz w:val="20"/>
        </w:rPr>
      </w:pPr>
      <w:r>
        <w:rPr>
          <w:rFonts w:ascii="Times New Roman" w:hAnsi="Times New Roman"/>
          <w:i/>
          <w:sz w:val="20"/>
        </w:rPr>
        <w:t xml:space="preserve">(a) Pension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operates a defined benefit pension plan for its Swiss-based employees, which is held in multi-employer fund. The pension plan is funded by payments from employees and from the Company. The Companys contributions to the defined contribution plans are charged to the income statement in the year to which they relate.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liability / asset recognized in the balance sheet in respect of defined benefit pension plans is the present value of the defined benefit obligation at the balance sheet date less the fair value of plan assets and the possible effect of the asset ceiling, together with adjustments for unrecognized past-service costs. The defined benefit obligation is calculated annually by independent actuaries using the projected unit credit method. </w:t>
      </w:r>
    </w:p>
    <w:p>
      <w:pPr>
        <w:pStyle w:val="TextBody"/>
        <w:bidi w:val="0"/>
        <w:spacing w:before="240" w:after="0"/>
        <w:jc w:val="left"/>
        <w:rPr>
          <w:rFonts w:ascii="Times New Roman" w:hAnsi="Times New Roman"/>
          <w:sz w:val="20"/>
        </w:rPr>
      </w:pPr>
      <w:r>
        <w:rPr>
          <w:rFonts w:ascii="Times New Roman" w:hAnsi="Times New Roman"/>
          <w:sz w:val="20"/>
        </w:rPr>
        <w:t xml:space="preserve">When the company has a surplus in the defined benefit pension plans, it measures the net defined benefit asset at the lower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surplus in the defined benefit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asset ceiling (being the present value of any economic benefits available in the form of refunds from the plan or reductions in future contributions to the plan), determined using the discount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does not expect any refunds or contribution reductions in case of a surplus in the defined benefit pension plan calculated per IAS 19, therefore no assets would be recognized in the Consolidated Statements of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present value of the defined benefit obligation is determined by discounting the estimated future cash outflows using interest rates of high-quality corporate bonds that are denominated in the currency in which the benefits will be paid, and that have terms to maturity approximating to the terms of the related pension liability. </w:t>
      </w:r>
    </w:p>
    <w:p>
      <w:pPr>
        <w:pStyle w:val="TextBody"/>
        <w:bidi w:val="0"/>
        <w:spacing w:before="240" w:after="0"/>
        <w:jc w:val="left"/>
        <w:rPr>
          <w:rFonts w:ascii="Times New Roman" w:hAnsi="Times New Roman"/>
          <w:sz w:val="20"/>
        </w:rPr>
      </w:pPr>
      <w:r>
        <w:rPr>
          <w:rFonts w:ascii="Times New Roman" w:hAnsi="Times New Roman"/>
          <w:sz w:val="20"/>
        </w:rPr>
        <w:t xml:space="preserve">Actuarial gains and losses arising from experience adjustments and changes in actuarial assumptions are charged or credited to equity in other comprehensive income in the period in which they arise. </w:t>
      </w:r>
    </w:p>
    <w:p>
      <w:pPr>
        <w:pStyle w:val="TextBody"/>
        <w:bidi w:val="0"/>
        <w:spacing w:before="240" w:after="0"/>
        <w:jc w:val="left"/>
        <w:rPr>
          <w:rFonts w:ascii="Times New Roman" w:hAnsi="Times New Roman"/>
          <w:sz w:val="20"/>
        </w:rPr>
      </w:pPr>
      <w:r>
        <w:rPr>
          <w:rFonts w:ascii="Times New Roman" w:hAnsi="Times New Roman"/>
          <w:sz w:val="20"/>
        </w:rPr>
        <w:t xml:space="preserve">Past-service costs are recognized immediately in income, unless the changes to the pension plan are conditional on the employees remaining in service for a specified period of time (the vesting period). In this case, the past-service costs are amortized on a straight-line basis over the vesting period. </w:t>
      </w:r>
    </w:p>
    <w:p>
      <w:pPr>
        <w:pStyle w:val="TextBody"/>
        <w:bidi w:val="0"/>
        <w:spacing w:before="360" w:after="0"/>
        <w:jc w:val="left"/>
        <w:rPr>
          <w:rFonts w:ascii="Times New Roman" w:hAnsi="Times New Roman"/>
          <w:i/>
          <w:sz w:val="20"/>
        </w:rPr>
      </w:pPr>
      <w:r>
        <w:rPr>
          <w:rFonts w:ascii="Times New Roman" w:hAnsi="Times New Roman"/>
          <w:i/>
          <w:sz w:val="20"/>
        </w:rPr>
        <w:t xml:space="preserve">(b) Employee participation </w:t>
      </w:r>
    </w:p>
    <w:p>
      <w:pPr>
        <w:pStyle w:val="TextBody"/>
        <w:bidi w:val="0"/>
        <w:spacing w:before="120" w:after="0"/>
        <w:jc w:val="left"/>
        <w:rPr>
          <w:rFonts w:ascii="Times New Roman" w:hAnsi="Times New Roman"/>
          <w:sz w:val="20"/>
        </w:rPr>
      </w:pPr>
      <w:r>
        <w:rPr>
          <w:rFonts w:ascii="Times New Roman" w:hAnsi="Times New Roman"/>
          <w:sz w:val="20"/>
        </w:rPr>
        <w:t xml:space="preserve">The Group operates an equity-settled, share-based compensation plan, under which the entity receives services from employees as consideration for equity instruments (e.g. options) of the Group. The fair value of the employee services received in exchange for the grant of the options is recognized as an expense. </w:t>
      </w:r>
    </w:p>
    <w:p>
      <w:pPr>
        <w:pStyle w:val="TextBody"/>
        <w:bidi w:val="0"/>
        <w:spacing w:before="240" w:after="0"/>
        <w:jc w:val="left"/>
        <w:rPr>
          <w:rFonts w:ascii="Times New Roman" w:hAnsi="Times New Roman"/>
          <w:sz w:val="20"/>
        </w:rPr>
      </w:pPr>
      <w:r>
        <w:rPr>
          <w:rFonts w:ascii="Times New Roman" w:hAnsi="Times New Roman"/>
          <w:sz w:val="20"/>
        </w:rPr>
        <w:t xml:space="preserve">Non-market vesting conditions are included in assumptions about the number of options that are expected to vest. The total expense is recognized over the vesting period, which is the period over which all of the specified vesting conditions are to be satisfied. At the end of each reporting period, the entity revises its estimates of the number of options that are expected to vest based on the non-marketing vesting conditions. It recognizes the impact of the revision to original estimates, if any, in the income statement, with a corresponding adjustment to equity. </w:t>
      </w:r>
    </w:p>
    <w:p>
      <w:pPr>
        <w:pStyle w:val="TextBody"/>
        <w:bidi w:val="0"/>
        <w:spacing w:before="240" w:after="0"/>
        <w:jc w:val="left"/>
        <w:rPr>
          <w:rFonts w:ascii="Times New Roman" w:hAnsi="Times New Roman"/>
          <w:sz w:val="20"/>
        </w:rPr>
      </w:pPr>
      <w:r>
        <w:rPr>
          <w:rFonts w:ascii="Times New Roman" w:hAnsi="Times New Roman"/>
          <w:sz w:val="20"/>
        </w:rPr>
        <w:t xml:space="preserve">When the options are exercised, the Company issues new shares. The proceeds received net of any directly attributable transaction costs are credited to share capital (nominal value) and share premium when the options are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(O) Capitalization of 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transaction costs within Other current assets in the Companys consolidated balance sheet when costs are directly attributable to new equity financing instrument (including business combination related transactions) when it is highly probable that the financing transaction will take place in the future. If and when the Company completes the transaction, capitalized transaction costs will be offset against the proceeds and will be recorded as a reduction of share premium within the Companys consolidated balance sheet. If the Company determines that it is not highly probable that the transaction will be completed, the Company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write-off capitalized transaction costs incurred during that respective quarter in the consolidated statement of loss. </w:t>
      </w:r>
    </w:p>
    <w:p>
      <w:pPr>
        <w:pStyle w:val="TextBody"/>
        <w:bidi w:val="0"/>
        <w:spacing w:before="360" w:after="0"/>
        <w:jc w:val="left"/>
        <w:rPr>
          <w:rFonts w:ascii="Times New Roman" w:hAnsi="Times New Roman"/>
          <w:b/>
          <w:sz w:val="20"/>
        </w:rPr>
      </w:pPr>
      <w:r>
        <w:rPr>
          <w:rFonts w:ascii="Times New Roman" w:hAnsi="Times New Roman"/>
          <w:b/>
          <w:sz w:val="20"/>
        </w:rPr>
        <w:t xml:space="preserve">(P) Standard and Interpretations in issue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There are no IFRS standards, amendments or interpretations not yet effective that would be expected to have a material impact on Oculis.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CRITICAL ACCOUNTING ESTIMATES AND JUDGMENTS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principal accounting policies are set out in Note 3 of the Groups consolidated financial statements and conform to International Financial Reporting Standards (IFRS). Significant judgments and estimates are used in the preparation of the consolidated financial statements which, to the extent that actual outcomes and results may differ from these assumptions and estimates, could affect the accounting in the areas described in this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(A) Impairment of licenses </w:t>
      </w:r>
    </w:p>
    <w:p>
      <w:pPr>
        <w:pStyle w:val="TextBody"/>
        <w:bidi w:val="0"/>
        <w:spacing w:before="120" w:after="0"/>
        <w:jc w:val="left"/>
        <w:rPr>
          <w:rFonts w:ascii="Times New Roman" w:hAnsi="Times New Roman"/>
          <w:sz w:val="20"/>
        </w:rPr>
      </w:pPr>
      <w:r>
        <w:rPr>
          <w:rFonts w:ascii="Times New Roman" w:hAnsi="Times New Roman"/>
          <w:sz w:val="20"/>
        </w:rPr>
        <w:t xml:space="preserve">The Group assesses whether there are any indicators of impairment for all licenses at each reporting date, which refers exclusively to the licenses of two specific product candidates: OCS-02 and OCS-05. Given the stage Oculis development activities and the importance of both products in Oculis portfolio, the impairment test is performed first on the basis of a fair value model for the entire Company using a market approach, and second on the basis of the continued development feasibility of the relevant product candidate. Refer to Note 8. </w:t>
      </w:r>
    </w:p>
    <w:p>
      <w:pPr>
        <w:pStyle w:val="TextBody"/>
        <w:bidi w:val="0"/>
        <w:spacing w:before="360" w:after="0"/>
        <w:jc w:val="left"/>
        <w:rPr>
          <w:rFonts w:ascii="Times New Roman" w:hAnsi="Times New Roman"/>
          <w:b/>
          <w:sz w:val="20"/>
        </w:rPr>
      </w:pPr>
      <w:r>
        <w:rPr>
          <w:rFonts w:ascii="Times New Roman" w:hAnsi="Times New Roman"/>
          <w:b/>
          <w:sz w:val="20"/>
        </w:rPr>
        <w:t xml:space="preserve">(B) Deferred 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income tax assets are recognized for all unused tax losses only to the extent that it is probable that taxable profits will be available against which the losses can be utilized. Judgment is required from management to determine the amount of tax asset that can be recognized, based on forecasts and tax planning strategies. Given the uncertainty in the realization of future taxable profits, no deferred tax asset on unused tax losses has been recognized as of December 31, 2022, 2021and 2020. Refer to Note 6. (E). </w:t>
      </w:r>
    </w:p>
    <w:p>
      <w:pPr>
        <w:pStyle w:val="TextBody"/>
        <w:bidi w:val="0"/>
        <w:spacing w:before="360" w:after="0"/>
        <w:jc w:val="left"/>
        <w:rPr>
          <w:rFonts w:ascii="Times New Roman" w:hAnsi="Times New Roman"/>
          <w:b/>
          <w:sz w:val="20"/>
        </w:rPr>
      </w:pPr>
      <w:r>
        <w:rPr>
          <w:rFonts w:ascii="Times New Roman" w:hAnsi="Times New Roman"/>
          <w:b/>
          <w:sz w:val="20"/>
        </w:rPr>
        <w:t xml:space="preserve">(C) Pension benefits </w:t>
      </w:r>
    </w:p>
    <w:p>
      <w:pPr>
        <w:pStyle w:val="TextBody"/>
        <w:bidi w:val="0"/>
        <w:spacing w:before="120" w:after="0"/>
        <w:jc w:val="left"/>
        <w:rPr>
          <w:rFonts w:ascii="Times New Roman" w:hAnsi="Times New Roman"/>
          <w:sz w:val="20"/>
        </w:rPr>
      </w:pPr>
      <w:r>
        <w:rPr>
          <w:rFonts w:ascii="Times New Roman" w:hAnsi="Times New Roman"/>
          <w:sz w:val="20"/>
        </w:rPr>
        <w:t xml:space="preserve">The present value of the pension obligations depends on several factors that are determined on an actuarial basis using a number of assumptions. The assumptions used in determining the net cost (income) for pensions include the discount rate. Any changes in these assumptions will impact the carrying amount of pension obligations. The independent actuary of the Group uses statistical based assumptions covering future withdrawals of participants from the plan and estimates on life expectancy. The actuarial assumptions used may differ materially from actual results due to changes in market and economic conditions, higher or lower withdrawal rates or longer or shorter life spans of participants. These differences could have a significant impact on the amount of pension income or expenses recognized in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Group determines the appropriate discount rate at the end of each year. This is the interest rate used to determine the present value of estimated future cash outflows expected to be required to settle the pension obligations. In determining the appropriate discount rate, the Group considers the interest rates of high-quality corporate bonds that are denominated in the currency in which the benefits will be paid, and that have terms to maturity approximating the terms of the related pension liability. Other key assumptions for pension obligations are based in part on current market conditions. Refer to Note 11. </w:t>
      </w:r>
    </w:p>
    <w:p>
      <w:pPr>
        <w:pStyle w:val="TextBody"/>
        <w:bidi w:val="0"/>
        <w:spacing w:before="360" w:after="0"/>
        <w:jc w:val="left"/>
        <w:rPr>
          <w:rFonts w:ascii="Times New Roman" w:hAnsi="Times New Roman"/>
          <w:b/>
          <w:sz w:val="20"/>
        </w:rPr>
      </w:pPr>
      <w:r>
        <w:rPr>
          <w:rFonts w:ascii="Times New Roman" w:hAnsi="Times New Roman"/>
          <w:b/>
          <w:sz w:val="20"/>
        </w:rPr>
        <w:t xml:space="preserve">(D) Share-based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an equity-settled, share-based compensation plan. The fair value of the employee services received in exchange for the grant of equity-based awards is recognized as an expense. The total amount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expensed over the vesting period is determined by reference to the fair value of the instruments granted, excluding the impact of any non-market vesting conditions, if applicable.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are valued using the Black-Scholes option-pricing model (see Note 12). This valuation model as well as parameters used such as expected volatility and expected term of the stock options are partially based on managements estimates. The Company estimates the fair value of non-vested stock awards (restricted shares and restricted share units) using a reasonable estimate of market value of the common stock on the date of the award. The Company classifies its share-based payments as equity-classified awards as they are settled in shares of the common stock. The Company measures equity-classified awards at their grant date fair value and does not subsequently remeasure them. Compensation costs related to equity-classified awards are equal to the fair value of the award at grant-date amortized over the vesting period of the award using the graded method. The Company reclassifies a portion of vested awards to share premium as the awards vest. The proceeds received net of any directly attributable transaction costs are credited to share capital (nominal value) and share premium when the options are exercised.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Overview of non-current assets, excluding financial and deferred income tax assets, by geographic area: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3"/>
        <w:gridCol w:w="137"/>
        <w:gridCol w:w="60"/>
        <w:gridCol w:w="698"/>
        <w:gridCol w:w="60"/>
        <w:gridCol w:w="137"/>
        <w:gridCol w:w="60"/>
        <w:gridCol w:w="560"/>
        <w:gridCol w:w="60"/>
        <w:gridCol w:w="137"/>
        <w:gridCol w:w="60"/>
        <w:gridCol w:w="560"/>
        <w:gridCol w:w="60"/>
        <w:gridCol w:w="137"/>
        <w:gridCol w:w="59"/>
        <w:gridCol w:w="560"/>
        <w:gridCol w:w="60"/>
        <w:gridCol w:w="137"/>
        <w:gridCol w:w="158"/>
        <w:gridCol w:w="357"/>
        <w:gridCol w:w="73"/>
        <w:gridCol w:w="156"/>
        <w:gridCol w:w="157"/>
        <w:gridCol w:w="358"/>
        <w:gridCol w:w="60"/>
        <w:gridCol w:w="137"/>
        <w:gridCol w:w="60"/>
        <w:gridCol w:w="697"/>
        <w:gridCol w:w="60"/>
        <w:gridCol w:w="137"/>
        <w:gridCol w:w="60"/>
        <w:gridCol w:w="698"/>
        <w:gridCol w:w="72"/>
      </w:tblGrid>
      <w:tr>
        <w:trPr/>
        <w:tc>
          <w:tcPr>
            <w:tcW w:w="342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3423" w:type="dxa"/>
            <w:tcBorders/>
            <w:vAlign w:val="bottom"/>
          </w:tcPr>
          <w:p>
            <w:pPr>
              <w:pStyle w:val="TableContents"/>
              <w:bidi w:val="0"/>
              <w:spacing w:before="0" w:after="283"/>
              <w:jc w:val="left"/>
              <w:rPr>
                <w:i/>
              </w:rPr>
            </w:pPr>
            <w:r>
              <w:rPr>
                <w:i/>
              </w:rPr>
              <w:t>in CHF thousands</w:t>
            </w:r>
          </w:p>
        </w:tc>
        <w:tc>
          <w:tcPr>
            <w:tcW w:w="137" w:type="dxa"/>
            <w:tcBorders/>
            <w:vAlign w:val="bottom"/>
          </w:tcPr>
          <w:p>
            <w:pPr>
              <w:pStyle w:val="TableContents"/>
              <w:bidi w:val="0"/>
              <w:spacing w:before="0" w:after="283"/>
              <w:jc w:val="left"/>
              <w:rPr/>
            </w:pPr>
            <w:r>
              <w:rPr/>
              <w:t>  </w:t>
            </w:r>
          </w:p>
        </w:tc>
        <w:tc>
          <w:tcPr>
            <w:tcW w:w="15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Switzerland</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Iceland</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2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Others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7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3423"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72" w:type="dxa"/>
            <w:tcBorders/>
            <w:vAlign w:val="bottom"/>
          </w:tcPr>
          <w:p>
            <w:pPr>
              <w:pStyle w:val="TableContents"/>
              <w:bidi w:val="0"/>
              <w:spacing w:before="0" w:after="283"/>
              <w:jc w:val="left"/>
              <w:rPr/>
            </w:pPr>
            <w:r>
              <w:rPr/>
              <w:t> </w:t>
            </w:r>
          </w:p>
        </w:tc>
      </w:tr>
      <w:tr>
        <w:trPr/>
        <w:tc>
          <w:tcPr>
            <w:tcW w:w="3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12,206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8,724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12,206</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8,724</w:t>
            </w:r>
          </w:p>
        </w:tc>
        <w:tc>
          <w:tcPr>
            <w:tcW w:w="72" w:type="dxa"/>
            <w:tcBorders/>
            <w:shd w:fill="CCEEFF" w:val="clear"/>
            <w:vAlign w:val="bottom"/>
          </w:tcPr>
          <w:p>
            <w:pPr>
              <w:pStyle w:val="TableContents"/>
              <w:bidi w:val="0"/>
              <w:spacing w:before="0" w:after="283"/>
              <w:jc w:val="left"/>
              <w:rPr/>
            </w:pPr>
            <w:r>
              <w:rPr/>
              <w:t> </w:t>
            </w:r>
          </w:p>
        </w:tc>
      </w:tr>
      <w:tr>
        <w:trPr/>
        <w:tc>
          <w:tcPr>
            <w:tcW w:w="3423"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&amp; equipment</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338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400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pPr>
            <w:r>
              <w:rPr/>
              <w:t>3</w:t>
            </w:r>
          </w:p>
        </w:tc>
        <w:tc>
          <w:tcPr>
            <w:tcW w:w="7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365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431</w:t>
            </w:r>
          </w:p>
        </w:tc>
        <w:tc>
          <w:tcPr>
            <w:tcW w:w="72" w:type="dxa"/>
            <w:tcBorders/>
            <w:vAlign w:val="bottom"/>
          </w:tcPr>
          <w:p>
            <w:pPr>
              <w:pStyle w:val="TableContents"/>
              <w:bidi w:val="0"/>
              <w:spacing w:before="0" w:after="283"/>
              <w:jc w:val="left"/>
              <w:rPr/>
            </w:pPr>
            <w:r>
              <w:rPr/>
              <w:t> </w:t>
            </w:r>
          </w:p>
        </w:tc>
      </w:tr>
      <w:tr>
        <w:trPr/>
        <w:tc>
          <w:tcPr>
            <w:tcW w:w="34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758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803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758</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855</w:t>
            </w:r>
          </w:p>
        </w:tc>
        <w:tc>
          <w:tcPr>
            <w:tcW w:w="72" w:type="dxa"/>
            <w:tcBorders/>
            <w:shd w:fill="CCEEFF" w:val="clear"/>
            <w:vAlign w:val="bottom"/>
          </w:tcPr>
          <w:p>
            <w:pPr>
              <w:pStyle w:val="TableContents"/>
              <w:bidi w:val="0"/>
              <w:spacing w:before="0" w:after="283"/>
              <w:jc w:val="left"/>
              <w:rPr/>
            </w:pPr>
            <w:r>
              <w:rPr/>
              <w:t> </w:t>
            </w:r>
          </w:p>
        </w:tc>
      </w:tr>
      <w:tr>
        <w:trPr/>
        <w:tc>
          <w:tcPr>
            <w:tcW w:w="342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3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342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12,230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8,805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1,096</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b/>
              </w:rPr>
            </w:pPr>
            <w:r>
              <w:rPr>
                <w:b/>
              </w:rPr>
              <w:t>1,203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right"/>
              <w:rPr>
                <w:b/>
              </w:rPr>
            </w:pPr>
            <w:r>
              <w:rPr>
                <w:b/>
              </w:rPr>
              <w:t>3</w:t>
            </w:r>
          </w:p>
        </w:tc>
        <w:tc>
          <w:tcPr>
            <w:tcW w:w="7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b/>
              </w:rPr>
            </w:pPr>
            <w:r>
              <w:rPr>
                <w:b/>
              </w:rPr>
              <w:t>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b/>
              </w:rPr>
            </w:pPr>
            <w:r>
              <w:rPr>
                <w:b/>
              </w:rPr>
              <w:t>13,329</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10,010</w:t>
            </w:r>
          </w:p>
        </w:tc>
        <w:tc>
          <w:tcPr>
            <w:tcW w:w="72" w:type="dxa"/>
            <w:tcBorders/>
            <w:vAlign w:val="bottom"/>
          </w:tcPr>
          <w:p>
            <w:pPr>
              <w:pStyle w:val="TableContents"/>
              <w:bidi w:val="0"/>
              <w:spacing w:before="0" w:after="283"/>
              <w:jc w:val="left"/>
              <w:rPr/>
            </w:pPr>
            <w:r>
              <w:rPr/>
              <w:t> </w:t>
            </w:r>
          </w:p>
        </w:tc>
      </w:tr>
      <w:tr>
        <w:trPr/>
        <w:tc>
          <w:tcPr>
            <w:tcW w:w="3423"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357"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3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AND EXPENSES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GRANT INCOME </w:t>
      </w:r>
    </w:p>
    <w:p>
      <w:pPr>
        <w:pStyle w:val="TextBody"/>
        <w:bidi w:val="0"/>
        <w:spacing w:before="120" w:after="0"/>
        <w:jc w:val="left"/>
        <w:rPr>
          <w:rFonts w:ascii="Times New Roman" w:hAnsi="Times New Roman"/>
          <w:sz w:val="20"/>
        </w:rPr>
      </w:pPr>
      <w:r>
        <w:rPr>
          <w:rFonts w:ascii="Times New Roman" w:hAnsi="Times New Roman"/>
          <w:sz w:val="20"/>
        </w:rPr>
        <w:t xml:space="preserve">Grant income reflects research and development expenses reimbursements and certain research projects managed by Icelandic governmental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Government grants correspond to tax reimbursements on research and development expenses and as subsidies on specific research projects by Icelandic governmental institutions. Icelandic government grant income for the year ended December 31, 2022, is CHF 912 thousand compared to CHF 960 thousand and CHF 993 thousand for the same periods in 2021and 2020, respectively. Refer to Note 10. </w:t>
      </w:r>
    </w:p>
    <w:p>
      <w:pPr>
        <w:pStyle w:val="TextBody"/>
        <w:bidi w:val="0"/>
        <w:spacing w:before="360" w:after="0"/>
        <w:jc w:val="left"/>
        <w:rPr>
          <w:rFonts w:ascii="Times New Roman" w:hAnsi="Times New Roman"/>
          <w:sz w:val="20"/>
        </w:rPr>
      </w:pPr>
      <w:r>
        <w:rPr>
          <w:rFonts w:ascii="Times New Roman" w:hAnsi="Times New Roman"/>
          <w:b/>
          <w:sz w:val="20"/>
        </w:rPr>
        <w:t>(B) OPERATING EXPENSES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124"/>
        <w:gridCol w:w="60"/>
        <w:gridCol w:w="759"/>
        <w:gridCol w:w="155"/>
        <w:gridCol w:w="70"/>
        <w:gridCol w:w="60"/>
        <w:gridCol w:w="635"/>
        <w:gridCol w:w="155"/>
        <w:gridCol w:w="70"/>
        <w:gridCol w:w="60"/>
        <w:gridCol w:w="635"/>
        <w:gridCol w:w="155"/>
        <w:gridCol w:w="70"/>
        <w:gridCol w:w="59"/>
        <w:gridCol w:w="635"/>
        <w:gridCol w:w="155"/>
        <w:gridCol w:w="70"/>
        <w:gridCol w:w="60"/>
        <w:gridCol w:w="635"/>
        <w:gridCol w:w="155"/>
        <w:gridCol w:w="70"/>
        <w:gridCol w:w="60"/>
        <w:gridCol w:w="635"/>
        <w:gridCol w:w="155"/>
        <w:gridCol w:w="70"/>
        <w:gridCol w:w="60"/>
        <w:gridCol w:w="758"/>
        <w:gridCol w:w="155"/>
        <w:gridCol w:w="70"/>
        <w:gridCol w:w="60"/>
        <w:gridCol w:w="635"/>
        <w:gridCol w:w="155"/>
        <w:gridCol w:w="70"/>
        <w:gridCol w:w="60"/>
        <w:gridCol w:w="635"/>
        <w:gridCol w:w="171"/>
      </w:tblGrid>
      <w:tr>
        <w:trPr/>
        <w:tc>
          <w:tcPr>
            <w:tcW w:w="160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left"/>
              <w:rPr>
                <w:i/>
              </w:rPr>
            </w:pPr>
            <w:r>
              <w:rPr>
                <w:i/>
              </w:rPr>
              <w:t>in CHF thousands</w:t>
            </w:r>
          </w:p>
        </w:tc>
        <w:tc>
          <w:tcPr>
            <w:tcW w:w="124" w:type="dxa"/>
            <w:tcBorders/>
            <w:vAlign w:val="bottom"/>
          </w:tcPr>
          <w:p>
            <w:pPr>
              <w:pStyle w:val="TableContents"/>
              <w:bidi w:val="0"/>
              <w:spacing w:before="0" w:after="283"/>
              <w:jc w:val="left"/>
              <w:rPr/>
            </w:pPr>
            <w:r>
              <w:rPr/>
              <w:t>  </w:t>
            </w:r>
          </w:p>
        </w:tc>
        <w:tc>
          <w:tcPr>
            <w:tcW w:w="8301"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71"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659" w:type="dxa"/>
            <w:gridSpan w:val="10"/>
            <w:tcBorders/>
            <w:vAlign w:val="bottom"/>
          </w:tcPr>
          <w:p>
            <w:pPr>
              <w:pStyle w:val="TableContents"/>
              <w:bidi w:val="0"/>
              <w:spacing w:before="0" w:after="283"/>
              <w:jc w:val="center"/>
              <w:rPr>
                <w:b/>
              </w:rPr>
            </w:pPr>
            <w:r>
              <w:rPr>
                <w:b/>
              </w:rPr>
              <w:t>Research and Development</w:t>
              <w:br/>
              <w:t>Expenses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534" w:type="dxa"/>
            <w:gridSpan w:val="10"/>
            <w:tcBorders/>
            <w:vAlign w:val="bottom"/>
          </w:tcPr>
          <w:p>
            <w:pPr>
              <w:pStyle w:val="TableContents"/>
              <w:bidi w:val="0"/>
              <w:spacing w:before="0" w:after="283"/>
              <w:jc w:val="center"/>
              <w:rPr>
                <w:b/>
              </w:rPr>
            </w:pPr>
            <w:r>
              <w:rPr>
                <w:b/>
              </w:rPr>
              <w:t>General and Administrative</w:t>
              <w:br/>
              <w:t>Expenses</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658" w:type="dxa"/>
            <w:gridSpan w:val="10"/>
            <w:tcBorders/>
            <w:vAlign w:val="bottom"/>
          </w:tcPr>
          <w:p>
            <w:pPr>
              <w:pStyle w:val="TableContents"/>
              <w:bidi w:val="0"/>
              <w:spacing w:before="0" w:after="283"/>
              <w:jc w:val="center"/>
              <w:rPr>
                <w:b/>
              </w:rPr>
            </w:pPr>
            <w:r>
              <w:rPr>
                <w:b/>
              </w:rPr>
              <w:t>Total Operating Expenses</w:t>
            </w:r>
          </w:p>
        </w:tc>
        <w:tc>
          <w:tcPr>
            <w:tcW w:w="171"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71" w:type="dxa"/>
            <w:tcBorders/>
            <w:vAlign w:val="bottom"/>
          </w:tcPr>
          <w:p>
            <w:pPr>
              <w:pStyle w:val="TableContents"/>
              <w:bidi w:val="0"/>
              <w:spacing w:before="0" w:after="283"/>
              <w:jc w:val="left"/>
              <w:rPr/>
            </w:pPr>
            <w:r>
              <w:rPr/>
              <w:t> </w:t>
            </w:r>
          </w:p>
        </w:tc>
      </w:tr>
      <w:tr>
        <w:trPr/>
        <w:tc>
          <w:tcPr>
            <w:tcW w:w="16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Personnel expense</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(4,608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(4,407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(3,826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(4,449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(2,416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(1,771</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(9,057</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(6,823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(5,597</w:t>
            </w:r>
          </w:p>
        </w:tc>
        <w:tc>
          <w:tcPr>
            <w:tcW w:w="171" w:type="dxa"/>
            <w:tcBorders/>
            <w:shd w:fill="CCEEFF" w:val="clear"/>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609" w:type="dxa"/>
            <w:tcBorders/>
          </w:tcPr>
          <w:p>
            <w:pPr>
              <w:pStyle w:val="TableContents"/>
              <w:bidi w:val="0"/>
              <w:spacing w:before="0" w:after="0"/>
              <w:jc w:val="left"/>
              <w:rPr>
                <w:rFonts w:ascii="Times New Roman" w:hAnsi="Times New Roman"/>
                <w:sz w:val="20"/>
              </w:rPr>
            </w:pPr>
            <w:r>
              <w:rPr>
                <w:rFonts w:ascii="Times New Roman" w:hAnsi="Times New Roman"/>
                <w:sz w:val="20"/>
              </w:rPr>
              <w:t>Payroll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(4,313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(4,189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(3,612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(3,939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(2,306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(1,657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(8,252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(6,495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(5,269</w:t>
            </w:r>
          </w:p>
        </w:tc>
        <w:tc>
          <w:tcPr>
            <w:tcW w:w="171" w:type="dxa"/>
            <w:tcBorders/>
            <w:vAlign w:val="bottom"/>
          </w:tcPr>
          <w:p>
            <w:pPr>
              <w:pStyle w:val="TableContents"/>
              <w:bidi w:val="0"/>
              <w:spacing w:before="0" w:after="283"/>
              <w:jc w:val="left"/>
              <w:rPr/>
            </w:pPr>
            <w:r>
              <w:rPr/>
              <w:t>) </w:t>
            </w:r>
          </w:p>
        </w:tc>
      </w:tr>
      <w:tr>
        <w:trPr/>
        <w:tc>
          <w:tcPr>
            <w:tcW w:w="1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(295</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(328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(328</w:t>
            </w:r>
          </w:p>
        </w:tc>
        <w:tc>
          <w:tcPr>
            <w:tcW w:w="171" w:type="dxa"/>
            <w:tcBorders/>
            <w:shd w:fill="CCEEFF" w:val="clear"/>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1609"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(17,616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(5,161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(5,510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(6,615</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(2,208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(2,221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(24,231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(7,369</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(7,732</w:t>
            </w:r>
          </w:p>
        </w:tc>
        <w:tc>
          <w:tcPr>
            <w:tcW w:w="171"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291"/>
        <w:gridCol w:w="122"/>
        <w:gridCol w:w="60"/>
        <w:gridCol w:w="757"/>
        <w:gridCol w:w="155"/>
        <w:gridCol w:w="65"/>
        <w:gridCol w:w="60"/>
        <w:gridCol w:w="635"/>
        <w:gridCol w:w="155"/>
        <w:gridCol w:w="65"/>
        <w:gridCol w:w="60"/>
        <w:gridCol w:w="635"/>
        <w:gridCol w:w="155"/>
        <w:gridCol w:w="65"/>
        <w:gridCol w:w="60"/>
        <w:gridCol w:w="756"/>
        <w:gridCol w:w="155"/>
        <w:gridCol w:w="65"/>
        <w:gridCol w:w="60"/>
        <w:gridCol w:w="635"/>
        <w:gridCol w:w="155"/>
        <w:gridCol w:w="65"/>
        <w:gridCol w:w="60"/>
        <w:gridCol w:w="635"/>
        <w:gridCol w:w="155"/>
        <w:gridCol w:w="65"/>
        <w:gridCol w:w="60"/>
        <w:gridCol w:w="757"/>
        <w:gridCol w:w="155"/>
        <w:gridCol w:w="64"/>
        <w:gridCol w:w="60"/>
        <w:gridCol w:w="757"/>
        <w:gridCol w:w="155"/>
        <w:gridCol w:w="65"/>
        <w:gridCol w:w="60"/>
        <w:gridCol w:w="757"/>
        <w:gridCol w:w="169"/>
      </w:tblGrid>
      <w:tr>
        <w:trPr/>
        <w:tc>
          <w:tcPr>
            <w:tcW w:w="12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91" w:type="dxa"/>
            <w:tcBorders/>
            <w:vAlign w:val="bottom"/>
          </w:tcPr>
          <w:p>
            <w:pPr>
              <w:pStyle w:val="TableContents"/>
              <w:bidi w:val="0"/>
              <w:spacing w:before="0" w:after="283"/>
              <w:jc w:val="left"/>
              <w:rPr>
                <w:i/>
              </w:rPr>
            </w:pPr>
            <w:r>
              <w:rPr>
                <w:i/>
              </w:rPr>
              <w:t>in CHF thousands</w:t>
            </w:r>
          </w:p>
        </w:tc>
        <w:tc>
          <w:tcPr>
            <w:tcW w:w="122" w:type="dxa"/>
            <w:tcBorders/>
            <w:vAlign w:val="bottom"/>
          </w:tcPr>
          <w:p>
            <w:pPr>
              <w:pStyle w:val="TableContents"/>
              <w:bidi w:val="0"/>
              <w:spacing w:before="0" w:after="283"/>
              <w:jc w:val="left"/>
              <w:rPr/>
            </w:pPr>
            <w:r>
              <w:rPr/>
              <w:t>  </w:t>
            </w:r>
          </w:p>
        </w:tc>
        <w:tc>
          <w:tcPr>
            <w:tcW w:w="8623"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6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647" w:type="dxa"/>
            <w:gridSpan w:val="10"/>
            <w:tcBorders/>
            <w:vAlign w:val="bottom"/>
          </w:tcPr>
          <w:p>
            <w:pPr>
              <w:pStyle w:val="TableContents"/>
              <w:bidi w:val="0"/>
              <w:spacing w:before="0" w:after="283"/>
              <w:jc w:val="center"/>
              <w:rPr>
                <w:b/>
              </w:rPr>
            </w:pPr>
            <w:r>
              <w:rPr>
                <w:b/>
              </w:rPr>
              <w:t>Research and Development</w:t>
              <w:br/>
              <w:t>Expenses</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646" w:type="dxa"/>
            <w:gridSpan w:val="10"/>
            <w:tcBorders/>
            <w:vAlign w:val="bottom"/>
          </w:tcPr>
          <w:p>
            <w:pPr>
              <w:pStyle w:val="TableContents"/>
              <w:bidi w:val="0"/>
              <w:spacing w:before="0" w:after="283"/>
              <w:jc w:val="center"/>
              <w:rPr>
                <w:b/>
              </w:rPr>
            </w:pPr>
            <w:r>
              <w:rPr>
                <w:b/>
              </w:rPr>
              <w:t>General and Administrative</w:t>
              <w:br/>
              <w:t>Expenses</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90" w:type="dxa"/>
            <w:gridSpan w:val="10"/>
            <w:tcBorders/>
            <w:vAlign w:val="bottom"/>
          </w:tcPr>
          <w:p>
            <w:pPr>
              <w:pStyle w:val="TableContents"/>
              <w:bidi w:val="0"/>
              <w:spacing w:before="0" w:after="283"/>
              <w:jc w:val="center"/>
              <w:rPr>
                <w:b/>
              </w:rPr>
            </w:pPr>
            <w:r>
              <w:rPr>
                <w:b/>
              </w:rPr>
              <w:t>Total Operating Expenses</w:t>
            </w:r>
          </w:p>
        </w:tc>
        <w:tc>
          <w:tcPr>
            <w:tcW w:w="16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 providers</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(17,205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(4,786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(5,154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(2,294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(1,681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(1,744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(19,499</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(6,467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(6,898</w:t>
            </w:r>
          </w:p>
        </w:tc>
        <w:tc>
          <w:tcPr>
            <w:tcW w:w="16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Times New Roman" w:hAnsi="Times New Roman"/>
                <w:sz w:val="20"/>
              </w:rPr>
            </w:pPr>
            <w:r>
              <w:rPr>
                <w:rFonts w:ascii="Times New Roman" w:hAnsi="Times New Roman"/>
                <w:sz w:val="20"/>
              </w:rPr>
              <w:t>Other operating expenses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(4,249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(478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(4,433</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(667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(606</w:t>
            </w:r>
          </w:p>
        </w:tc>
        <w:tc>
          <w:tcPr>
            <w:tcW w:w="169" w:type="dxa"/>
            <w:tcBorders/>
            <w:vAlign w:val="bottom"/>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PPE</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(132</w:t>
            </w:r>
          </w:p>
        </w:tc>
        <w:tc>
          <w:tcPr>
            <w:tcW w:w="15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(104</w:t>
            </w:r>
          </w:p>
        </w:tc>
        <w:tc>
          <w:tcPr>
            <w:tcW w:w="169" w:type="dxa"/>
            <w:tcBorders/>
            <w:shd w:fill="CCEEFF" w:val="clear"/>
            <w:vAlign w:val="bottom"/>
          </w:tcPr>
          <w:p>
            <w:pPr>
              <w:pStyle w:val="TableContents"/>
              <w:bidi w:val="0"/>
              <w:spacing w:before="0" w:after="283"/>
              <w:jc w:val="left"/>
              <w:rPr/>
            </w:pPr>
            <w:r>
              <w:rPr/>
              <w:t>) </w:t>
            </w:r>
          </w:p>
        </w:tc>
      </w:tr>
      <w:tr>
        <w:trPr/>
        <w:tc>
          <w:tcPr>
            <w:tcW w:w="129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of right-of-use assets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(167</w:t>
            </w:r>
          </w:p>
        </w:tc>
        <w:tc>
          <w:tcPr>
            <w:tcW w:w="15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(124</w:t>
            </w:r>
          </w:p>
        </w:tc>
        <w:tc>
          <w:tcPr>
            <w:tcW w:w="169" w:type="dxa"/>
            <w:tcBorders/>
            <w:vAlign w:val="bottom"/>
          </w:tcPr>
          <w:p>
            <w:pPr>
              <w:pStyle w:val="TableContents"/>
              <w:bidi w:val="0"/>
              <w:spacing w:before="0" w:after="283"/>
              <w:jc w:val="left"/>
              <w:rPr/>
            </w:pPr>
            <w:r>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12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(22,224</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(9,568</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(9,337</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(11,064</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(4,624</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b/>
              </w:rPr>
            </w:pPr>
            <w:r>
              <w:rPr>
                <w:b/>
              </w:rPr>
              <w:t>(3,992</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(33,288</w:t>
            </w:r>
          </w:p>
        </w:tc>
        <w:tc>
          <w:tcPr>
            <w:tcW w:w="155" w:type="dxa"/>
            <w:tcBorders/>
            <w:shd w:fill="CCEEFF" w:val="clear"/>
            <w:vAlign w:val="bottom"/>
          </w:tcPr>
          <w:p>
            <w:pPr>
              <w:pStyle w:val="TableContents"/>
              <w:bidi w:val="0"/>
              <w:spacing w:before="0" w:after="283"/>
              <w:jc w:val="left"/>
              <w:rPr>
                <w:b/>
              </w:rPr>
            </w:pPr>
            <w:r>
              <w:rPr>
                <w:b/>
              </w:rPr>
              <w:t>) </w:t>
            </w:r>
          </w:p>
        </w:tc>
        <w:tc>
          <w:tcPr>
            <w:tcW w:w="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(14,192</w:t>
            </w:r>
          </w:p>
        </w:tc>
        <w:tc>
          <w:tcPr>
            <w:tcW w:w="155" w:type="dxa"/>
            <w:tcBorders/>
            <w:shd w:fill="CCEEFF" w:val="clear"/>
            <w:vAlign w:val="bottom"/>
          </w:tcPr>
          <w:p>
            <w:pPr>
              <w:pStyle w:val="TableContents"/>
              <w:bidi w:val="0"/>
              <w:spacing w:before="0" w:after="283"/>
              <w:jc w:val="left"/>
              <w:rPr>
                <w:b/>
              </w:rPr>
            </w:pPr>
            <w:r>
              <w:rPr>
                <w:b/>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(13,329</w:t>
            </w:r>
          </w:p>
        </w:tc>
        <w:tc>
          <w:tcPr>
            <w:tcW w:w="169" w:type="dxa"/>
            <w:tcBorders/>
            <w:shd w:fill="CCEEFF" w:val="clear"/>
            <w:vAlign w:val="bottom"/>
          </w:tcPr>
          <w:p>
            <w:pPr>
              <w:pStyle w:val="TableContents"/>
              <w:bidi w:val="0"/>
              <w:spacing w:before="0" w:after="283"/>
              <w:jc w:val="left"/>
              <w:rPr>
                <w:b/>
              </w:rPr>
            </w:pPr>
            <w:r>
              <w:rPr>
                <w:b/>
              </w:rPr>
              <w:t>) </w:t>
            </w:r>
          </w:p>
        </w:tc>
      </w:tr>
      <w:tr>
        <w:trPr/>
        <w:tc>
          <w:tcPr>
            <w:tcW w:w="1291"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Research and Development expenses in 2022 from 2021 was primarily due to the increased clinical and technical development activities for the companys late-stage clinical assets OCS-01 and OCS-02. </w:t>
      </w:r>
    </w:p>
    <w:p>
      <w:pPr>
        <w:pStyle w:val="TextBody"/>
        <w:bidi w:val="0"/>
        <w:spacing w:before="240" w:after="0"/>
        <w:jc w:val="left"/>
        <w:rPr>
          <w:rFonts w:ascii="Times New Roman" w:hAnsi="Times New Roman"/>
          <w:sz w:val="20"/>
        </w:rPr>
      </w:pPr>
      <w:r>
        <w:rPr>
          <w:rFonts w:ascii="Times New Roman" w:hAnsi="Times New Roman"/>
          <w:sz w:val="20"/>
        </w:rPr>
        <w:t xml:space="preserve">In General and Administrative expenses, for the year ended December 31, 2022, CHF 3.4 million were related to the BCA transaction. Please refer to the disclosures on the Business Combination Agreement in Note 2. (E).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(C)</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FINANCE INCOME AND EXPENSE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61"/>
        <w:gridCol w:w="419"/>
        <w:gridCol w:w="148"/>
        <w:gridCol w:w="948"/>
        <w:gridCol w:w="148"/>
        <w:gridCol w:w="572"/>
        <w:gridCol w:w="148"/>
        <w:gridCol w:w="646"/>
        <w:gridCol w:w="148"/>
        <w:gridCol w:w="572"/>
        <w:gridCol w:w="148"/>
        <w:gridCol w:w="650"/>
        <w:gridCol w:w="64"/>
      </w:tblGrid>
      <w:tr>
        <w:trPr/>
        <w:tc>
          <w:tcPr>
            <w:tcW w:w="3961"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bottom"/>
          </w:tcPr>
          <w:p>
            <w:pPr>
              <w:pStyle w:val="TableContents"/>
              <w:bidi w:val="0"/>
              <w:spacing w:before="0" w:after="283"/>
              <w:jc w:val="left"/>
              <w:rPr/>
            </w:pPr>
            <w:r>
              <w:rPr/>
              <w:t>Finance income</w:t>
            </w:r>
          </w:p>
        </w:tc>
        <w:tc>
          <w:tcPr>
            <w:tcW w:w="419" w:type="dxa"/>
            <w:tcBorders/>
            <w:vAlign w:val="bottom"/>
          </w:tcPr>
          <w:p>
            <w:pPr>
              <w:pStyle w:val="TableContents"/>
              <w:bidi w:val="0"/>
              <w:spacing w:before="0" w:after="283"/>
              <w:jc w:val="left"/>
              <w:rPr/>
            </w:pPr>
            <w:r>
              <w:rPr/>
              <w:t>  </w:t>
            </w:r>
          </w:p>
        </w:tc>
        <w:tc>
          <w:tcPr>
            <w:tcW w:w="4128" w:type="dxa"/>
            <w:gridSpan w:val="10"/>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961" w:type="dxa"/>
            <w:tcBorders/>
            <w:vAlign w:val="bottom"/>
          </w:tcPr>
          <w:p>
            <w:pPr>
              <w:pStyle w:val="TableContents"/>
              <w:bidi w:val="0"/>
              <w:spacing w:before="0" w:after="283"/>
              <w:jc w:val="left"/>
              <w:rPr>
                <w:i/>
              </w:rPr>
            </w:pPr>
            <w:r>
              <w:rPr>
                <w:i/>
              </w:rPr>
              <w:t>in CHF thousands</w:t>
            </w:r>
          </w:p>
        </w:tc>
        <w:tc>
          <w:tcPr>
            <w:tcW w:w="419" w:type="dxa"/>
            <w:tcBorders/>
            <w:vAlign w:val="bottom"/>
          </w:tcPr>
          <w:p>
            <w:pPr>
              <w:pStyle w:val="TableContents"/>
              <w:bidi w:val="0"/>
              <w:spacing w:before="0" w:after="283"/>
              <w:jc w:val="left"/>
              <w:rPr/>
            </w:pPr>
            <w:r>
              <w:rPr/>
              <w:t>  </w:t>
            </w:r>
          </w:p>
        </w:tc>
        <w:tc>
          <w:tcPr>
            <w:tcW w:w="412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64" w:type="dxa"/>
            <w:tcBorders/>
            <w:vAlign w:val="bottom"/>
          </w:tcPr>
          <w:p>
            <w:pPr>
              <w:pStyle w:val="TableContents"/>
              <w:bidi w:val="0"/>
              <w:spacing w:before="0" w:after="283"/>
              <w:jc w:val="left"/>
              <w:rPr/>
            </w:pPr>
            <w:r>
              <w:rPr/>
              <w:t> </w:t>
            </w:r>
          </w:p>
        </w:tc>
      </w:tr>
      <w:tr>
        <w:trPr/>
        <w:tc>
          <w:tcPr>
            <w:tcW w:w="3961"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0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4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4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7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39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1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126</w:t>
            </w:r>
          </w:p>
        </w:tc>
        <w:tc>
          <w:tcPr>
            <w:tcW w:w="148"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pPr>
            <w:r>
              <w:rPr/>
              <w:t>21</w:t>
            </w:r>
          </w:p>
        </w:tc>
        <w:tc>
          <w:tcPr>
            <w:tcW w:w="148"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10</w:t>
            </w:r>
          </w:p>
        </w:tc>
        <w:tc>
          <w:tcPr>
            <w:tcW w:w="64" w:type="dxa"/>
            <w:tcBorders/>
            <w:shd w:fill="CCEEFF" w:val="clear"/>
            <w:vAlign w:val="bottom"/>
          </w:tcPr>
          <w:p>
            <w:pPr>
              <w:pStyle w:val="TableContents"/>
              <w:bidi w:val="0"/>
              <w:spacing w:before="0" w:after="283"/>
              <w:jc w:val="left"/>
              <w:rPr/>
            </w:pPr>
            <w:r>
              <w:rPr/>
              <w:t> </w:t>
            </w:r>
          </w:p>
        </w:tc>
      </w:tr>
      <w:tr>
        <w:trPr/>
        <w:tc>
          <w:tcPr>
            <w:tcW w:w="3961"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48"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6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6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finance income</w:t>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b/>
              </w:rPr>
            </w:pPr>
            <w:r>
              <w:rPr>
                <w:b/>
              </w:rPr>
              <w:t>126</w:t>
            </w:r>
          </w:p>
        </w:tc>
        <w:tc>
          <w:tcPr>
            <w:tcW w:w="14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21</w:t>
            </w:r>
          </w:p>
        </w:tc>
        <w:tc>
          <w:tcPr>
            <w:tcW w:w="148"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b/>
              </w:rPr>
            </w:pPr>
            <w:r>
              <w:rPr>
                <w:b/>
              </w:rPr>
              <w:t>10</w:t>
            </w:r>
          </w:p>
        </w:tc>
        <w:tc>
          <w:tcPr>
            <w:tcW w:w="64" w:type="dxa"/>
            <w:tcBorders/>
            <w:vAlign w:val="bottom"/>
          </w:tcPr>
          <w:p>
            <w:pPr>
              <w:pStyle w:val="TableContents"/>
              <w:bidi w:val="0"/>
              <w:spacing w:before="0" w:after="283"/>
              <w:jc w:val="left"/>
              <w:rPr/>
            </w:pPr>
            <w:r>
              <w:rPr/>
              <w:t> </w:t>
            </w:r>
          </w:p>
        </w:tc>
      </w:tr>
      <w:tr>
        <w:trPr/>
        <w:tc>
          <w:tcPr>
            <w:tcW w:w="3961" w:type="dxa"/>
            <w:tcBorders/>
            <w:vAlign w:val="bottom"/>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948" w:type="dxa"/>
            <w:tcBorders/>
            <w:vAlign w:val="bottom"/>
          </w:tcPr>
          <w:p>
            <w:pPr>
              <w:pStyle w:val="TableContents"/>
              <w:pBdr>
                <w:top w:val="double" w:sz="6"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6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94"/>
        <w:gridCol w:w="241"/>
        <w:gridCol w:w="81"/>
        <w:gridCol w:w="952"/>
        <w:gridCol w:w="209"/>
        <w:gridCol w:w="223"/>
        <w:gridCol w:w="81"/>
        <w:gridCol w:w="952"/>
        <w:gridCol w:w="209"/>
        <w:gridCol w:w="223"/>
        <w:gridCol w:w="81"/>
        <w:gridCol w:w="955"/>
        <w:gridCol w:w="171"/>
      </w:tblGrid>
      <w:tr>
        <w:trPr/>
        <w:tc>
          <w:tcPr>
            <w:tcW w:w="4194"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94" w:type="dxa"/>
            <w:tcBorders/>
            <w:vAlign w:val="bottom"/>
          </w:tcPr>
          <w:p>
            <w:pPr>
              <w:pStyle w:val="TableContents"/>
              <w:bidi w:val="0"/>
              <w:spacing w:before="0" w:after="283"/>
              <w:jc w:val="left"/>
              <w:rPr/>
            </w:pPr>
            <w:r>
              <w:rPr/>
              <w:t>Finance expense</w:t>
            </w:r>
          </w:p>
        </w:tc>
        <w:tc>
          <w:tcPr>
            <w:tcW w:w="241" w:type="dxa"/>
            <w:tcBorders/>
            <w:vAlign w:val="bottom"/>
          </w:tcPr>
          <w:p>
            <w:pPr>
              <w:pStyle w:val="TableContents"/>
              <w:bidi w:val="0"/>
              <w:spacing w:before="0" w:after="283"/>
              <w:jc w:val="left"/>
              <w:rPr/>
            </w:pPr>
            <w:r>
              <w:rPr/>
              <w:t>  </w:t>
            </w:r>
          </w:p>
        </w:tc>
        <w:tc>
          <w:tcPr>
            <w:tcW w:w="3966" w:type="dxa"/>
            <w:gridSpan w:val="10"/>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r>
      <w:tr>
        <w:trPr/>
        <w:tc>
          <w:tcPr>
            <w:tcW w:w="4194" w:type="dxa"/>
            <w:tcBorders/>
            <w:vAlign w:val="bottom"/>
          </w:tcPr>
          <w:p>
            <w:pPr>
              <w:pStyle w:val="TableContents"/>
              <w:bidi w:val="0"/>
              <w:spacing w:before="0" w:after="283"/>
              <w:jc w:val="left"/>
              <w:rPr>
                <w:i/>
              </w:rPr>
            </w:pPr>
            <w:r>
              <w:rPr>
                <w:i/>
              </w:rPr>
              <w:t>in CHF thousands</w:t>
            </w:r>
          </w:p>
        </w:tc>
        <w:tc>
          <w:tcPr>
            <w:tcW w:w="241" w:type="dxa"/>
            <w:tcBorders/>
            <w:vAlign w:val="bottom"/>
          </w:tcPr>
          <w:p>
            <w:pPr>
              <w:pStyle w:val="TableContents"/>
              <w:bidi w:val="0"/>
              <w:spacing w:before="0" w:after="283"/>
              <w:jc w:val="left"/>
              <w:rPr/>
            </w:pPr>
            <w:r>
              <w:rPr/>
              <w:t>  </w:t>
            </w:r>
          </w:p>
        </w:tc>
        <w:tc>
          <w:tcPr>
            <w:tcW w:w="396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71" w:type="dxa"/>
            <w:tcBorders/>
            <w:vAlign w:val="bottom"/>
          </w:tcPr>
          <w:p>
            <w:pPr>
              <w:pStyle w:val="TableContents"/>
              <w:bidi w:val="0"/>
              <w:spacing w:before="0" w:after="283"/>
              <w:jc w:val="left"/>
              <w:rPr/>
            </w:pPr>
            <w:r>
              <w:rPr/>
              <w:t> </w:t>
            </w:r>
          </w:p>
        </w:tc>
      </w:tr>
      <w:tr>
        <w:trPr/>
        <w:tc>
          <w:tcPr>
            <w:tcW w:w="41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71" w:type="dxa"/>
            <w:tcBorders/>
            <w:vAlign w:val="bottom"/>
          </w:tcPr>
          <w:p>
            <w:pPr>
              <w:pStyle w:val="TableContents"/>
              <w:bidi w:val="0"/>
              <w:spacing w:before="0" w:after="283"/>
              <w:jc w:val="left"/>
              <w:rPr/>
            </w:pPr>
            <w:r>
              <w:rPr/>
              <w:t> </w:t>
            </w:r>
          </w:p>
        </w:tc>
      </w:tr>
      <w:tr>
        <w:trPr/>
        <w:tc>
          <w:tcPr>
            <w:tcW w:w="4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accrued on Series B and C preferred shares</w:t>
            </w:r>
          </w:p>
        </w:tc>
        <w:tc>
          <w:tcPr>
            <w:tcW w:w="2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(6,343</w:t>
            </w:r>
          </w:p>
        </w:tc>
        <w:tc>
          <w:tcPr>
            <w:tcW w:w="2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(4,996</w:t>
            </w:r>
          </w:p>
        </w:tc>
        <w:tc>
          <w:tcPr>
            <w:tcW w:w="2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(2,560</w:t>
            </w:r>
          </w:p>
        </w:tc>
        <w:tc>
          <w:tcPr>
            <w:tcW w:w="171" w:type="dxa"/>
            <w:tcBorders/>
            <w:shd w:fill="CCEEFF" w:val="clear"/>
            <w:vAlign w:val="bottom"/>
          </w:tcPr>
          <w:p>
            <w:pPr>
              <w:pStyle w:val="TableContents"/>
              <w:bidi w:val="0"/>
              <w:spacing w:before="0" w:after="283"/>
              <w:jc w:val="left"/>
              <w:rPr/>
            </w:pPr>
            <w:r>
              <w:rPr/>
              <w:t>) </w:t>
            </w:r>
          </w:p>
        </w:tc>
      </w:tr>
      <w:tr>
        <w:trPr/>
        <w:tc>
          <w:tcPr>
            <w:tcW w:w="4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Interests on lease liabilities</w:t>
            </w:r>
          </w:p>
        </w:tc>
        <w:tc>
          <w:tcPr>
            <w:tcW w:w="2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(45</w:t>
            </w:r>
          </w:p>
        </w:tc>
        <w:tc>
          <w:tcPr>
            <w:tcW w:w="2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(49</w:t>
            </w:r>
          </w:p>
        </w:tc>
        <w:tc>
          <w:tcPr>
            <w:tcW w:w="209"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(50</w:t>
            </w:r>
          </w:p>
        </w:tc>
        <w:tc>
          <w:tcPr>
            <w:tcW w:w="171" w:type="dxa"/>
            <w:tcBorders/>
            <w:vAlign w:val="bottom"/>
          </w:tcPr>
          <w:p>
            <w:pPr>
              <w:pStyle w:val="TableContents"/>
              <w:bidi w:val="0"/>
              <w:spacing w:before="0" w:after="283"/>
              <w:jc w:val="left"/>
              <w:rPr/>
            </w:pPr>
            <w:r>
              <w:rPr/>
              <w:t>) </w:t>
            </w:r>
          </w:p>
        </w:tc>
      </w:tr>
      <w:tr>
        <w:trPr/>
        <w:tc>
          <w:tcPr>
            <w:tcW w:w="4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(54</w:t>
            </w:r>
          </w:p>
        </w:tc>
        <w:tc>
          <w:tcPr>
            <w:tcW w:w="2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(75</w:t>
            </w:r>
          </w:p>
        </w:tc>
        <w:tc>
          <w:tcPr>
            <w:tcW w:w="209"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(18</w:t>
            </w:r>
          </w:p>
        </w:tc>
        <w:tc>
          <w:tcPr>
            <w:tcW w:w="171" w:type="dxa"/>
            <w:tcBorders/>
            <w:shd w:fill="CCEEFF" w:val="clear"/>
            <w:vAlign w:val="bottom"/>
          </w:tcPr>
          <w:p>
            <w:pPr>
              <w:pStyle w:val="TableContents"/>
              <w:bidi w:val="0"/>
              <w:spacing w:before="0" w:after="283"/>
              <w:jc w:val="left"/>
              <w:rPr/>
            </w:pPr>
            <w:r>
              <w:rPr/>
              <w:t>) </w:t>
            </w:r>
          </w:p>
        </w:tc>
      </w:tr>
      <w:tr>
        <w:trPr/>
        <w:tc>
          <w:tcPr>
            <w:tcW w:w="419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5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4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finance expense</w:t>
            </w:r>
          </w:p>
        </w:tc>
        <w:tc>
          <w:tcPr>
            <w:tcW w:w="24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(6,442</w:t>
            </w:r>
          </w:p>
        </w:tc>
        <w:tc>
          <w:tcPr>
            <w:tcW w:w="209" w:type="dxa"/>
            <w:tcBorders/>
            <w:vAlign w:val="bottom"/>
          </w:tcPr>
          <w:p>
            <w:pPr>
              <w:pStyle w:val="TableContents"/>
              <w:bidi w:val="0"/>
              <w:spacing w:before="0" w:after="283"/>
              <w:jc w:val="left"/>
              <w:rPr>
                <w:b/>
              </w:rPr>
            </w:pPr>
            <w:r>
              <w:rPr>
                <w:b/>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b/>
              </w:rPr>
            </w:pPr>
            <w:r>
              <w:rPr>
                <w:b/>
              </w:rPr>
              <w:t>(5,120</w:t>
            </w:r>
          </w:p>
        </w:tc>
        <w:tc>
          <w:tcPr>
            <w:tcW w:w="209" w:type="dxa"/>
            <w:tcBorders/>
            <w:vAlign w:val="bottom"/>
          </w:tcPr>
          <w:p>
            <w:pPr>
              <w:pStyle w:val="TableContents"/>
              <w:bidi w:val="0"/>
              <w:spacing w:before="0" w:after="283"/>
              <w:jc w:val="left"/>
              <w:rPr>
                <w:b/>
              </w:rPr>
            </w:pPr>
            <w:r>
              <w:rPr>
                <w:b/>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b/>
              </w:rPr>
            </w:pPr>
            <w:r>
              <w:rPr>
                <w:b/>
              </w:rPr>
              <w:t>(2,628</w:t>
            </w:r>
          </w:p>
        </w:tc>
        <w:tc>
          <w:tcPr>
            <w:tcW w:w="171" w:type="dxa"/>
            <w:tcBorders/>
            <w:vAlign w:val="bottom"/>
          </w:tcPr>
          <w:p>
            <w:pPr>
              <w:pStyle w:val="TableContents"/>
              <w:bidi w:val="0"/>
              <w:spacing w:before="0" w:after="283"/>
              <w:jc w:val="left"/>
              <w:rPr>
                <w:b/>
              </w:rPr>
            </w:pPr>
            <w:r>
              <w:rPr>
                <w:b/>
              </w:rPr>
              <w:t>) </w:t>
            </w:r>
          </w:p>
        </w:tc>
      </w:tr>
      <w:tr>
        <w:trPr/>
        <w:tc>
          <w:tcPr>
            <w:tcW w:w="4194"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55"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Finance expenses represent mainly interests related to the preferred dividend owed to the preferred Series B and C shares (refer to Note 14). Preferred Series B and C shares qualify as liabilities under IAS 32 and the related accrued dividends as interest expense. </w:t>
      </w:r>
    </w:p>
    <w:p>
      <w:pPr>
        <w:pStyle w:val="TextBody"/>
        <w:bidi w:val="0"/>
        <w:spacing w:before="360" w:after="0"/>
        <w:jc w:val="left"/>
        <w:rPr>
          <w:rFonts w:ascii="Times New Roman" w:hAnsi="Times New Roman"/>
          <w:b/>
          <w:sz w:val="20"/>
        </w:rPr>
      </w:pPr>
      <w:r>
        <w:rPr>
          <w:rFonts w:ascii="Times New Roman" w:hAnsi="Times New Roman"/>
          <w:b/>
          <w:sz w:val="20"/>
        </w:rPr>
        <w:t xml:space="preserve">(D) CURRENCY EXCHANGE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the Company recognized currency exchange gains of CHF 49 thousand, compared to a loss of CHF 193 thousand in 2021 and a gain of CHF 163 thousand in 2020. For the year ended December 31, 2022, the loss from revaluation of the Series C long-term liability (refer to Note 14) was CHF 628 thousand, while for the 2021 period there was a gain of CHF 734 thousand. This main driver of the currency exchange result in the period was partially offset by a net gain from revaluation of USD cash balances of approximately CHF 581 thousand for the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 INCOME TAX AND DEFERRED TAX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2"/>
        <w:gridCol w:w="417"/>
        <w:gridCol w:w="123"/>
        <w:gridCol w:w="693"/>
        <w:gridCol w:w="324"/>
        <w:gridCol w:w="483"/>
        <w:gridCol w:w="123"/>
        <w:gridCol w:w="693"/>
        <w:gridCol w:w="324"/>
        <w:gridCol w:w="483"/>
        <w:gridCol w:w="122"/>
        <w:gridCol w:w="695"/>
        <w:gridCol w:w="160"/>
      </w:tblGrid>
      <w:tr>
        <w:trPr/>
        <w:tc>
          <w:tcPr>
            <w:tcW w:w="3932"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40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i/>
              </w:rPr>
            </w:pPr>
            <w:r>
              <w:rPr>
                <w:i/>
              </w:rPr>
              <w:t>in CHF thousands</w:t>
            </w:r>
          </w:p>
        </w:tc>
        <w:tc>
          <w:tcPr>
            <w:tcW w:w="417"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2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income tax (expense) / benefit</w:t>
            </w:r>
          </w:p>
        </w:tc>
        <w:tc>
          <w:tcPr>
            <w:tcW w:w="41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(90</w:t>
            </w:r>
          </w:p>
        </w:tc>
        <w:tc>
          <w:tcPr>
            <w:tcW w:w="324"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(expense) / income</w:t>
            </w:r>
          </w:p>
        </w:tc>
        <w:tc>
          <w:tcPr>
            <w:tcW w:w="41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35</w:t>
            </w:r>
          </w:p>
        </w:tc>
        <w:tc>
          <w:tcPr>
            <w:tcW w:w="32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(5</w:t>
            </w:r>
          </w:p>
        </w:tc>
        <w:tc>
          <w:tcPr>
            <w:tcW w:w="324"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(82</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tax (expense) / income reported in the income statement</w:t>
            </w:r>
          </w:p>
        </w:tc>
        <w:tc>
          <w:tcPr>
            <w:tcW w:w="417"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b/>
              </w:rPr>
            </w:pPr>
            <w:r>
              <w:rPr>
                <w:b/>
              </w:rPr>
              <w:t>(55</w:t>
            </w:r>
          </w:p>
        </w:tc>
        <w:tc>
          <w:tcPr>
            <w:tcW w:w="324" w:type="dxa"/>
            <w:tcBorders/>
            <w:shd w:fill="CCEEFF" w:val="clear"/>
            <w:vAlign w:val="bottom"/>
          </w:tcPr>
          <w:p>
            <w:pPr>
              <w:pStyle w:val="TableContents"/>
              <w:bidi w:val="0"/>
              <w:spacing w:before="0" w:after="283"/>
              <w:jc w:val="left"/>
              <w:rPr>
                <w:b/>
              </w:rPr>
            </w:pPr>
            <w:r>
              <w:rPr>
                <w:b/>
              </w:rPr>
              <w:t>) </w:t>
            </w:r>
          </w:p>
        </w:tc>
        <w:tc>
          <w:tcPr>
            <w:tcW w:w="48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b/>
              </w:rPr>
            </w:pPr>
            <w:r>
              <w:rPr>
                <w:b/>
              </w:rPr>
              <w:t>(27</w:t>
            </w:r>
          </w:p>
        </w:tc>
        <w:tc>
          <w:tcPr>
            <w:tcW w:w="324" w:type="dxa"/>
            <w:tcBorders/>
            <w:shd w:fill="CCEEFF" w:val="clear"/>
            <w:vAlign w:val="bottom"/>
          </w:tcPr>
          <w:p>
            <w:pPr>
              <w:pStyle w:val="TableContents"/>
              <w:bidi w:val="0"/>
              <w:spacing w:before="0" w:after="283"/>
              <w:jc w:val="left"/>
              <w:rPr>
                <w:b/>
              </w:rPr>
            </w:pPr>
            <w:r>
              <w:rPr>
                <w:b/>
              </w:rPr>
              <w:t>) </w:t>
            </w:r>
          </w:p>
        </w:tc>
        <w:tc>
          <w:tcPr>
            <w:tcW w:w="483"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b/>
              </w:rPr>
            </w:pPr>
            <w:r>
              <w:rPr>
                <w:b/>
              </w:rPr>
              <w:t>(83</w:t>
            </w:r>
          </w:p>
        </w:tc>
        <w:tc>
          <w:tcPr>
            <w:tcW w:w="160" w:type="dxa"/>
            <w:tcBorders/>
            <w:shd w:fill="CCEEFF" w:val="clear"/>
            <w:vAlign w:val="bottom"/>
          </w:tcPr>
          <w:p>
            <w:pPr>
              <w:pStyle w:val="TableContents"/>
              <w:bidi w:val="0"/>
              <w:spacing w:before="0" w:after="283"/>
              <w:jc w:val="left"/>
              <w:rPr>
                <w:b/>
              </w:rPr>
            </w:pPr>
            <w:r>
              <w:rPr>
                <w:b/>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expected tax expense for each year is based on the applicable tax rate in each individual jurisdiction, which ranged between approximately 8.5% and 28% for 2022, 2021 and 2020 in the tax jurisdictions in which the Group operates. The weighted average tax rate applicable to the profits of the consolidated entities was 13.9% for 2022 and 13.6% for both 2021 and 2020. The tax on the Groups profit / (loss) before tax differs from the statutory amount that would arise using the weighted average applicable tax rate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43"/>
        <w:gridCol w:w="300"/>
        <w:gridCol w:w="60"/>
        <w:gridCol w:w="871"/>
        <w:gridCol w:w="326"/>
        <w:gridCol w:w="200"/>
        <w:gridCol w:w="60"/>
        <w:gridCol w:w="871"/>
        <w:gridCol w:w="326"/>
        <w:gridCol w:w="200"/>
        <w:gridCol w:w="60"/>
        <w:gridCol w:w="871"/>
        <w:gridCol w:w="284"/>
      </w:tblGrid>
      <w:tr>
        <w:trPr/>
        <w:tc>
          <w:tcPr>
            <w:tcW w:w="4143"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41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38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284" w:type="dxa"/>
            <w:tcBorders/>
            <w:vAlign w:val="bottom"/>
          </w:tcPr>
          <w:p>
            <w:pPr>
              <w:pStyle w:val="TableContents"/>
              <w:bidi w:val="0"/>
              <w:spacing w:before="0" w:after="283"/>
              <w:jc w:val="left"/>
              <w:rPr/>
            </w:pPr>
            <w:r>
              <w:rPr/>
              <w:t> </w:t>
            </w:r>
          </w:p>
        </w:tc>
      </w:tr>
      <w:tr>
        <w:trPr/>
        <w:tc>
          <w:tcPr>
            <w:tcW w:w="4143" w:type="dxa"/>
            <w:tcBorders/>
            <w:vAlign w:val="bottom"/>
          </w:tcPr>
          <w:p>
            <w:pPr>
              <w:pStyle w:val="TableContents"/>
              <w:bidi w:val="0"/>
              <w:spacing w:before="0" w:after="283"/>
              <w:jc w:val="left"/>
              <w:rPr>
                <w:i/>
              </w:rPr>
            </w:pPr>
            <w:r>
              <w:rPr>
                <w:i/>
              </w:rPr>
              <w:t>in CHF thousands</w:t>
            </w:r>
          </w:p>
        </w:tc>
        <w:tc>
          <w:tcPr>
            <w:tcW w:w="300"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284" w:type="dxa"/>
            <w:tcBorders/>
            <w:vAlign w:val="bottom"/>
          </w:tcPr>
          <w:p>
            <w:pPr>
              <w:pStyle w:val="TableContents"/>
              <w:bidi w:val="0"/>
              <w:spacing w:before="0" w:after="283"/>
              <w:jc w:val="left"/>
              <w:rPr/>
            </w:pPr>
            <w:r>
              <w:rPr/>
              <w:t> </w:t>
            </w:r>
          </w:p>
        </w:tc>
      </w:tr>
      <w:tr>
        <w:trPr/>
        <w:tc>
          <w:tcPr>
            <w:tcW w:w="4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Groups average expected tax rate</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13.9</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13.6</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13.6</w:t>
            </w:r>
          </w:p>
        </w:tc>
        <w:tc>
          <w:tcPr>
            <w:tcW w:w="284" w:type="dxa"/>
            <w:tcBorders/>
            <w:shd w:fill="CCEEFF" w:val="clear"/>
            <w:vAlign w:val="bottom"/>
          </w:tcPr>
          <w:p>
            <w:pPr>
              <w:pStyle w:val="TableContents"/>
              <w:bidi w:val="0"/>
              <w:spacing w:before="0" w:after="283"/>
              <w:jc w:val="left"/>
              <w:rPr/>
            </w:pPr>
            <w:r>
              <w:rPr/>
              <w:t>% </w:t>
            </w:r>
          </w:p>
        </w:tc>
      </w:tr>
      <w:tr>
        <w:trPr/>
        <w:tc>
          <w:tcPr>
            <w:tcW w:w="4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Accounting loss before income tax</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(38,643</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(18,524</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(14,790</w:t>
            </w:r>
          </w:p>
        </w:tc>
        <w:tc>
          <w:tcPr>
            <w:tcW w:w="284" w:type="dxa"/>
            <w:tcBorders/>
            <w:vAlign w:val="bottom"/>
          </w:tcPr>
          <w:p>
            <w:pPr>
              <w:pStyle w:val="TableContents"/>
              <w:bidi w:val="0"/>
              <w:spacing w:before="0" w:after="283"/>
              <w:jc w:val="left"/>
              <w:rPr/>
            </w:pPr>
            <w:r>
              <w:rPr/>
              <w:t>) </w:t>
            </w:r>
          </w:p>
        </w:tc>
      </w:tr>
      <w:tr>
        <w:trPr/>
        <w:tc>
          <w:tcPr>
            <w:tcW w:w="4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Taxes at weighted average income tax</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5,380</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2,521</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1,997</w:t>
            </w:r>
          </w:p>
        </w:tc>
        <w:tc>
          <w:tcPr>
            <w:tcW w:w="284" w:type="dxa"/>
            <w:tcBorders/>
            <w:shd w:fill="CCEEFF" w:val="clear"/>
            <w:vAlign w:val="bottom"/>
          </w:tcPr>
          <w:p>
            <w:pPr>
              <w:pStyle w:val="TableContents"/>
              <w:bidi w:val="0"/>
              <w:spacing w:before="0" w:after="283"/>
              <w:jc w:val="left"/>
              <w:rPr/>
            </w:pPr>
            <w:r>
              <w:rPr/>
              <w:t> </w:t>
            </w:r>
          </w:p>
        </w:tc>
      </w:tr>
      <w:tr>
        <w:trPr/>
        <w:tc>
          <w:tcPr>
            <w:tcW w:w="4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Effect of unrecorded tax losses</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(4,468</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(1,869</w:t>
            </w:r>
          </w:p>
        </w:tc>
        <w:tc>
          <w:tcPr>
            <w:tcW w:w="32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(1,732</w:t>
            </w:r>
          </w:p>
        </w:tc>
        <w:tc>
          <w:tcPr>
            <w:tcW w:w="284" w:type="dxa"/>
            <w:tcBorders/>
            <w:vAlign w:val="bottom"/>
          </w:tcPr>
          <w:p>
            <w:pPr>
              <w:pStyle w:val="TableContents"/>
              <w:bidi w:val="0"/>
              <w:spacing w:before="0" w:after="283"/>
              <w:jc w:val="left"/>
              <w:rPr/>
            </w:pPr>
            <w:r>
              <w:rPr/>
              <w:t>) </w:t>
            </w:r>
          </w:p>
        </w:tc>
      </w:tr>
      <w:tr>
        <w:trPr/>
        <w:tc>
          <w:tcPr>
            <w:tcW w:w="4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Effect of non deductible expenses</w:t>
            </w:r>
          </w:p>
        </w:tc>
        <w:tc>
          <w:tcPr>
            <w:tcW w:w="3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(968</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(679</w:t>
            </w:r>
          </w:p>
        </w:tc>
        <w:tc>
          <w:tcPr>
            <w:tcW w:w="32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(348</w:t>
            </w:r>
          </w:p>
        </w:tc>
        <w:tc>
          <w:tcPr>
            <w:tcW w:w="284" w:type="dxa"/>
            <w:tcBorders/>
            <w:shd w:fill="CCEEFF" w:val="clear"/>
            <w:vAlign w:val="bottom"/>
          </w:tcPr>
          <w:p>
            <w:pPr>
              <w:pStyle w:val="TableContents"/>
              <w:bidi w:val="0"/>
              <w:spacing w:before="0" w:after="283"/>
              <w:jc w:val="left"/>
              <w:rPr/>
            </w:pPr>
            <w:r>
              <w:rPr/>
              <w:t>) </w:t>
            </w:r>
          </w:p>
        </w:tc>
      </w:tr>
      <w:tr>
        <w:trPr/>
        <w:tc>
          <w:tcPr>
            <w:tcW w:w="4143"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414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tax income / (expense) reported in the income statement</w:t>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b/>
              </w:rPr>
            </w:pPr>
            <w:r>
              <w:rPr>
                <w:b/>
              </w:rPr>
              <w:t>(55</w:t>
            </w:r>
          </w:p>
        </w:tc>
        <w:tc>
          <w:tcPr>
            <w:tcW w:w="326"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b/>
              </w:rPr>
            </w:pPr>
            <w:r>
              <w:rPr>
                <w:b/>
              </w:rPr>
              <w:t>(27</w:t>
            </w:r>
          </w:p>
        </w:tc>
        <w:tc>
          <w:tcPr>
            <w:tcW w:w="326" w:type="dxa"/>
            <w:tcBorders/>
            <w:vAlign w:val="bottom"/>
          </w:tcPr>
          <w:p>
            <w:pPr>
              <w:pStyle w:val="TableContents"/>
              <w:bidi w:val="0"/>
              <w:spacing w:before="0" w:after="283"/>
              <w:jc w:val="left"/>
              <w:rPr>
                <w:b/>
              </w:rPr>
            </w:pPr>
            <w:r>
              <w:rPr>
                <w:b/>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b/>
              </w:rPr>
            </w:pPr>
            <w:r>
              <w:rPr>
                <w:b/>
              </w:rPr>
              <w:t>(83</w:t>
            </w:r>
          </w:p>
        </w:tc>
        <w:tc>
          <w:tcPr>
            <w:tcW w:w="284" w:type="dxa"/>
            <w:tcBorders/>
            <w:vAlign w:val="bottom"/>
          </w:tcPr>
          <w:p>
            <w:pPr>
              <w:pStyle w:val="TableContents"/>
              <w:bidi w:val="0"/>
              <w:spacing w:before="0" w:after="283"/>
              <w:jc w:val="left"/>
              <w:rPr>
                <w:b/>
              </w:rPr>
            </w:pPr>
            <w:r>
              <w:rPr>
                <w:b/>
              </w:rPr>
              <w:t>) </w:t>
            </w:r>
          </w:p>
        </w:tc>
      </w:tr>
      <w:tr>
        <w:trPr/>
        <w:tc>
          <w:tcPr>
            <w:tcW w:w="4143"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2021, the Group has tax losses which arose mainly in Switzerland that are available for offset against future taxable profits of the company until expiration. Deferred tax assets have not been recognized in respect of these losses in Switzerland as it is not probable that future taxable profit will be available against which the unused tax losses can be utilized. This does not affect the management assumption on the going concern hypothesis of the Group. Below is the maturity of the Group reportable losses: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4"/>
        <w:gridCol w:w="244"/>
        <w:gridCol w:w="60"/>
        <w:gridCol w:w="680"/>
        <w:gridCol w:w="60"/>
        <w:gridCol w:w="244"/>
        <w:gridCol w:w="60"/>
        <w:gridCol w:w="680"/>
        <w:gridCol w:w="63"/>
      </w:tblGrid>
      <w:tr>
        <w:trPr/>
        <w:tc>
          <w:tcPr>
            <w:tcW w:w="566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6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7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i/>
              </w:rPr>
            </w:pPr>
            <w:r>
              <w:rPr>
                <w:i/>
              </w:rPr>
              <w:t>in CHF thousands</w:t>
            </w:r>
          </w:p>
        </w:tc>
        <w:tc>
          <w:tcPr>
            <w:tcW w:w="244"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6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16,733</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16,733</w:t>
            </w:r>
          </w:p>
        </w:tc>
        <w:tc>
          <w:tcPr>
            <w:tcW w:w="63"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13,113</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13,113</w:t>
            </w:r>
          </w:p>
        </w:tc>
        <w:tc>
          <w:tcPr>
            <w:tcW w:w="63" w:type="dxa"/>
            <w:tcBorders/>
            <w:vAlign w:val="bottom"/>
          </w:tcPr>
          <w:p>
            <w:pPr>
              <w:pStyle w:val="TableContents"/>
              <w:bidi w:val="0"/>
              <w:spacing w:before="0" w:after="283"/>
              <w:jc w:val="left"/>
              <w:rPr/>
            </w:pPr>
            <w:r>
              <w:rPr/>
              <w:t> </w:t>
            </w:r>
          </w:p>
        </w:tc>
      </w:tr>
      <w:tr>
        <w:trPr/>
        <w:tc>
          <w:tcPr>
            <w:tcW w:w="56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12,437</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12,437</w:t>
            </w:r>
          </w:p>
        </w:tc>
        <w:tc>
          <w:tcPr>
            <w:tcW w:w="63"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14,865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14,865</w:t>
            </w:r>
          </w:p>
        </w:tc>
        <w:tc>
          <w:tcPr>
            <w:tcW w:w="63" w:type="dxa"/>
            <w:tcBorders/>
            <w:vAlign w:val="bottom"/>
          </w:tcPr>
          <w:p>
            <w:pPr>
              <w:pStyle w:val="TableContents"/>
              <w:bidi w:val="0"/>
              <w:spacing w:before="0" w:after="283"/>
              <w:jc w:val="left"/>
              <w:rPr/>
            </w:pPr>
            <w:r>
              <w:rPr/>
              <w:t> </w:t>
            </w:r>
          </w:p>
        </w:tc>
      </w:tr>
      <w:tr>
        <w:trPr/>
        <w:tc>
          <w:tcPr>
            <w:tcW w:w="56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31,790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6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88,938</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b/>
              </w:rPr>
            </w:pPr>
            <w:r>
              <w:rPr>
                <w:b/>
              </w:rPr>
              <w:t>57,148</w:t>
            </w:r>
          </w:p>
        </w:tc>
        <w:tc>
          <w:tcPr>
            <w:tcW w:w="63" w:type="dxa"/>
            <w:tcBorders/>
            <w:vAlign w:val="bottom"/>
          </w:tcPr>
          <w:p>
            <w:pPr>
              <w:pStyle w:val="TableContents"/>
              <w:bidi w:val="0"/>
              <w:spacing w:before="0" w:after="283"/>
              <w:jc w:val="left"/>
              <w:rPr/>
            </w:pPr>
            <w:r>
              <w:rPr/>
              <w:t> </w:t>
            </w:r>
          </w:p>
        </w:tc>
      </w:tr>
      <w:tr>
        <w:trPr/>
        <w:tc>
          <w:tcPr>
            <w:tcW w:w="566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did not recognize the following temporary differences: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79"/>
        <w:gridCol w:w="317"/>
        <w:gridCol w:w="60"/>
        <w:gridCol w:w="784"/>
        <w:gridCol w:w="156"/>
        <w:gridCol w:w="256"/>
        <w:gridCol w:w="60"/>
        <w:gridCol w:w="784"/>
        <w:gridCol w:w="159"/>
      </w:tblGrid>
      <w:tr>
        <w:trPr/>
        <w:tc>
          <w:tcPr>
            <w:tcW w:w="5179"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i/>
              </w:rPr>
            </w:pPr>
            <w:r>
              <w:rPr>
                <w:i/>
              </w:rPr>
              <w:t>in CHF thousands</w:t>
            </w:r>
          </w:p>
        </w:tc>
        <w:tc>
          <w:tcPr>
            <w:tcW w:w="317"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5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Pension</w:t>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91</w:t>
            </w:r>
          </w:p>
        </w:tc>
        <w:tc>
          <w:tcPr>
            <w:tcW w:w="15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845</w:t>
            </w:r>
          </w:p>
        </w:tc>
        <w:tc>
          <w:tcPr>
            <w:tcW w:w="159" w:type="dxa"/>
            <w:tcBorders/>
            <w:shd w:fill="CCEEFF" w:val="clear"/>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losses in Switzerland</w:t>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88,938</w:t>
            </w:r>
          </w:p>
        </w:tc>
        <w:tc>
          <w:tcPr>
            <w:tcW w:w="15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57,148</w:t>
            </w:r>
          </w:p>
        </w:tc>
        <w:tc>
          <w:tcPr>
            <w:tcW w:w="159" w:type="dxa"/>
            <w:tcBorders/>
            <w:vAlign w:val="bottom"/>
          </w:tcPr>
          <w:p>
            <w:pPr>
              <w:pStyle w:val="TableContents"/>
              <w:bidi w:val="0"/>
              <w:spacing w:before="0" w:after="283"/>
              <w:jc w:val="left"/>
              <w:rPr/>
            </w:pPr>
            <w:r>
              <w:rPr/>
              <w:t> </w:t>
            </w:r>
          </w:p>
        </w:tc>
      </w:tr>
      <w:tr>
        <w:trPr/>
        <w:tc>
          <w:tcPr>
            <w:tcW w:w="5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Leasing</w:t>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(125</w:t>
            </w:r>
          </w:p>
        </w:tc>
        <w:tc>
          <w:tcPr>
            <w:tcW w:w="15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(85</w:t>
            </w:r>
          </w:p>
        </w:tc>
        <w:tc>
          <w:tcPr>
            <w:tcW w:w="159" w:type="dxa"/>
            <w:tcBorders/>
            <w:shd w:fill="CCEEFF" w:val="clear"/>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w:t>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(4,025</w:t>
            </w:r>
          </w:p>
        </w:tc>
        <w:tc>
          <w:tcPr>
            <w:tcW w:w="156"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(4,025</w:t>
            </w:r>
          </w:p>
        </w:tc>
        <w:tc>
          <w:tcPr>
            <w:tcW w:w="159" w:type="dxa"/>
            <w:tcBorders/>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84,879</w:t>
            </w:r>
          </w:p>
        </w:tc>
        <w:tc>
          <w:tcPr>
            <w:tcW w:w="15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53,883</w:t>
            </w:r>
          </w:p>
        </w:tc>
        <w:tc>
          <w:tcPr>
            <w:tcW w:w="159" w:type="dxa"/>
            <w:tcBorders/>
            <w:shd w:fill="CCEEFF" w:val="clear"/>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 of previously reported tax losses for prior years has been adjusted to the amounts as per filed and approved tax declarations by tax authorities of the Canton Vaud. </w:t>
      </w:r>
    </w:p>
    <w:p>
      <w:pPr>
        <w:pStyle w:val="TextBody"/>
        <w:bidi w:val="0"/>
        <w:spacing w:before="240" w:after="0"/>
        <w:jc w:val="left"/>
        <w:rPr>
          <w:rFonts w:ascii="Times New Roman" w:hAnsi="Times New Roman"/>
          <w:sz w:val="20"/>
        </w:rPr>
      </w:pPr>
      <w:r>
        <w:rPr>
          <w:rFonts w:ascii="Times New Roman" w:hAnsi="Times New Roman"/>
          <w:sz w:val="20"/>
        </w:rPr>
        <w:t xml:space="preserve">The deferred tax assets recorded in 2022 relate to the treatment of FX differences according to the Icelandic tax rule that FX differences for the year must be spread over three tax years. The deferred tax liability recorded in 2021 related to temporary differences on the valuation of property, plant and equipment in Iceland.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00"/>
        <w:gridCol w:w="618"/>
        <w:gridCol w:w="254"/>
        <w:gridCol w:w="1107"/>
        <w:gridCol w:w="254"/>
        <w:gridCol w:w="975"/>
        <w:gridCol w:w="254"/>
        <w:gridCol w:w="1435"/>
        <w:gridCol w:w="158"/>
      </w:tblGrid>
      <w:tr>
        <w:trPr/>
        <w:tc>
          <w:tcPr>
            <w:tcW w:w="2700" w:type="dxa"/>
            <w:tcBorders/>
            <w:vAlign w:val="center"/>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00"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  </w:t>
            </w:r>
          </w:p>
        </w:tc>
        <w:tc>
          <w:tcPr>
            <w:tcW w:w="4279"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For the Years Ended December 31,    </w:t>
            </w:r>
          </w:p>
        </w:tc>
        <w:tc>
          <w:tcPr>
            <w:tcW w:w="158" w:type="dxa"/>
            <w:tcBorders/>
            <w:vAlign w:val="bottom"/>
          </w:tcPr>
          <w:p>
            <w:pPr>
              <w:pStyle w:val="TableContents"/>
              <w:bidi w:val="0"/>
              <w:spacing w:before="0" w:after="283"/>
              <w:jc w:val="left"/>
              <w:rPr/>
            </w:pPr>
            <w:r>
              <w:rPr/>
              <w:t> </w:t>
            </w:r>
          </w:p>
        </w:tc>
      </w:tr>
      <w:tr>
        <w:trPr/>
        <w:tc>
          <w:tcPr>
            <w:tcW w:w="2700" w:type="dxa"/>
            <w:tcBorders/>
            <w:vAlign w:val="bottom"/>
          </w:tcPr>
          <w:p>
            <w:pPr>
              <w:pStyle w:val="TableContents"/>
              <w:bidi w:val="0"/>
              <w:spacing w:before="0" w:after="283"/>
              <w:jc w:val="left"/>
              <w:rPr/>
            </w:pPr>
            <w:r>
              <w:rPr/>
              <w:t>The balance sheet contains the following</w:t>
            </w:r>
          </w:p>
        </w:tc>
        <w:tc>
          <w:tcPr>
            <w:tcW w:w="618"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5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27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618"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24</w:t>
            </w:r>
          </w:p>
        </w:tc>
        <w:tc>
          <w:tcPr>
            <w:tcW w:w="25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27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618"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movements in the net book values of property, plant and equipment: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20"/>
        <w:gridCol w:w="365"/>
        <w:gridCol w:w="150"/>
        <w:gridCol w:w="987"/>
        <w:gridCol w:w="60"/>
        <w:gridCol w:w="365"/>
        <w:gridCol w:w="190"/>
        <w:gridCol w:w="1264"/>
        <w:gridCol w:w="60"/>
        <w:gridCol w:w="365"/>
        <w:gridCol w:w="184"/>
        <w:gridCol w:w="1227"/>
        <w:gridCol w:w="60"/>
        <w:gridCol w:w="365"/>
        <w:gridCol w:w="76"/>
        <w:gridCol w:w="484"/>
        <w:gridCol w:w="66"/>
      </w:tblGrid>
      <w:tr>
        <w:trPr/>
        <w:tc>
          <w:tcPr>
            <w:tcW w:w="312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20" w:type="dxa"/>
            <w:tcBorders/>
            <w:vAlign w:val="bottom"/>
          </w:tcPr>
          <w:p>
            <w:pPr>
              <w:pStyle w:val="TableContents"/>
              <w:bidi w:val="0"/>
              <w:spacing w:before="0" w:after="283"/>
              <w:jc w:val="left"/>
              <w:rPr>
                <w:i/>
              </w:rPr>
            </w:pPr>
            <w:r>
              <w:rPr>
                <w:i/>
              </w:rPr>
              <w:t>in CHF thousands</w:t>
            </w:r>
          </w:p>
        </w:tc>
        <w:tc>
          <w:tcPr>
            <w:tcW w:w="365"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 -</w:t>
              <w:br/>
              <w:t>equipment</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 - fixtures</w:t>
              <w:br/>
              <w:t>and fittings</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w:t>
              <w:br/>
              <w:t>equipment &amp;</w:t>
              <w:br/>
              <w:t>hardware</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1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cost:</w:t>
            </w:r>
          </w:p>
        </w:tc>
        <w:tc>
          <w:tcPr>
            <w:tcW w:w="36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2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48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b/>
              </w:rPr>
            </w:pPr>
            <w:r>
              <w:rPr>
                <w:b/>
              </w:rPr>
              <w:t>540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b/>
              </w:rPr>
            </w:pPr>
            <w:r>
              <w:rPr>
                <w:b/>
              </w:rPr>
              <w:t>195</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b/>
              </w:rPr>
            </w:pPr>
            <w:r>
              <w:rPr>
                <w:b/>
              </w:rPr>
              <w:t>88</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823</w:t>
            </w:r>
          </w:p>
        </w:tc>
        <w:tc>
          <w:tcPr>
            <w:tcW w:w="66"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Acquisitions</w:t>
            </w:r>
          </w:p>
        </w:tc>
        <w:tc>
          <w:tcPr>
            <w:tcW w:w="36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28</w:t>
            </w:r>
          </w:p>
        </w:tc>
        <w:tc>
          <w:tcPr>
            <w:tcW w:w="66"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b/>
              </w:rPr>
            </w:pPr>
            <w:r>
              <w:rPr>
                <w:b/>
              </w:rPr>
              <w:t>555</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b/>
              </w:rPr>
            </w:pPr>
            <w:r>
              <w:rPr>
                <w:b/>
              </w:rPr>
              <w:t>195</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b/>
              </w:rPr>
            </w:pPr>
            <w:r>
              <w:rPr>
                <w:b/>
              </w:rPr>
              <w:t>101</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851</w:t>
            </w:r>
          </w:p>
        </w:tc>
        <w:tc>
          <w:tcPr>
            <w:tcW w:w="66"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Acquisitions</w:t>
            </w:r>
          </w:p>
        </w:tc>
        <w:tc>
          <w:tcPr>
            <w:tcW w:w="36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right"/>
              <w:rPr>
                <w:b/>
              </w:rPr>
            </w:pPr>
            <w:r>
              <w:rPr>
                <w:b/>
              </w:rPr>
              <w:t>65</w:t>
            </w:r>
          </w:p>
        </w:tc>
        <w:tc>
          <w:tcPr>
            <w:tcW w:w="66" w:type="dxa"/>
            <w:tcBorders/>
            <w:shd w:fill="CCEEFF" w:val="clear"/>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4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b/>
              </w:rPr>
            </w:pPr>
            <w:r>
              <w:rPr>
                <w:b/>
              </w:rPr>
              <w:t>600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b/>
              </w:rPr>
            </w:pPr>
            <w:r>
              <w:rPr>
                <w:b/>
              </w:rPr>
              <w:t>195</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b/>
              </w:rPr>
            </w:pPr>
            <w:r>
              <w:rPr>
                <w:b/>
              </w:rPr>
              <w:t>121</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b/>
              </w:rPr>
            </w:pPr>
            <w:r>
              <w:rPr>
                <w:b/>
              </w:rPr>
              <w:t>916</w:t>
            </w:r>
          </w:p>
        </w:tc>
        <w:tc>
          <w:tcPr>
            <w:tcW w:w="66" w:type="dxa"/>
            <w:tcBorders/>
            <w:vAlign w:val="bottom"/>
          </w:tcPr>
          <w:p>
            <w:pPr>
              <w:pStyle w:val="TableContents"/>
              <w:bidi w:val="0"/>
              <w:spacing w:before="0" w:after="283"/>
              <w:jc w:val="left"/>
              <w:rPr/>
            </w:pPr>
            <w:r>
              <w:rPr/>
              <w:t> </w:t>
            </w:r>
          </w:p>
        </w:tc>
      </w:tr>
      <w:tr>
        <w:trPr/>
        <w:tc>
          <w:tcPr>
            <w:tcW w:w="312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4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80"/>
        <w:gridCol w:w="339"/>
        <w:gridCol w:w="128"/>
        <w:gridCol w:w="1007"/>
        <w:gridCol w:w="155"/>
        <w:gridCol w:w="339"/>
        <w:gridCol w:w="190"/>
        <w:gridCol w:w="1263"/>
        <w:gridCol w:w="155"/>
        <w:gridCol w:w="338"/>
        <w:gridCol w:w="205"/>
        <w:gridCol w:w="1174"/>
        <w:gridCol w:w="155"/>
        <w:gridCol w:w="339"/>
        <w:gridCol w:w="65"/>
        <w:gridCol w:w="496"/>
        <w:gridCol w:w="160"/>
      </w:tblGrid>
      <w:tr>
        <w:trPr/>
        <w:tc>
          <w:tcPr>
            <w:tcW w:w="288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 -</w:t>
              <w:br/>
              <w:t>equipment</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Lab - fixtures</w:t>
              <w:br/>
              <w:t>and fittings</w:t>
            </w:r>
          </w:p>
        </w:tc>
        <w:tc>
          <w:tcPr>
            <w:tcW w:w="15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Office</w:t>
              <w:br/>
              <w:t>equipment &amp;</w:t>
              <w:br/>
              <w:t>hardware</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33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(246</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b/>
              </w:rPr>
            </w:pPr>
            <w:r>
              <w:rPr>
                <w:b/>
              </w:rPr>
              <w:t>(44</w:t>
            </w:r>
          </w:p>
        </w:tc>
        <w:tc>
          <w:tcPr>
            <w:tcW w:w="155" w:type="dxa"/>
            <w:tcBorders/>
            <w:vAlign w:val="bottom"/>
          </w:tcPr>
          <w:p>
            <w:pPr>
              <w:pStyle w:val="TableContents"/>
              <w:bidi w:val="0"/>
              <w:spacing w:before="0" w:after="283"/>
              <w:jc w:val="left"/>
              <w:rPr>
                <w:b/>
              </w:rPr>
            </w:pPr>
            <w:r>
              <w:rPr>
                <w:b/>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(332</w:t>
            </w:r>
          </w:p>
        </w:tc>
        <w:tc>
          <w:tcPr>
            <w:tcW w:w="160" w:type="dxa"/>
            <w:tcBorders/>
            <w:vAlign w:val="bottom"/>
          </w:tcPr>
          <w:p>
            <w:pPr>
              <w:pStyle w:val="TableContents"/>
              <w:bidi w:val="0"/>
              <w:spacing w:before="0" w:after="283"/>
              <w:jc w:val="left"/>
              <w:rPr>
                <w:b/>
              </w:rPr>
            </w:pPr>
            <w:r>
              <w:rPr>
                <w:b/>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3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b/>
              </w:rPr>
            </w:pPr>
            <w:r>
              <w:rPr>
                <w:b/>
              </w:rPr>
              <w:t>(88</w:t>
            </w:r>
          </w:p>
        </w:tc>
        <w:tc>
          <w:tcPr>
            <w:tcW w:w="160" w:type="dxa"/>
            <w:tcBorders/>
            <w:shd w:fill="CCEEFF" w:val="clear"/>
            <w:vAlign w:val="bottom"/>
          </w:tcPr>
          <w:p>
            <w:pPr>
              <w:pStyle w:val="TableContents"/>
              <w:bidi w:val="0"/>
              <w:spacing w:before="0" w:after="283"/>
              <w:jc w:val="left"/>
              <w:rPr>
                <w:b/>
              </w:rPr>
            </w:pPr>
            <w:r>
              <w:rPr>
                <w:b/>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(305</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b/>
              </w:rPr>
            </w:pPr>
            <w:r>
              <w:rPr>
                <w:b/>
              </w:rPr>
              <w:t>(59</w:t>
            </w:r>
          </w:p>
        </w:tc>
        <w:tc>
          <w:tcPr>
            <w:tcW w:w="155" w:type="dxa"/>
            <w:tcBorders/>
            <w:vAlign w:val="bottom"/>
          </w:tcPr>
          <w:p>
            <w:pPr>
              <w:pStyle w:val="TableContents"/>
              <w:bidi w:val="0"/>
              <w:spacing w:before="0" w:after="283"/>
              <w:jc w:val="left"/>
              <w:rPr>
                <w:b/>
              </w:rPr>
            </w:pPr>
            <w:r>
              <w:rPr>
                <w:b/>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(55</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(420</w:t>
            </w:r>
          </w:p>
        </w:tc>
        <w:tc>
          <w:tcPr>
            <w:tcW w:w="160" w:type="dxa"/>
            <w:tcBorders/>
            <w:vAlign w:val="bottom"/>
          </w:tcPr>
          <w:p>
            <w:pPr>
              <w:pStyle w:val="TableContents"/>
              <w:bidi w:val="0"/>
              <w:spacing w:before="0" w:after="283"/>
              <w:jc w:val="left"/>
              <w:rPr>
                <w:b/>
              </w:rPr>
            </w:pPr>
            <w:r>
              <w:rPr>
                <w:b/>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33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b/>
              </w:rPr>
            </w:pPr>
            <w:r>
              <w:rPr>
                <w:b/>
              </w:rPr>
              <w:t>(132</w:t>
            </w:r>
          </w:p>
        </w:tc>
        <w:tc>
          <w:tcPr>
            <w:tcW w:w="160" w:type="dxa"/>
            <w:tcBorders/>
            <w:shd w:fill="CCEEFF" w:val="clear"/>
            <w:vAlign w:val="bottom"/>
          </w:tcPr>
          <w:p>
            <w:pPr>
              <w:pStyle w:val="TableContents"/>
              <w:bidi w:val="0"/>
              <w:spacing w:before="0" w:after="283"/>
              <w:jc w:val="left"/>
              <w:rPr>
                <w:b/>
              </w:rPr>
            </w:pPr>
            <w:r>
              <w:rPr>
                <w:b/>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(375</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b/>
              </w:rPr>
            </w:pPr>
            <w:r>
              <w:rPr>
                <w:b/>
              </w:rPr>
              <w:t>(87</w:t>
            </w:r>
          </w:p>
        </w:tc>
        <w:tc>
          <w:tcPr>
            <w:tcW w:w="155" w:type="dxa"/>
            <w:tcBorders/>
            <w:vAlign w:val="bottom"/>
          </w:tcPr>
          <w:p>
            <w:pPr>
              <w:pStyle w:val="TableContents"/>
              <w:bidi w:val="0"/>
              <w:spacing w:before="0" w:after="283"/>
              <w:jc w:val="left"/>
              <w:rPr>
                <w:b/>
              </w:rPr>
            </w:pPr>
            <w:r>
              <w:rPr>
                <w:b/>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(89</w:t>
            </w:r>
          </w:p>
        </w:tc>
        <w:tc>
          <w:tcPr>
            <w:tcW w:w="155" w:type="dxa"/>
            <w:tcBorders/>
            <w:vAlign w:val="bottom"/>
          </w:tcPr>
          <w:p>
            <w:pPr>
              <w:pStyle w:val="TableContents"/>
              <w:bidi w:val="0"/>
              <w:spacing w:before="0" w:after="283"/>
              <w:jc w:val="left"/>
              <w:rPr>
                <w:b/>
              </w:rPr>
            </w:pPr>
            <w:r>
              <w:rPr>
                <w:b/>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(551</w:t>
            </w:r>
          </w:p>
        </w:tc>
        <w:tc>
          <w:tcPr>
            <w:tcW w:w="160" w:type="dxa"/>
            <w:tcBorders/>
            <w:vAlign w:val="bottom"/>
          </w:tcPr>
          <w:p>
            <w:pPr>
              <w:pStyle w:val="TableContents"/>
              <w:bidi w:val="0"/>
              <w:spacing w:before="0" w:after="283"/>
              <w:jc w:val="left"/>
              <w:rPr>
                <w:b/>
              </w:rPr>
            </w:pPr>
            <w:r>
              <w:rPr>
                <w:b/>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amount:</w:t>
            </w:r>
          </w:p>
        </w:tc>
        <w:tc>
          <w:tcPr>
            <w:tcW w:w="33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8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2021</w:t>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b/>
              </w:rPr>
            </w:pPr>
            <w:r>
              <w:rPr>
                <w:b/>
              </w:rPr>
              <w:t>249</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b/>
              </w:rPr>
            </w:pPr>
            <w:r>
              <w:rPr>
                <w:b/>
              </w:rPr>
              <w:t>135</w:t>
            </w:r>
          </w:p>
        </w:tc>
        <w:tc>
          <w:tcPr>
            <w:tcW w:w="15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46</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b/>
              </w:rPr>
            </w:pPr>
            <w:r>
              <w:rPr>
                <w:b/>
              </w:rPr>
              <w:t>431</w:t>
            </w:r>
          </w:p>
        </w:tc>
        <w:tc>
          <w:tcPr>
            <w:tcW w:w="160" w:type="dxa"/>
            <w:tcBorders/>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8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2022</w:t>
            </w:r>
          </w:p>
        </w:tc>
        <w:tc>
          <w:tcPr>
            <w:tcW w:w="33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b/>
              </w:rPr>
            </w:pPr>
            <w:r>
              <w:rPr>
                <w:b/>
              </w:rPr>
              <w:t>225</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b/>
              </w:rPr>
            </w:pPr>
            <w:r>
              <w:rPr>
                <w:b/>
              </w:rPr>
              <w:t>108</w:t>
            </w:r>
          </w:p>
        </w:tc>
        <w:tc>
          <w:tcPr>
            <w:tcW w:w="15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32</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b/>
              </w:rPr>
            </w:pPr>
            <w:r>
              <w:rPr>
                <w:b/>
              </w:rPr>
              <w:t>365</w:t>
            </w:r>
          </w:p>
        </w:tc>
        <w:tc>
          <w:tcPr>
            <w:tcW w:w="160" w:type="dxa"/>
            <w:tcBorders/>
            <w:shd w:fill="CCEEFF" w:val="clear"/>
            <w:vAlign w:val="bottom"/>
          </w:tcPr>
          <w:p>
            <w:pPr>
              <w:pStyle w:val="TableContents"/>
              <w:bidi w:val="0"/>
              <w:spacing w:before="0" w:after="283"/>
              <w:jc w:val="left"/>
              <w:rPr/>
            </w:pPr>
            <w:r>
              <w:rPr/>
              <w:t> </w:t>
            </w:r>
          </w:p>
        </w:tc>
      </w:tr>
      <w:tr>
        <w:trPr/>
        <w:tc>
          <w:tcPr>
            <w:tcW w:w="288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28"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summarizes the movement of intangibles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83"/>
        <w:gridCol w:w="309"/>
        <w:gridCol w:w="70"/>
        <w:gridCol w:w="811"/>
        <w:gridCol w:w="60"/>
        <w:gridCol w:w="309"/>
        <w:gridCol w:w="60"/>
        <w:gridCol w:w="690"/>
        <w:gridCol w:w="63"/>
      </w:tblGrid>
      <w:tr>
        <w:trPr/>
        <w:tc>
          <w:tcPr>
            <w:tcW w:w="5383"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83" w:type="dxa"/>
            <w:tcBorders/>
            <w:vAlign w:val="bottom"/>
          </w:tcPr>
          <w:p>
            <w:pPr>
              <w:pStyle w:val="TableContents"/>
              <w:bidi w:val="0"/>
              <w:spacing w:before="0" w:after="283"/>
              <w:jc w:val="left"/>
              <w:rPr>
                <w:i/>
              </w:rPr>
            </w:pPr>
            <w:r>
              <w:rPr>
                <w:i/>
              </w:rPr>
              <w:t>in CHF thousands</w:t>
            </w:r>
          </w:p>
        </w:tc>
        <w:tc>
          <w:tcPr>
            <w:tcW w:w="30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Licenses</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cost:</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8,724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8,724</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b/>
              </w:rPr>
            </w:pPr>
            <w:r>
              <w:rPr>
                <w:b/>
              </w:rPr>
              <w:t>  </w:t>
            </w:r>
          </w:p>
        </w:tc>
        <w:tc>
          <w:tcPr>
            <w:tcW w:w="63" w:type="dxa"/>
            <w:tcBorders/>
            <w:shd w:fill="CCEEFF" w:val="clear"/>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8,724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8,724</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3,482</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3,482</w:t>
            </w:r>
          </w:p>
        </w:tc>
        <w:tc>
          <w:tcPr>
            <w:tcW w:w="63" w:type="dxa"/>
            <w:tcBorders/>
            <w:shd w:fill="CCEEFF" w:val="clear"/>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12,206</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12,206</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240" w:hRule="atLeast"/>
        </w:trPr>
        <w:tc>
          <w:tcPr>
            <w:tcW w:w="5383" w:type="dxa"/>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538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Licenses</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5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amortization:</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  </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charge</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  </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charge</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  </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Carrying amount:</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8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2021</w:t>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b/>
              </w:rPr>
            </w:pPr>
            <w:r>
              <w:rPr>
                <w:b/>
              </w:rPr>
              <w:t>8,724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b/>
              </w:rPr>
            </w:pPr>
            <w:r>
              <w:rPr>
                <w:b/>
              </w:rPr>
              <w:t>8,724</w:t>
            </w:r>
          </w:p>
        </w:tc>
        <w:tc>
          <w:tcPr>
            <w:tcW w:w="63" w:type="dxa"/>
            <w:tcBorders/>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 of December 31, 2022</w:t>
            </w:r>
          </w:p>
        </w:tc>
        <w:tc>
          <w:tcPr>
            <w:tcW w:w="30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b/>
              </w:rPr>
            </w:pPr>
            <w:r>
              <w:rPr>
                <w:b/>
              </w:rPr>
              <w:t>12,206</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b/>
              </w:rPr>
            </w:pPr>
            <w:r>
              <w:rPr>
                <w:b/>
              </w:rPr>
              <w:t>12,206</w:t>
            </w:r>
          </w:p>
        </w:tc>
        <w:tc>
          <w:tcPr>
            <w:tcW w:w="63" w:type="dxa"/>
            <w:tcBorders/>
            <w:shd w:fill="CCEEFF" w:val="clear"/>
            <w:vAlign w:val="bottom"/>
          </w:tcPr>
          <w:p>
            <w:pPr>
              <w:pStyle w:val="TableContents"/>
              <w:bidi w:val="0"/>
              <w:spacing w:before="0" w:after="283"/>
              <w:jc w:val="left"/>
              <w:rPr/>
            </w:pPr>
            <w:r>
              <w:rPr/>
              <w:t> </w:t>
            </w:r>
          </w:p>
        </w:tc>
      </w:tr>
      <w:tr>
        <w:trPr/>
        <w:tc>
          <w:tcPr>
            <w:tcW w:w="538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2022 compared to 2021 in the amount of CHF 3,482 thousand was related to the License Agreement with Accure Therapeutics for the exclusive global licensing of its OCS-05 (formerly ACT-01) technology, entered into on January 29, 2022. This License Agreement contains an upfront payment of CHF 3,000 thousand, a reimbursement of development related cost up to CHF 500 thousand, certain milestone payments for achievements of specified development events, sales-based milestone payments and sales-based royalty payments. The Company intends to advance the development of OCS-05 with the focus on multiple ophthalmology neuroprotective applications. As of December 31, 2022, CHF 3,000 thousand upfront payment and CHF 482 thousand reimbursed costs in relation to the OCS-05 clinical study were capitalized as intangible assets in accordance with IAS 38.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amortization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products candidates related to the capitalized intangible assets are not yet available for use. The amortization of the licenses will start when the market approval is obtained. </w:t>
      </w:r>
    </w:p>
    <w:p>
      <w:pPr>
        <w:pStyle w:val="TextBody"/>
        <w:bidi w:val="0"/>
        <w:spacing w:before="360" w:after="0"/>
        <w:jc w:val="left"/>
        <w:rPr>
          <w:rFonts w:ascii="Times New Roman" w:hAnsi="Times New Roman"/>
          <w:b/>
          <w:sz w:val="20"/>
        </w:rPr>
      </w:pPr>
      <w:r>
        <w:rPr>
          <w:rFonts w:ascii="Times New Roman" w:hAnsi="Times New Roman"/>
          <w:b/>
          <w:sz w:val="20"/>
        </w:rPr>
        <w:t xml:space="preserve">(B) Annual impairment testing </w:t>
      </w:r>
    </w:p>
    <w:p>
      <w:pPr>
        <w:pStyle w:val="TextBody"/>
        <w:bidi w:val="0"/>
        <w:spacing w:before="120" w:after="0"/>
        <w:jc w:val="left"/>
        <w:rPr>
          <w:rFonts w:ascii="Times New Roman" w:hAnsi="Times New Roman"/>
          <w:sz w:val="20"/>
        </w:rPr>
      </w:pPr>
      <w:r>
        <w:rPr>
          <w:rFonts w:ascii="Times New Roman" w:hAnsi="Times New Roman"/>
          <w:sz w:val="20"/>
        </w:rPr>
        <w:t xml:space="preserve">Oculis performs an assessment of its licenses in the context of its annual impairment test. Given the stage of Oculis development activities and the importance of the relevant product candidates, OCS-02 and OCS-05, in Oculis portfolio, the impairment test is performed first on the basis of a fair value model for the entire Company using a market approach and second on the basis of the continued development feasibility of both candidates. </w:t>
      </w:r>
    </w:p>
    <w:p>
      <w:pPr>
        <w:pStyle w:val="TextBody"/>
        <w:bidi w:val="0"/>
        <w:spacing w:before="240" w:after="0"/>
        <w:jc w:val="left"/>
        <w:rPr>
          <w:rFonts w:ascii="Times New Roman" w:hAnsi="Times New Roman"/>
          <w:sz w:val="20"/>
        </w:rPr>
      </w:pPr>
      <w:r>
        <w:rPr>
          <w:rFonts w:ascii="Times New Roman" w:hAnsi="Times New Roman"/>
          <w:sz w:val="20"/>
        </w:rPr>
        <w:t xml:space="preserve">Oculis performs its annual impairment tests on its entire portfolio of research and development assets, by deriving the fair value from an observable valuation for the entire Company (enterprise value) based on the latest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rounds of external financing. The enterprise value of Oculis, i.e. the Companys total value, is derived from the latest issuance of preferred shares. The fair value of the asset portfolio is derived by deducting the carrying value of tangible assets, which consist primarily of cash and cash equivalents, from the Company valuation. In 2022 and 2021 this resulted in a derived fair value of Oculis portfolio of research and development assets that was multiple times the carrying value of its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OCS-02 and OCS-05, are additionally tested for impairment by assessing their probability of success. Assessments include reviews of the following indicators, and if the candidate fails any of these indicators the entire balance is written off: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Importance allocated to the candidate within Oculis development portfolio, including future contractual commitments and internal budgets approved by the Board of Directors for ongoing and future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 of the progress of technical development and clinical trials, including obtaining technical development reports, efficacy and safety readout data, and discussions with regulatory authorities for new trials;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 of market potentials supported where available by external market studies, and assessments of competitor products and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2022, 2021 and 2020, review of all these indicators for OCS-02 and OCS-05 (in 2022) was positive. No impairment losses were recognized in 2022, 2021 and 2020. </w:t>
      </w:r>
    </w:p>
    <w:p>
      <w:pPr>
        <w:pStyle w:val="TextBody"/>
        <w:bidi w:val="0"/>
        <w:spacing w:before="360" w:after="0"/>
        <w:jc w:val="left"/>
        <w:rPr>
          <w:rFonts w:ascii="Times New Roman" w:hAnsi="Times New Roman"/>
          <w:b/>
          <w:sz w:val="20"/>
        </w:rPr>
      </w:pPr>
      <w:r>
        <w:rPr>
          <w:rFonts w:ascii="Times New Roman" w:hAnsi="Times New Roman"/>
          <w:b/>
          <w:sz w:val="20"/>
        </w:rPr>
        <w:t xml:space="preserve">9. RIGHT-OF-USE ASSETS AND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right-of-use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19"/>
        <w:gridCol w:w="350"/>
        <w:gridCol w:w="87"/>
        <w:gridCol w:w="667"/>
        <w:gridCol w:w="226"/>
        <w:gridCol w:w="392"/>
        <w:gridCol w:w="87"/>
        <w:gridCol w:w="668"/>
        <w:gridCol w:w="159"/>
      </w:tblGrid>
      <w:tr>
        <w:trPr/>
        <w:tc>
          <w:tcPr>
            <w:tcW w:w="5119"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bottom"/>
          </w:tcPr>
          <w:p>
            <w:pPr>
              <w:pStyle w:val="TableContents"/>
              <w:bidi w:val="0"/>
              <w:spacing w:before="0" w:after="283"/>
              <w:jc w:val="left"/>
              <w:rPr>
                <w:i/>
              </w:rPr>
            </w:pPr>
            <w:r>
              <w:rPr>
                <w:i/>
              </w:rPr>
              <w:t>in CHF thousands</w:t>
            </w:r>
          </w:p>
        </w:tc>
        <w:tc>
          <w:tcPr>
            <w:tcW w:w="350" w:type="dxa"/>
            <w:tcBorders/>
            <w:vAlign w:val="bottom"/>
          </w:tcPr>
          <w:p>
            <w:pPr>
              <w:pStyle w:val="TableContents"/>
              <w:bidi w:val="0"/>
              <w:spacing w:before="0" w:after="283"/>
              <w:jc w:val="left"/>
              <w:rPr/>
            </w:pPr>
            <w:r>
              <w:rPr/>
              <w:t>  </w:t>
            </w:r>
          </w:p>
        </w:tc>
        <w:tc>
          <w:tcPr>
            <w:tcW w:w="21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Right-of-use assets</w:t>
            </w:r>
          </w:p>
        </w:tc>
        <w:tc>
          <w:tcPr>
            <w:tcW w:w="159" w:type="dxa"/>
            <w:tcBorders/>
            <w:vAlign w:val="bottom"/>
          </w:tcPr>
          <w:p>
            <w:pPr>
              <w:pStyle w:val="TableContents"/>
              <w:bidi w:val="0"/>
              <w:spacing w:before="0" w:after="283"/>
              <w:jc w:val="left"/>
              <w:rPr/>
            </w:pPr>
            <w:r>
              <w:rPr/>
              <w:t> </w:t>
            </w:r>
          </w:p>
        </w:tc>
      </w:tr>
      <w:tr>
        <w:trPr/>
        <w:tc>
          <w:tcPr>
            <w:tcW w:w="5119"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26"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51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1,</w:t>
            </w:r>
          </w:p>
        </w:tc>
        <w:tc>
          <w:tcPr>
            <w:tcW w:w="35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855</w:t>
            </w:r>
          </w:p>
        </w:tc>
        <w:tc>
          <w:tcPr>
            <w:tcW w:w="22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948</w:t>
            </w:r>
          </w:p>
        </w:tc>
        <w:tc>
          <w:tcPr>
            <w:tcW w:w="159" w:type="dxa"/>
            <w:tcBorders/>
            <w:shd w:fill="CCEEFF" w:val="clear"/>
            <w:vAlign w:val="bottom"/>
          </w:tcPr>
          <w:p>
            <w:pPr>
              <w:pStyle w:val="TableContents"/>
              <w:bidi w:val="0"/>
              <w:spacing w:before="0" w:after="283"/>
              <w:jc w:val="left"/>
              <w:rPr/>
            </w:pPr>
            <w:r>
              <w:rPr/>
              <w:t> </w:t>
            </w:r>
          </w:p>
        </w:tc>
      </w:tr>
      <w:tr>
        <w:trPr/>
        <w:tc>
          <w:tcPr>
            <w:tcW w:w="511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9" w:type="dxa"/>
            <w:tcBorders/>
          </w:tcPr>
          <w:p>
            <w:pPr>
              <w:pStyle w:val="TableContents"/>
              <w:bidi w:val="0"/>
              <w:spacing w:before="0" w:after="0"/>
              <w:jc w:val="left"/>
              <w:rPr>
                <w:rFonts w:ascii="Times New Roman" w:hAnsi="Times New Roman"/>
                <w:sz w:val="20"/>
              </w:rPr>
            </w:pPr>
            <w:r>
              <w:rPr>
                <w:rFonts w:ascii="Times New Roman" w:hAnsi="Times New Roman"/>
                <w:sz w:val="20"/>
              </w:rPr>
              <w:t>Indexation for the period</w:t>
            </w:r>
          </w:p>
        </w:tc>
        <w:tc>
          <w:tcPr>
            <w:tcW w:w="35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70</w:t>
            </w:r>
          </w:p>
        </w:tc>
        <w:tc>
          <w:tcPr>
            <w:tcW w:w="226"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5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Addition/remeasurement/renewal of lease period Oculis SA office lease</w:t>
            </w:r>
          </w:p>
        </w:tc>
        <w:tc>
          <w:tcPr>
            <w:tcW w:w="35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pPr>
            <w:r>
              <w:rPr/>
              <w:t>28</w:t>
            </w:r>
          </w:p>
        </w:tc>
        <w:tc>
          <w:tcPr>
            <w:tcW w:w="159" w:type="dxa"/>
            <w:tcBorders/>
            <w:shd w:fill="CCEEFF" w:val="clear"/>
            <w:vAlign w:val="bottom"/>
          </w:tcPr>
          <w:p>
            <w:pPr>
              <w:pStyle w:val="TableContents"/>
              <w:bidi w:val="0"/>
              <w:spacing w:before="0" w:after="283"/>
              <w:jc w:val="left"/>
              <w:rPr/>
            </w:pPr>
            <w:r>
              <w:rPr/>
              <w:t> </w:t>
            </w:r>
          </w:p>
        </w:tc>
      </w:tr>
      <w:tr>
        <w:trPr/>
        <w:tc>
          <w:tcPr>
            <w:tcW w:w="511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charge for the period</w:t>
            </w:r>
          </w:p>
        </w:tc>
        <w:tc>
          <w:tcPr>
            <w:tcW w:w="35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(167</w:t>
            </w:r>
          </w:p>
        </w:tc>
        <w:tc>
          <w:tcPr>
            <w:tcW w:w="226"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283"/>
              <w:jc w:val="right"/>
              <w:rPr/>
            </w:pPr>
            <w:r>
              <w:rPr/>
              <w:t>(147</w:t>
            </w:r>
          </w:p>
        </w:tc>
        <w:tc>
          <w:tcPr>
            <w:tcW w:w="159" w:type="dxa"/>
            <w:tcBorders/>
            <w:vAlign w:val="bottom"/>
          </w:tcPr>
          <w:p>
            <w:pPr>
              <w:pStyle w:val="TableContents"/>
              <w:bidi w:val="0"/>
              <w:spacing w:before="0" w:after="283"/>
              <w:jc w:val="left"/>
              <w:rPr/>
            </w:pPr>
            <w:r>
              <w:rPr/>
              <w:t>) </w:t>
            </w:r>
          </w:p>
        </w:tc>
      </w:tr>
      <w:tr>
        <w:trPr/>
        <w:tc>
          <w:tcPr>
            <w:tcW w:w="511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6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w:t>
            </w:r>
          </w:p>
        </w:tc>
        <w:tc>
          <w:tcPr>
            <w:tcW w:w="35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b/>
              </w:rPr>
            </w:pPr>
            <w:r>
              <w:rPr>
                <w:b/>
              </w:rPr>
              <w:t>758</w:t>
            </w:r>
          </w:p>
        </w:tc>
        <w:tc>
          <w:tcPr>
            <w:tcW w:w="226"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283"/>
              <w:jc w:val="right"/>
              <w:rPr>
                <w:b/>
              </w:rPr>
            </w:pPr>
            <w:r>
              <w:rPr>
                <w:b/>
              </w:rPr>
              <w:t>855</w:t>
            </w:r>
          </w:p>
        </w:tc>
        <w:tc>
          <w:tcPr>
            <w:tcW w:w="159" w:type="dxa"/>
            <w:tcBorders/>
            <w:shd w:fill="CCEEFF" w:val="clear"/>
            <w:vAlign w:val="bottom"/>
          </w:tcPr>
          <w:p>
            <w:pPr>
              <w:pStyle w:val="TableContents"/>
              <w:bidi w:val="0"/>
              <w:spacing w:before="0" w:after="283"/>
              <w:jc w:val="left"/>
              <w:rPr/>
            </w:pPr>
            <w:r>
              <w:rPr/>
              <w:t> </w:t>
            </w:r>
          </w:p>
        </w:tc>
      </w:tr>
      <w:tr>
        <w:trPr/>
        <w:tc>
          <w:tcPr>
            <w:tcW w:w="511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226"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6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are no variable lease payments which are not included in the measurement of lease obligations. Expected extension options have been included in the measurement of lease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lease obligations: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26"/>
        <w:gridCol w:w="310"/>
        <w:gridCol w:w="71"/>
        <w:gridCol w:w="552"/>
        <w:gridCol w:w="187"/>
        <w:gridCol w:w="325"/>
        <w:gridCol w:w="71"/>
        <w:gridCol w:w="554"/>
        <w:gridCol w:w="159"/>
      </w:tblGrid>
      <w:tr>
        <w:trPr/>
        <w:tc>
          <w:tcPr>
            <w:tcW w:w="5526"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26" w:type="dxa"/>
            <w:tcBorders/>
            <w:vAlign w:val="bottom"/>
          </w:tcPr>
          <w:p>
            <w:pPr>
              <w:pStyle w:val="TableContents"/>
              <w:bidi w:val="0"/>
              <w:spacing w:before="0" w:after="283"/>
              <w:jc w:val="left"/>
              <w:rPr>
                <w:i/>
              </w:rPr>
            </w:pPr>
            <w:r>
              <w:rPr>
                <w:i/>
              </w:rPr>
              <w:t>in CHF thousands</w:t>
            </w:r>
          </w:p>
        </w:tc>
        <w:tc>
          <w:tcPr>
            <w:tcW w:w="310" w:type="dxa"/>
            <w:tcBorders/>
            <w:vAlign w:val="bottom"/>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Lease liabilities</w:t>
            </w:r>
          </w:p>
        </w:tc>
        <w:tc>
          <w:tcPr>
            <w:tcW w:w="159" w:type="dxa"/>
            <w:tcBorders/>
            <w:vAlign w:val="bottom"/>
          </w:tcPr>
          <w:p>
            <w:pPr>
              <w:pStyle w:val="TableContents"/>
              <w:bidi w:val="0"/>
              <w:spacing w:before="0" w:after="283"/>
              <w:jc w:val="left"/>
              <w:rPr/>
            </w:pPr>
            <w:r>
              <w:rPr/>
              <w:t> </w:t>
            </w:r>
          </w:p>
        </w:tc>
      </w:tr>
      <w:tr>
        <w:trPr/>
        <w:tc>
          <w:tcPr>
            <w:tcW w:w="5526"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6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8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55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1,</w:t>
            </w:r>
          </w:p>
        </w:tc>
        <w:tc>
          <w:tcPr>
            <w:tcW w:w="31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(770</w:t>
            </w:r>
          </w:p>
        </w:tc>
        <w:tc>
          <w:tcPr>
            <w:tcW w:w="187" w:type="dxa"/>
            <w:tcBorders/>
            <w:shd w:fill="CCEEFF" w:val="clear"/>
            <w:vAlign w:val="bottom"/>
          </w:tcPr>
          <w:p>
            <w:pPr>
              <w:pStyle w:val="TableContents"/>
              <w:bidi w:val="0"/>
              <w:spacing w:before="0" w:after="283"/>
              <w:jc w:val="left"/>
              <w:rPr>
                <w:b/>
              </w:rPr>
            </w:pPr>
            <w:r>
              <w:rPr>
                <w:b/>
              </w:rPr>
              <w:t>) </w:t>
            </w:r>
          </w:p>
        </w:tc>
        <w:tc>
          <w:tcPr>
            <w:tcW w:w="32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b/>
              </w:rPr>
            </w:pPr>
            <w:r>
              <w:rPr>
                <w:b/>
              </w:rPr>
              <w:t>(833</w:t>
            </w:r>
          </w:p>
        </w:tc>
        <w:tc>
          <w:tcPr>
            <w:tcW w:w="159" w:type="dxa"/>
            <w:tcBorders/>
            <w:shd w:fill="CCEEFF" w:val="clear"/>
            <w:vAlign w:val="bottom"/>
          </w:tcPr>
          <w:p>
            <w:pPr>
              <w:pStyle w:val="TableContents"/>
              <w:bidi w:val="0"/>
              <w:spacing w:before="0" w:after="283"/>
              <w:jc w:val="left"/>
              <w:rPr>
                <w:b/>
              </w:rPr>
            </w:pPr>
            <w:r>
              <w:rPr>
                <w:b/>
              </w:rPr>
              <w:t>) </w:t>
            </w:r>
          </w:p>
        </w:tc>
      </w:tr>
      <w:tr>
        <w:trPr/>
        <w:tc>
          <w:tcPr>
            <w:tcW w:w="552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26" w:type="dxa"/>
            <w:tcBorders/>
          </w:tcPr>
          <w:p>
            <w:pPr>
              <w:pStyle w:val="TableContents"/>
              <w:bidi w:val="0"/>
              <w:spacing w:before="0" w:after="0"/>
              <w:jc w:val="left"/>
              <w:rPr>
                <w:rFonts w:ascii="Times New Roman" w:hAnsi="Times New Roman"/>
                <w:sz w:val="20"/>
              </w:rPr>
            </w:pPr>
            <w:r>
              <w:rPr>
                <w:rFonts w:ascii="Times New Roman" w:hAnsi="Times New Roman"/>
                <w:sz w:val="20"/>
              </w:rPr>
              <w:t>Addition/remeasurement/renewal of lease period Oculis SA office lease</w:t>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5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31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48</w:t>
            </w:r>
          </w:p>
        </w:tc>
        <w:tc>
          <w:tcPr>
            <w:tcW w:w="18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5526" w:type="dxa"/>
            <w:tcBorders/>
          </w:tcPr>
          <w:p>
            <w:pPr>
              <w:pStyle w:val="TableContents"/>
              <w:bidi w:val="0"/>
              <w:spacing w:before="0" w:after="0"/>
              <w:jc w:val="left"/>
              <w:rPr>
                <w:rFonts w:ascii="Times New Roman" w:hAnsi="Times New Roman"/>
                <w:sz w:val="20"/>
              </w:rPr>
            </w:pPr>
            <w:r>
              <w:rPr>
                <w:rFonts w:ascii="Times New Roman" w:hAnsi="Times New Roman"/>
                <w:sz w:val="20"/>
              </w:rPr>
              <w:t>Indexation for the period</w:t>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(70</w:t>
            </w:r>
          </w:p>
        </w:tc>
        <w:tc>
          <w:tcPr>
            <w:tcW w:w="18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5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for the period</w:t>
            </w:r>
          </w:p>
        </w:tc>
        <w:tc>
          <w:tcPr>
            <w:tcW w:w="31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(45</w:t>
            </w:r>
          </w:p>
        </w:tc>
        <w:tc>
          <w:tcPr>
            <w:tcW w:w="18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pPr>
            <w:r>
              <w:rPr/>
              <w:t>(49</w:t>
            </w:r>
          </w:p>
        </w:tc>
        <w:tc>
          <w:tcPr>
            <w:tcW w:w="159" w:type="dxa"/>
            <w:tcBorders/>
            <w:shd w:fill="CCEEFF" w:val="clear"/>
            <w:vAlign w:val="bottom"/>
          </w:tcPr>
          <w:p>
            <w:pPr>
              <w:pStyle w:val="TableContents"/>
              <w:bidi w:val="0"/>
              <w:spacing w:before="0" w:after="283"/>
              <w:jc w:val="left"/>
              <w:rPr/>
            </w:pPr>
            <w:r>
              <w:rPr/>
              <w:t>) </w:t>
            </w:r>
          </w:p>
        </w:tc>
      </w:tr>
      <w:tr>
        <w:trPr/>
        <w:tc>
          <w:tcPr>
            <w:tcW w:w="5526" w:type="dxa"/>
            <w:tcBorders/>
          </w:tcPr>
          <w:p>
            <w:pPr>
              <w:pStyle w:val="TableContents"/>
              <w:bidi w:val="0"/>
              <w:spacing w:before="0" w:after="0"/>
              <w:jc w:val="left"/>
              <w:rPr>
                <w:rFonts w:ascii="Times New Roman" w:hAnsi="Times New Roman"/>
                <w:sz w:val="20"/>
              </w:rPr>
            </w:pPr>
            <w:r>
              <w:rPr>
                <w:rFonts w:ascii="Times New Roman" w:hAnsi="Times New Roman"/>
                <w:sz w:val="20"/>
              </w:rPr>
              <w:t>Lease payments for the period</w:t>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204</w:t>
            </w:r>
          </w:p>
        </w:tc>
        <w:tc>
          <w:tcPr>
            <w:tcW w:w="18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right"/>
              <w:rPr/>
            </w:pPr>
            <w:r>
              <w:rPr/>
              <w:t>147</w:t>
            </w:r>
          </w:p>
        </w:tc>
        <w:tc>
          <w:tcPr>
            <w:tcW w:w="159" w:type="dxa"/>
            <w:tcBorders/>
            <w:vAlign w:val="bottom"/>
          </w:tcPr>
          <w:p>
            <w:pPr>
              <w:pStyle w:val="TableContents"/>
              <w:bidi w:val="0"/>
              <w:spacing w:before="0" w:after="283"/>
              <w:jc w:val="left"/>
              <w:rPr/>
            </w:pPr>
            <w:r>
              <w:rPr/>
              <w:t> </w:t>
            </w:r>
          </w:p>
        </w:tc>
      </w:tr>
      <w:tr>
        <w:trPr/>
        <w:tc>
          <w:tcPr>
            <w:tcW w:w="552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single" w:sz="2" w:space="1" w:color="000000"/>
              </w:pBdr>
              <w:bidi w:val="0"/>
              <w:spacing w:before="0" w:after="0"/>
              <w:jc w:val="left"/>
              <w:rPr/>
            </w:pPr>
            <w:r>
              <w:rPr/>
              <w:t> </w:t>
            </w:r>
          </w:p>
        </w:tc>
        <w:tc>
          <w:tcPr>
            <w:tcW w:w="55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w:t>
            </w:r>
          </w:p>
        </w:tc>
        <w:tc>
          <w:tcPr>
            <w:tcW w:w="31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b/>
              </w:rPr>
            </w:pPr>
            <w:r>
              <w:rPr>
                <w:b/>
              </w:rPr>
              <w:t>(633</w:t>
            </w:r>
          </w:p>
        </w:tc>
        <w:tc>
          <w:tcPr>
            <w:tcW w:w="187" w:type="dxa"/>
            <w:tcBorders/>
            <w:shd w:fill="CCEEFF" w:val="clear"/>
            <w:vAlign w:val="bottom"/>
          </w:tcPr>
          <w:p>
            <w:pPr>
              <w:pStyle w:val="TableContents"/>
              <w:bidi w:val="0"/>
              <w:spacing w:before="0" w:after="283"/>
              <w:jc w:val="left"/>
              <w:rPr>
                <w:b/>
              </w:rPr>
            </w:pPr>
            <w:r>
              <w:rPr>
                <w:b/>
              </w:rPr>
              <w:t>) </w:t>
            </w:r>
          </w:p>
        </w:tc>
        <w:tc>
          <w:tcPr>
            <w:tcW w:w="32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54" w:type="dxa"/>
            <w:tcBorders/>
            <w:shd w:fill="CCEEFF" w:val="clear"/>
            <w:vAlign w:val="bottom"/>
          </w:tcPr>
          <w:p>
            <w:pPr>
              <w:pStyle w:val="TableContents"/>
              <w:bidi w:val="0"/>
              <w:spacing w:before="0" w:after="283"/>
              <w:jc w:val="right"/>
              <w:rPr>
                <w:b/>
              </w:rPr>
            </w:pPr>
            <w:r>
              <w:rPr>
                <w:b/>
              </w:rPr>
              <w:t>(770</w:t>
            </w:r>
          </w:p>
        </w:tc>
        <w:tc>
          <w:tcPr>
            <w:tcW w:w="159" w:type="dxa"/>
            <w:tcBorders/>
            <w:shd w:fill="CCEEFF" w:val="clear"/>
            <w:vAlign w:val="bottom"/>
          </w:tcPr>
          <w:p>
            <w:pPr>
              <w:pStyle w:val="TableContents"/>
              <w:bidi w:val="0"/>
              <w:spacing w:before="0" w:after="283"/>
              <w:jc w:val="left"/>
              <w:rPr>
                <w:b/>
              </w:rPr>
            </w:pPr>
            <w:r>
              <w:rPr>
                <w:b/>
              </w:rPr>
              <w:t>) </w:t>
            </w:r>
          </w:p>
        </w:tc>
      </w:tr>
      <w:tr>
        <w:trPr/>
        <w:tc>
          <w:tcPr>
            <w:tcW w:w="5526"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187"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1" w:type="dxa"/>
            <w:tcBorders/>
            <w:vAlign w:val="bottom"/>
          </w:tcPr>
          <w:p>
            <w:pPr>
              <w:pStyle w:val="TableContents"/>
              <w:pBdr>
                <w:top w:val="double" w:sz="6" w:space="1" w:color="000000"/>
              </w:pBdr>
              <w:bidi w:val="0"/>
              <w:spacing w:before="0" w:after="0"/>
              <w:jc w:val="left"/>
              <w:rPr/>
            </w:pPr>
            <w:r>
              <w:rPr/>
              <w:t> </w:t>
            </w:r>
          </w:p>
        </w:tc>
        <w:tc>
          <w:tcPr>
            <w:tcW w:w="55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5146"/>
        <w:gridCol w:w="307"/>
        <w:gridCol w:w="89"/>
        <w:gridCol w:w="689"/>
        <w:gridCol w:w="233"/>
        <w:gridCol w:w="352"/>
        <w:gridCol w:w="89"/>
        <w:gridCol w:w="691"/>
        <w:gridCol w:w="159"/>
      </w:tblGrid>
      <w:tr>
        <w:trPr/>
        <w:tc>
          <w:tcPr>
            <w:tcW w:w="5146"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5146" w:type="dxa"/>
            <w:tcBorders/>
            <w:vAlign w:val="bottom"/>
          </w:tcPr>
          <w:p>
            <w:pPr>
              <w:pStyle w:val="TableContents"/>
              <w:bidi w:val="0"/>
              <w:spacing w:before="0" w:after="283"/>
              <w:jc w:val="left"/>
              <w:rPr>
                <w:i/>
              </w:rPr>
            </w:pPr>
            <w:r>
              <w:rPr>
                <w:i/>
              </w:rPr>
              <w:t>in CHF thousands</w:t>
            </w:r>
          </w:p>
        </w:tc>
        <w:tc>
          <w:tcPr>
            <w:tcW w:w="307"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3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7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5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0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(142</w:t>
            </w:r>
          </w:p>
        </w:tc>
        <w:tc>
          <w:tcPr>
            <w:tcW w:w="23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(193</w:t>
            </w:r>
          </w:p>
        </w:tc>
        <w:tc>
          <w:tcPr>
            <w:tcW w:w="159" w:type="dxa"/>
            <w:tcBorders/>
            <w:shd w:fill="CCEEFF" w:val="clear"/>
            <w:vAlign w:val="bottom"/>
          </w:tcPr>
          <w:p>
            <w:pPr>
              <w:pStyle w:val="TableContents"/>
              <w:bidi w:val="0"/>
              <w:spacing w:before="0" w:after="283"/>
              <w:jc w:val="left"/>
              <w:rPr/>
            </w:pPr>
            <w:r>
              <w:rPr/>
              <w:t>) </w:t>
            </w:r>
          </w:p>
        </w:tc>
      </w:tr>
      <w:tr>
        <w:trPr/>
        <w:tc>
          <w:tcPr>
            <w:tcW w:w="5146"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307"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(491</w:t>
            </w:r>
          </w:p>
        </w:tc>
        <w:tc>
          <w:tcPr>
            <w:tcW w:w="233"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(577</w:t>
            </w:r>
          </w:p>
        </w:tc>
        <w:tc>
          <w:tcPr>
            <w:tcW w:w="159" w:type="dxa"/>
            <w:tcBorders/>
            <w:vAlign w:val="bottom"/>
          </w:tcPr>
          <w:p>
            <w:pPr>
              <w:pStyle w:val="TableContents"/>
              <w:bidi w:val="0"/>
              <w:spacing w:before="0" w:after="283"/>
              <w:jc w:val="left"/>
              <w:rPr/>
            </w:pPr>
            <w:r>
              <w:rPr/>
              <w:t>) </w:t>
            </w:r>
          </w:p>
        </w:tc>
      </w:tr>
      <w:tr>
        <w:trPr/>
        <w:tc>
          <w:tcPr>
            <w:tcW w:w="514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b/>
              </w:rPr>
            </w:pPr>
            <w:r>
              <w:rPr>
                <w:b/>
              </w:rPr>
              <w:t>(633</w:t>
            </w:r>
          </w:p>
        </w:tc>
        <w:tc>
          <w:tcPr>
            <w:tcW w:w="233" w:type="dxa"/>
            <w:tcBorders/>
            <w:shd w:fill="CCEEFF" w:val="clear"/>
            <w:vAlign w:val="bottom"/>
          </w:tcPr>
          <w:p>
            <w:pPr>
              <w:pStyle w:val="TableContents"/>
              <w:bidi w:val="0"/>
              <w:spacing w:before="0" w:after="283"/>
              <w:jc w:val="left"/>
              <w:rPr>
                <w:b/>
              </w:rPr>
            </w:pPr>
            <w:r>
              <w:rPr>
                <w:b/>
              </w:rPr>
              <w:t>) </w:t>
            </w:r>
          </w:p>
        </w:tc>
        <w:tc>
          <w:tcPr>
            <w:tcW w:w="35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b/>
              </w:rPr>
            </w:pPr>
            <w:r>
              <w:rPr>
                <w:b/>
              </w:rPr>
              <w:t>(770</w:t>
            </w:r>
          </w:p>
        </w:tc>
        <w:tc>
          <w:tcPr>
            <w:tcW w:w="159" w:type="dxa"/>
            <w:tcBorders/>
            <w:shd w:fill="CCEEFF" w:val="clear"/>
            <w:vAlign w:val="bottom"/>
          </w:tcPr>
          <w:p>
            <w:pPr>
              <w:pStyle w:val="TableContents"/>
              <w:bidi w:val="0"/>
              <w:spacing w:before="0" w:after="283"/>
              <w:jc w:val="left"/>
              <w:rPr>
                <w:b/>
              </w:rPr>
            </w:pPr>
            <w:r>
              <w:rPr>
                <w:b/>
              </w:rPr>
              <w:t>) </w:t>
            </w:r>
          </w:p>
        </w:tc>
      </w:tr>
      <w:tr>
        <w:trPr/>
        <w:tc>
          <w:tcPr>
            <w:tcW w:w="5146"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AND ACCRUED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current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23"/>
        <w:gridCol w:w="310"/>
        <w:gridCol w:w="93"/>
        <w:gridCol w:w="918"/>
        <w:gridCol w:w="93"/>
        <w:gridCol w:w="359"/>
        <w:gridCol w:w="93"/>
        <w:gridCol w:w="603"/>
        <w:gridCol w:w="63"/>
      </w:tblGrid>
      <w:tr>
        <w:trPr/>
        <w:tc>
          <w:tcPr>
            <w:tcW w:w="5223"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23"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1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i/>
              </w:rPr>
            </w:pPr>
            <w:r>
              <w:rPr>
                <w:i/>
              </w:rPr>
              <w:t>in CHF thousands</w:t>
            </w:r>
          </w:p>
        </w:tc>
        <w:tc>
          <w:tcPr>
            <w:tcW w:w="31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93"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2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CMC, research and clinical expenses</w:t>
            </w:r>
          </w:p>
        </w:tc>
        <w:tc>
          <w:tcPr>
            <w:tcW w:w="3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1,586</w:t>
            </w:r>
          </w:p>
        </w:tc>
        <w:tc>
          <w:tcPr>
            <w:tcW w:w="93"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674</w:t>
            </w:r>
          </w:p>
        </w:tc>
        <w:tc>
          <w:tcPr>
            <w:tcW w:w="63" w:type="dxa"/>
            <w:tcBorders/>
            <w:shd w:fill="CCEEFF" w:val="clear"/>
            <w:vAlign w:val="bottom"/>
          </w:tcPr>
          <w:p>
            <w:pPr>
              <w:pStyle w:val="TableContents"/>
              <w:bidi w:val="0"/>
              <w:spacing w:before="0" w:after="283"/>
              <w:jc w:val="left"/>
              <w:rPr/>
            </w:pPr>
            <w:r>
              <w:rPr/>
              <w:t> </w:t>
            </w:r>
          </w:p>
        </w:tc>
      </w:tr>
      <w:tr>
        <w:trPr/>
        <w:tc>
          <w:tcPr>
            <w:tcW w:w="5223"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1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1,207</w:t>
            </w:r>
          </w:p>
        </w:tc>
        <w:tc>
          <w:tcPr>
            <w:tcW w:w="93"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c>
          <w:tcPr>
            <w:tcW w:w="52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VAT</w:t>
            </w:r>
          </w:p>
        </w:tc>
        <w:tc>
          <w:tcPr>
            <w:tcW w:w="3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165</w:t>
            </w:r>
          </w:p>
        </w:tc>
        <w:tc>
          <w:tcPr>
            <w:tcW w:w="93"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150</w:t>
            </w:r>
          </w:p>
        </w:tc>
        <w:tc>
          <w:tcPr>
            <w:tcW w:w="63" w:type="dxa"/>
            <w:tcBorders/>
            <w:shd w:fill="CCEEFF" w:val="clear"/>
            <w:vAlign w:val="bottom"/>
          </w:tcPr>
          <w:p>
            <w:pPr>
              <w:pStyle w:val="TableContents"/>
              <w:bidi w:val="0"/>
              <w:spacing w:before="0" w:after="283"/>
              <w:jc w:val="left"/>
              <w:rPr/>
            </w:pPr>
            <w:r>
              <w:rPr/>
              <w:t> </w:t>
            </w:r>
          </w:p>
        </w:tc>
      </w:tr>
      <w:tr>
        <w:trPr/>
        <w:tc>
          <w:tcPr>
            <w:tcW w:w="5223"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31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1</w:t>
            </w:r>
          </w:p>
        </w:tc>
        <w:tc>
          <w:tcPr>
            <w:tcW w:w="93"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b/>
              </w:rPr>
            </w:pPr>
            <w:r>
              <w:rPr>
                <w:b/>
              </w:rPr>
              <w:t>2,959</w:t>
            </w:r>
          </w:p>
        </w:tc>
        <w:tc>
          <w:tcPr>
            <w:tcW w:w="93"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b/>
              </w:rPr>
            </w:pPr>
            <w:r>
              <w:rPr>
                <w:b/>
              </w:rPr>
              <w:t>944</w:t>
            </w:r>
          </w:p>
        </w:tc>
        <w:tc>
          <w:tcPr>
            <w:tcW w:w="63" w:type="dxa"/>
            <w:tcBorders/>
            <w:shd w:fill="CCEEFF" w:val="clear"/>
            <w:vAlign w:val="bottom"/>
          </w:tcPr>
          <w:p>
            <w:pPr>
              <w:pStyle w:val="TableContents"/>
              <w:bidi w:val="0"/>
              <w:spacing w:before="0" w:after="283"/>
              <w:jc w:val="left"/>
              <w:rPr/>
            </w:pPr>
            <w:r>
              <w:rPr/>
              <w:t> </w:t>
            </w:r>
          </w:p>
        </w:tc>
      </w:tr>
      <w:tr>
        <w:trPr/>
        <w:tc>
          <w:tcPr>
            <w:tcW w:w="5223"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60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2022, capitalized transaction costs of CHF 570 thousand regarding the BCA agreement have been recorded under Prepaid expenses as explained under Note 2 (E). The increase in the Prepaid and other technical development (CMC), research and clinical expenses balance relates to our contract with Sandoz. Refer to Note 18. </w:t>
      </w:r>
    </w:p>
    <w:p>
      <w:pPr>
        <w:pStyle w:val="TextBody"/>
        <w:bidi w:val="0"/>
        <w:spacing w:before="240" w:after="0"/>
        <w:jc w:val="left"/>
        <w:rPr>
          <w:rFonts w:ascii="Times New Roman" w:hAnsi="Times New Roman"/>
          <w:sz w:val="20"/>
        </w:rPr>
      </w:pPr>
      <w:r>
        <w:rPr>
          <w:rFonts w:ascii="Times New Roman" w:hAnsi="Times New Roman"/>
          <w:sz w:val="20"/>
        </w:rPr>
        <w:t xml:space="preserve">Accrued income: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42"/>
        <w:gridCol w:w="257"/>
        <w:gridCol w:w="60"/>
        <w:gridCol w:w="464"/>
        <w:gridCol w:w="156"/>
        <w:gridCol w:w="257"/>
        <w:gridCol w:w="60"/>
        <w:gridCol w:w="698"/>
        <w:gridCol w:w="161"/>
      </w:tblGrid>
      <w:tr>
        <w:trPr/>
        <w:tc>
          <w:tcPr>
            <w:tcW w:w="5642"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42" w:type="dxa"/>
            <w:tcBorders/>
            <w:vAlign w:val="bottom"/>
          </w:tcPr>
          <w:p>
            <w:pPr>
              <w:pStyle w:val="TableContents"/>
              <w:bidi w:val="0"/>
              <w:spacing w:before="0" w:after="283"/>
              <w:jc w:val="left"/>
              <w:rPr>
                <w:i/>
              </w:rPr>
            </w:pPr>
            <w:r>
              <w:rPr>
                <w:i/>
              </w:rPr>
              <w:t>in CHF thousands</w:t>
            </w:r>
          </w:p>
        </w:tc>
        <w:tc>
          <w:tcPr>
            <w:tcW w:w="257" w:type="dxa"/>
            <w:tcBorders/>
            <w:vAlign w:val="bottom"/>
          </w:tcPr>
          <w:p>
            <w:pPr>
              <w:pStyle w:val="TableContents"/>
              <w:bidi w:val="0"/>
              <w:spacing w:before="0" w:after="283"/>
              <w:jc w:val="left"/>
              <w:rPr/>
            </w:pPr>
            <w:r>
              <w:rPr/>
              <w:t>  </w:t>
            </w:r>
          </w:p>
        </w:tc>
        <w:tc>
          <w:tcPr>
            <w:tcW w:w="16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Accrued income</w:t>
            </w:r>
          </w:p>
        </w:tc>
        <w:tc>
          <w:tcPr>
            <w:tcW w:w="161" w:type="dxa"/>
            <w:tcBorders/>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1" w:type="dxa"/>
            <w:tcBorders/>
            <w:vAlign w:val="bottom"/>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January 1,</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b/>
              </w:rPr>
            </w:pPr>
            <w:r>
              <w:rPr>
                <w:b/>
              </w:rPr>
              <w:t>760</w:t>
            </w:r>
          </w:p>
        </w:tc>
        <w:tc>
          <w:tcPr>
            <w:tcW w:w="15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993</w:t>
            </w:r>
          </w:p>
        </w:tc>
        <w:tc>
          <w:tcPr>
            <w:tcW w:w="161" w:type="dxa"/>
            <w:tcBorders/>
            <w:shd w:fill="CCEEFF" w:val="clear"/>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6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2" w:type="dxa"/>
            <w:tcBorders/>
          </w:tcPr>
          <w:p>
            <w:pPr>
              <w:pStyle w:val="TableContents"/>
              <w:bidi w:val="0"/>
              <w:spacing w:before="0" w:after="0"/>
              <w:jc w:val="left"/>
              <w:rPr>
                <w:rFonts w:ascii="Times New Roman" w:hAnsi="Times New Roman"/>
                <w:sz w:val="20"/>
              </w:rPr>
            </w:pPr>
            <w:r>
              <w:rPr>
                <w:rFonts w:ascii="Times New Roman" w:hAnsi="Times New Roman"/>
                <w:sz w:val="20"/>
              </w:rPr>
              <w:t>Accrued income recognized during the year</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912</w:t>
            </w:r>
          </w:p>
        </w:tc>
        <w:tc>
          <w:tcPr>
            <w:tcW w:w="15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960</w:t>
            </w:r>
          </w:p>
        </w:tc>
        <w:tc>
          <w:tcPr>
            <w:tcW w:w="161" w:type="dxa"/>
            <w:tcBorders/>
            <w:vAlign w:val="bottom"/>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received during the year</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(726</w:t>
            </w:r>
          </w:p>
        </w:tc>
        <w:tc>
          <w:tcPr>
            <w:tcW w:w="15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pPr>
            <w:r>
              <w:rPr/>
              <w:t>(1,198</w:t>
            </w:r>
          </w:p>
        </w:tc>
        <w:tc>
          <w:tcPr>
            <w:tcW w:w="161" w:type="dxa"/>
            <w:tcBorders/>
            <w:shd w:fill="CCEEFF" w:val="clear"/>
            <w:vAlign w:val="bottom"/>
          </w:tcPr>
          <w:p>
            <w:pPr>
              <w:pStyle w:val="TableContents"/>
              <w:bidi w:val="0"/>
              <w:spacing w:before="0" w:after="283"/>
              <w:jc w:val="left"/>
              <w:rPr/>
            </w:pPr>
            <w:r>
              <w:rPr/>
              <w:t>) </w:t>
            </w:r>
          </w:p>
        </w:tc>
      </w:tr>
      <w:tr>
        <w:trPr/>
        <w:tc>
          <w:tcPr>
            <w:tcW w:w="5642" w:type="dxa"/>
            <w:tcBorders/>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(34</w:t>
            </w:r>
          </w:p>
        </w:tc>
        <w:tc>
          <w:tcPr>
            <w:tcW w:w="15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pPr>
            <w:r>
              <w:rPr/>
              <w:t>4</w:t>
            </w:r>
          </w:p>
        </w:tc>
        <w:tc>
          <w:tcPr>
            <w:tcW w:w="161" w:type="dxa"/>
            <w:tcBorders/>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6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64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b/>
              </w:rPr>
            </w:pPr>
            <w:r>
              <w:rPr>
                <w:b/>
              </w:rPr>
              <w:t>912</w:t>
            </w:r>
          </w:p>
        </w:tc>
        <w:tc>
          <w:tcPr>
            <w:tcW w:w="15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760</w:t>
            </w:r>
          </w:p>
        </w:tc>
        <w:tc>
          <w:tcPr>
            <w:tcW w:w="161" w:type="dxa"/>
            <w:tcBorders/>
            <w:shd w:fill="CCEEFF" w:val="clear"/>
            <w:vAlign w:val="bottom"/>
          </w:tcPr>
          <w:p>
            <w:pPr>
              <w:pStyle w:val="TableContents"/>
              <w:bidi w:val="0"/>
              <w:spacing w:before="0" w:after="283"/>
              <w:jc w:val="left"/>
              <w:rPr/>
            </w:pPr>
            <w:r>
              <w:rPr/>
              <w:t> </w:t>
            </w:r>
          </w:p>
        </w:tc>
      </w:tr>
      <w:tr>
        <w:trPr/>
        <w:tc>
          <w:tcPr>
            <w:tcW w:w="5642"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6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Iceland offers incentives for research and development in the form of tax credits for innovation companies as outlined in Act No 152/2009. The aid is granted as a reimbursement of companies´ paid income tax or paid out in cash when the tax credit is higher than the calculated income tax. The tax credit is subject to companies having a research project approved as eligible for tax credit by the Icelandic Centre for Research (Rannís). These grants are claimed together with annual tax filings in ISK and reimbursed in the fourth quarter of the following year, which implies a revaluation based on ISK/CHF closing rate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On May 11, 2020, the Icelandic Parliament passed a legislation changing certain provisions of Act No 152/2009 on tax credits for innovation companies. The changes involve temporary provisions which may affect Oculis potential grant income for costs incurred in 2020 and 2021. The changes involve (i) the increase of possible tax credit for SMEs from 20% to 35%; (ii) an increase in the overall cap on eligible costs from ISK 900 million to ISK 1,100 million; and (iii) the introduction of a new annual cap on outsourced expenses at ISK 200 million, which was previously only subject to the overall cap on eligible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PENSIONS AND OTHER POST-EMPLOYMENT BENEFIT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Swiss pension plan is classified as a defined benefit plan under IFRS. Employees of the Icelandic, French, Hong Kong and American subsidiaries are covered by local post-retirement defined contribution plans. </w:t>
      </w:r>
    </w:p>
    <w:p>
      <w:pPr>
        <w:pStyle w:val="TextBody"/>
        <w:bidi w:val="0"/>
        <w:spacing w:before="360" w:after="0"/>
        <w:jc w:val="left"/>
        <w:rPr>
          <w:rFonts w:ascii="Times New Roman" w:hAnsi="Times New Roman"/>
          <w:b/>
          <w:sz w:val="20"/>
        </w:rPr>
      </w:pPr>
      <w:r>
        <w:rPr>
          <w:rFonts w:ascii="Times New Roman" w:hAnsi="Times New Roman"/>
          <w:b/>
          <w:sz w:val="20"/>
        </w:rPr>
        <w:t xml:space="preserve">(A) Iceland pension </w:t>
      </w:r>
    </w:p>
    <w:p>
      <w:pPr>
        <w:pStyle w:val="TextBody"/>
        <w:bidi w:val="0"/>
        <w:spacing w:before="120" w:after="0"/>
        <w:jc w:val="left"/>
        <w:rPr>
          <w:rFonts w:ascii="Times New Roman" w:hAnsi="Times New Roman"/>
          <w:sz w:val="20"/>
        </w:rPr>
      </w:pPr>
      <w:r>
        <w:rPr>
          <w:rFonts w:ascii="Times New Roman" w:hAnsi="Times New Roman"/>
          <w:sz w:val="20"/>
        </w:rPr>
        <w:t xml:space="preserve">Pension costs are charged to the income statement when incurred. CHF 112 thousand, CHF 117 thousand and CHF 127 thousand were recorded related to Iceland pension expenses in 2022, 2021 and 2020,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(B)</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French 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Pension costs are charged to the income statement when incurred. In 2022, pension costs amounted to CHF 42 thousand, CHF 47 thousand in 2021 and CHF 20 thousand in 2020. </w:t>
      </w:r>
    </w:p>
    <w:p>
      <w:pPr>
        <w:pStyle w:val="TextBody"/>
        <w:bidi w:val="0"/>
        <w:spacing w:before="360" w:after="0"/>
        <w:jc w:val="left"/>
        <w:rPr>
          <w:rFonts w:ascii="Times New Roman" w:hAnsi="Times New Roman"/>
          <w:b/>
          <w:sz w:val="20"/>
        </w:rPr>
      </w:pPr>
      <w:r>
        <w:rPr>
          <w:rFonts w:ascii="Times New Roman" w:hAnsi="Times New Roman"/>
          <w:b/>
          <w:sz w:val="20"/>
        </w:rPr>
        <w:t xml:space="preserve">(C) U.S. 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The U.S. entity adopted a 401(k) defined contribution plan effective December 1, 2020. There were no employer contributions made and plan administration cost was immaterial in 2022, 2021 and 2020. </w:t>
      </w:r>
    </w:p>
    <w:p>
      <w:pPr>
        <w:pStyle w:val="TextBody"/>
        <w:bidi w:val="0"/>
        <w:spacing w:before="360" w:after="0"/>
        <w:jc w:val="left"/>
        <w:rPr>
          <w:rFonts w:ascii="Times New Roman" w:hAnsi="Times New Roman"/>
          <w:b/>
          <w:sz w:val="20"/>
        </w:rPr>
      </w:pPr>
      <w:r>
        <w:rPr>
          <w:rFonts w:ascii="Times New Roman" w:hAnsi="Times New Roman"/>
          <w:b/>
          <w:sz w:val="20"/>
        </w:rPr>
        <w:t xml:space="preserve">(D) Hong Kong </w:t>
      </w:r>
    </w:p>
    <w:p>
      <w:pPr>
        <w:pStyle w:val="TextBody"/>
        <w:bidi w:val="0"/>
        <w:spacing w:before="120" w:after="0"/>
        <w:jc w:val="left"/>
        <w:rPr>
          <w:rFonts w:ascii="Times New Roman" w:hAnsi="Times New Roman"/>
          <w:sz w:val="20"/>
        </w:rPr>
      </w:pPr>
      <w:r>
        <w:rPr>
          <w:rFonts w:ascii="Times New Roman" w:hAnsi="Times New Roman"/>
          <w:sz w:val="20"/>
        </w:rPr>
        <w:t xml:space="preserve">Pension costs are charged to the income statement when incurred. In 2022, pension costs amounted to CHF 4 thousand. The subsidiary in Hong Kong did not employ any personnel in 2021 and 2020. Consequently, there was no pension expense in 2021 and 2020. </w:t>
      </w:r>
    </w:p>
    <w:p>
      <w:pPr>
        <w:pStyle w:val="TextBody"/>
        <w:bidi w:val="0"/>
        <w:spacing w:before="360" w:after="0"/>
        <w:jc w:val="left"/>
        <w:rPr>
          <w:rFonts w:ascii="Times New Roman" w:hAnsi="Times New Roman"/>
          <w:b/>
          <w:sz w:val="20"/>
        </w:rPr>
      </w:pPr>
      <w:r>
        <w:rPr>
          <w:rFonts w:ascii="Times New Roman" w:hAnsi="Times New Roman"/>
          <w:b/>
          <w:sz w:val="20"/>
        </w:rPr>
        <w:t xml:space="preserve">(E) Switzerland pension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Swiss entity is affiliated to a collective foundation administrating the pension plans of various unrelated employers that qualifies as defined benefit plan under IAS 19. For employees in Switzerland, the pension fund provides post-employment, death-in-service and disability benefits in accordance with the Swiss Federal Law on Occupational Retirement, Survivors and Disability Pension Plans which specifies the minimum benefits that are to be provided. </w:t>
      </w:r>
    </w:p>
    <w:p>
      <w:pPr>
        <w:pStyle w:val="TextBody"/>
        <w:bidi w:val="0"/>
        <w:spacing w:before="240" w:after="0"/>
        <w:jc w:val="left"/>
        <w:rPr>
          <w:rFonts w:ascii="Times New Roman" w:hAnsi="Times New Roman"/>
          <w:sz w:val="20"/>
        </w:rPr>
      </w:pPr>
      <w:r>
        <w:rPr>
          <w:rFonts w:ascii="Times New Roman" w:hAnsi="Times New Roman"/>
          <w:sz w:val="20"/>
        </w:rPr>
        <w:t xml:space="preserve">The pension plan of the Companys Swiss entity is fully segregated from the ones of other participating employers. The collective foundation has reinsured all risks with an insurance company. The most senior governing body of the collective foundation is the Board of Trustees. All governing and administration bodies have an obligation to act in the interests of the plan beneficiaries. </w:t>
      </w:r>
    </w:p>
    <w:p>
      <w:pPr>
        <w:pStyle w:val="TextBody"/>
        <w:bidi w:val="0"/>
        <w:spacing w:before="240" w:after="0"/>
        <w:jc w:val="left"/>
        <w:rPr>
          <w:rFonts w:ascii="Times New Roman" w:hAnsi="Times New Roman"/>
          <w:sz w:val="20"/>
        </w:rPr>
      </w:pPr>
      <w:r>
        <w:rPr>
          <w:rFonts w:ascii="Times New Roman" w:hAnsi="Times New Roman"/>
          <w:sz w:val="20"/>
        </w:rPr>
        <w:t xml:space="preserve">The retirement benefits are based on the accumulated retirement capital, which is made of the yearly contributions towards the old age risk by both employer and employee and the interest thereon until retirement. The employee contributions are determined based on the insured salary, depending on the age, staff level and saving amount of the beneficiary. The interest rate is determined annually by the governing body of the collective plan in accordance with the legal framework, which defines the minimum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If an employee leaves the pension plan before reaching retirement age, the law provides for the transfer of the vested benefits to a new pension plan. These vested benefits comprise the employee and the employer contributions plus interest, the money originally brought into the pension plan by the beneficiary and an additional legally stipulated amount. On reaching retirement age, the plan beneficiary may decide whether to withdraw the benefits in the form of an annuity or (entirely or partly) as a lump-sum payment. The annuity is calculated by multiplying the balance of the retirement capital with the applicable conversion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actuarial risks of the plan, e.g. old age, invalidity and death-in-service or investment, are fully covered by insurance. However, the collective foundation is able to withdraw from the contract with the Company at any time, in which case the Company would be required to join another pension plan. In addition, the risk premiums may be adjusted by the insurance company periodically.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Swiss pension plan is fully reinsured with Swiss Life (Swiss Life Business Protect), therefore the plan assets are 100% covered by an insurance contract. The insurance company bearing the investment risk is also making these investments on behalf of the collective foundation. As a result, the assets of the plan consist of a receivable from the insurance police. </w:t>
      </w:r>
    </w:p>
    <w:p>
      <w:pPr>
        <w:pStyle w:val="TextBody"/>
        <w:bidi w:val="0"/>
        <w:spacing w:before="240" w:after="0"/>
        <w:jc w:val="left"/>
        <w:rPr>
          <w:rFonts w:ascii="Times New Roman" w:hAnsi="Times New Roman"/>
          <w:sz w:val="20"/>
        </w:rPr>
      </w:pPr>
      <w:r>
        <w:rPr>
          <w:rFonts w:ascii="Times New Roman" w:hAnsi="Times New Roman"/>
          <w:sz w:val="20"/>
        </w:rPr>
        <w:t xml:space="preserve">The assets are invested by the pension plan, to which many companies contribute, in a diversified portfolio that respects the requirements of the Swiss Law. The insurance policy has been treated as a qualifying insurance policy and therefore the pension assets are presented as one asset and are not desegregated and presented in classes that distinguish the nature and risks of those assets.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components of net benefit expense recognized in the income statement, amounts recognized in the balance sheet and gains/(losses) recognized in other comprehensive loss.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35"/>
        <w:gridCol w:w="499"/>
        <w:gridCol w:w="117"/>
        <w:gridCol w:w="1310"/>
        <w:gridCol w:w="304"/>
        <w:gridCol w:w="601"/>
        <w:gridCol w:w="117"/>
        <w:gridCol w:w="1313"/>
        <w:gridCol w:w="159"/>
      </w:tblGrid>
      <w:tr>
        <w:trPr/>
        <w:tc>
          <w:tcPr>
            <w:tcW w:w="3335"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bottom"/>
          </w:tcPr>
          <w:p>
            <w:pPr>
              <w:pStyle w:val="TableContents"/>
              <w:bidi w:val="0"/>
              <w:spacing w:before="0" w:after="283"/>
              <w:jc w:val="left"/>
              <w:rPr>
                <w:i/>
              </w:rPr>
            </w:pPr>
            <w:r>
              <w:rPr>
                <w:i/>
              </w:rPr>
              <w:t>in CHF thousands</w:t>
            </w:r>
          </w:p>
        </w:tc>
        <w:tc>
          <w:tcPr>
            <w:tcW w:w="499" w:type="dxa"/>
            <w:tcBorders/>
            <w:vAlign w:val="bottom"/>
          </w:tcPr>
          <w:p>
            <w:pPr>
              <w:pStyle w:val="TableContents"/>
              <w:bidi w:val="0"/>
              <w:spacing w:before="0" w:after="283"/>
              <w:jc w:val="left"/>
              <w:rPr/>
            </w:pPr>
            <w:r>
              <w:rPr/>
              <w:t>  </w:t>
            </w:r>
          </w:p>
        </w:tc>
        <w:tc>
          <w:tcPr>
            <w:tcW w:w="37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59"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b/>
              </w:rPr>
            </w:pPr>
            <w:r>
              <w:rPr>
                <w:b/>
              </w:rPr>
              <w:t>Actuarial gains / (losses) recognized in other</w:t>
              <w:br/>
              <w:t>comprehensive loss:</w:t>
            </w:r>
          </w:p>
        </w:tc>
        <w:tc>
          <w:tcPr>
            <w:tcW w:w="499"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 plan assets</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26</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sz w:val="20"/>
              </w:rPr>
            </w:pPr>
            <w:r>
              <w:rPr>
                <w:rFonts w:ascii="Times New Roman" w:hAnsi="Times New Roman"/>
                <w:sz w:val="20"/>
              </w:rPr>
              <w:t>On obligation</w:t>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718</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70</w:t>
            </w:r>
          </w:p>
        </w:tc>
        <w:tc>
          <w:tcPr>
            <w:tcW w:w="159"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744</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88</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3335" w:type="dxa"/>
            <w:tcBorders/>
            <w:vAlign w:val="center"/>
          </w:tcPr>
          <w:p>
            <w:pPr>
              <w:pStyle w:val="TableContents"/>
              <w:bidi w:val="0"/>
              <w:spacing w:before="0" w:after="283"/>
              <w:jc w:val="left"/>
              <w:rPr>
                <w:sz w:val="4"/>
                <w:szCs w:val="4"/>
              </w:rPr>
            </w:pPr>
            <w:r>
              <w:rPr>
                <w:sz w:val="4"/>
                <w:szCs w:val="4"/>
              </w:rPr>
            </w:r>
          </w:p>
        </w:tc>
        <w:tc>
          <w:tcPr>
            <w:tcW w:w="4420" w:type="dxa"/>
            <w:gridSpan w:val="8"/>
            <w:tcBorders/>
            <w:vAlign w:val="center"/>
          </w:tcPr>
          <w:p>
            <w:pPr>
              <w:pStyle w:val="TableContents"/>
              <w:bidi w:val="0"/>
              <w:spacing w:before="0" w:after="283"/>
              <w:jc w:val="left"/>
              <w:rPr>
                <w:sz w:val="4"/>
                <w:szCs w:val="4"/>
              </w:rPr>
            </w:pPr>
            <w:r>
              <w:rPr>
                <w:sz w:val="4"/>
                <w:szCs w:val="4"/>
              </w:rPr>
            </w:r>
          </w:p>
        </w:tc>
      </w:tr>
      <w:tr>
        <w:trPr/>
        <w:tc>
          <w:tcPr>
            <w:tcW w:w="3335" w:type="dxa"/>
            <w:tcBorders/>
            <w:vAlign w:val="bottom"/>
          </w:tcPr>
          <w:p>
            <w:pPr>
              <w:pStyle w:val="TableContents"/>
              <w:bidi w:val="0"/>
              <w:spacing w:before="0" w:after="283"/>
              <w:jc w:val="left"/>
              <w:rPr>
                <w:i/>
              </w:rPr>
            </w:pPr>
            <w:r>
              <w:rPr>
                <w:i/>
              </w:rPr>
              <w:t>in CHF thousands</w:t>
            </w:r>
          </w:p>
        </w:tc>
        <w:tc>
          <w:tcPr>
            <w:tcW w:w="499" w:type="dxa"/>
            <w:tcBorders/>
            <w:vAlign w:val="bottom"/>
          </w:tcPr>
          <w:p>
            <w:pPr>
              <w:pStyle w:val="TableContents"/>
              <w:bidi w:val="0"/>
              <w:spacing w:before="0" w:after="283"/>
              <w:jc w:val="left"/>
              <w:rPr/>
            </w:pPr>
            <w:r>
              <w:rPr/>
              <w:t>  </w:t>
            </w:r>
          </w:p>
        </w:tc>
        <w:tc>
          <w:tcPr>
            <w:tcW w:w="37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59"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b/>
              </w:rPr>
            </w:pPr>
            <w:r>
              <w:rPr>
                <w:b/>
              </w:rPr>
              <w:t>Net benefit expense (recognized in personnel costs):</w:t>
            </w:r>
          </w:p>
        </w:tc>
        <w:tc>
          <w:tcPr>
            <w:tcW w:w="499"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(446</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(296</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 on benefit obligation</w:t>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(31</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26</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6</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sz w:val="20"/>
              </w:rPr>
            </w:pPr>
            <w:r>
              <w:rPr>
                <w:rFonts w:ascii="Times New Roman" w:hAnsi="Times New Roman"/>
                <w:sz w:val="20"/>
              </w:rPr>
              <w:t>Impact of plan changes</w:t>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37</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151</w:t>
            </w:r>
          </w:p>
        </w:tc>
        <w:tc>
          <w:tcPr>
            <w:tcW w:w="159"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Administration cost</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(6</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(3</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b/>
                <w:sz w:val="20"/>
              </w:rPr>
            </w:pPr>
            <w:r>
              <w:rPr>
                <w:rFonts w:ascii="Times New Roman" w:hAnsi="Times New Roman"/>
                <w:b/>
                <w:sz w:val="20"/>
              </w:rPr>
              <w:t>Net benefit income / (expense)</w:t>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b/>
              </w:rPr>
            </w:pPr>
            <w:r>
              <w:rPr>
                <w:b/>
              </w:rPr>
              <w:t>(420</w:t>
            </w:r>
          </w:p>
        </w:tc>
        <w:tc>
          <w:tcPr>
            <w:tcW w:w="304" w:type="dxa"/>
            <w:tcBorders/>
            <w:vAlign w:val="bottom"/>
          </w:tcPr>
          <w:p>
            <w:pPr>
              <w:pStyle w:val="TableContents"/>
              <w:bidi w:val="0"/>
              <w:spacing w:before="0" w:after="283"/>
              <w:jc w:val="left"/>
              <w:rPr>
                <w:b/>
              </w:rPr>
            </w:pPr>
            <w:r>
              <w:rPr>
                <w:b/>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b/>
              </w:rPr>
            </w:pPr>
            <w:r>
              <w:rPr>
                <w:b/>
              </w:rPr>
              <w:t>(150</w:t>
            </w:r>
          </w:p>
        </w:tc>
        <w:tc>
          <w:tcPr>
            <w:tcW w:w="159" w:type="dxa"/>
            <w:tcBorders/>
            <w:vAlign w:val="bottom"/>
          </w:tcPr>
          <w:p>
            <w:pPr>
              <w:pStyle w:val="TableContents"/>
              <w:bidi w:val="0"/>
              <w:spacing w:before="0" w:after="283"/>
              <w:jc w:val="left"/>
              <w:rPr>
                <w:b/>
              </w:rPr>
            </w:pPr>
            <w:r>
              <w:rPr>
                <w:b/>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3335" w:type="dxa"/>
            <w:tcBorders/>
            <w:vAlign w:val="center"/>
          </w:tcPr>
          <w:p>
            <w:pPr>
              <w:pStyle w:val="TableContents"/>
              <w:bidi w:val="0"/>
              <w:spacing w:before="0" w:after="283"/>
              <w:jc w:val="left"/>
              <w:rPr>
                <w:sz w:val="4"/>
                <w:szCs w:val="4"/>
              </w:rPr>
            </w:pPr>
            <w:r>
              <w:rPr>
                <w:sz w:val="4"/>
                <w:szCs w:val="4"/>
              </w:rPr>
            </w:r>
          </w:p>
        </w:tc>
        <w:tc>
          <w:tcPr>
            <w:tcW w:w="4420" w:type="dxa"/>
            <w:gridSpan w:val="8"/>
            <w:tcBorders/>
            <w:vAlign w:val="center"/>
          </w:tcPr>
          <w:p>
            <w:pPr>
              <w:pStyle w:val="TableContents"/>
              <w:bidi w:val="0"/>
              <w:spacing w:before="0" w:after="283"/>
              <w:jc w:val="left"/>
              <w:rPr>
                <w:sz w:val="4"/>
                <w:szCs w:val="4"/>
              </w:rPr>
            </w:pPr>
            <w:r>
              <w:rPr>
                <w:sz w:val="4"/>
                <w:szCs w:val="4"/>
              </w:rPr>
            </w:r>
          </w:p>
        </w:tc>
      </w:tr>
      <w:tr>
        <w:trPr/>
        <w:tc>
          <w:tcPr>
            <w:tcW w:w="3335" w:type="dxa"/>
            <w:tcBorders/>
            <w:vAlign w:val="bottom"/>
          </w:tcPr>
          <w:p>
            <w:pPr>
              <w:pStyle w:val="TableContents"/>
              <w:bidi w:val="0"/>
              <w:spacing w:before="0" w:after="283"/>
              <w:jc w:val="left"/>
              <w:rPr>
                <w:i/>
              </w:rPr>
            </w:pPr>
            <w:r>
              <w:rPr>
                <w:i/>
              </w:rPr>
              <w:t>in CHF thousands</w:t>
            </w:r>
          </w:p>
        </w:tc>
        <w:tc>
          <w:tcPr>
            <w:tcW w:w="499" w:type="dxa"/>
            <w:tcBorders/>
            <w:vAlign w:val="bottom"/>
          </w:tcPr>
          <w:p>
            <w:pPr>
              <w:pStyle w:val="TableContents"/>
              <w:bidi w:val="0"/>
              <w:spacing w:before="0" w:after="283"/>
              <w:jc w:val="left"/>
              <w:rPr/>
            </w:pPr>
            <w:r>
              <w:rPr/>
              <w:t>  </w:t>
            </w:r>
          </w:p>
        </w:tc>
        <w:tc>
          <w:tcPr>
            <w:tcW w:w="37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9"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b/>
              </w:rPr>
            </w:pPr>
            <w:r>
              <w:rPr>
                <w:b/>
              </w:rPr>
              <w:t>Benefit asset / (liability)</w:t>
            </w:r>
          </w:p>
        </w:tc>
        <w:tc>
          <w:tcPr>
            <w:tcW w:w="499"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obligation</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pPr>
            <w:r>
              <w:rPr/>
              <w:t>(6,494</w:t>
            </w:r>
          </w:p>
        </w:tc>
        <w:tc>
          <w:tcPr>
            <w:tcW w:w="304"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pPr>
            <w:r>
              <w:rPr/>
              <w:t>(5,666</w:t>
            </w:r>
          </w:p>
        </w:tc>
        <w:tc>
          <w:tcPr>
            <w:tcW w:w="159" w:type="dxa"/>
            <w:tcBorders/>
            <w:shd w:fill="CCEEFF" w:val="clear"/>
            <w:vAlign w:val="bottom"/>
          </w:tcPr>
          <w:p>
            <w:pPr>
              <w:pStyle w:val="TableContents"/>
              <w:bidi w:val="0"/>
              <w:spacing w:before="0" w:after="283"/>
              <w:jc w:val="left"/>
              <w:rPr/>
            </w:pPr>
            <w:r>
              <w:rPr/>
              <w:t>) </w:t>
            </w:r>
          </w:p>
        </w:tc>
      </w:tr>
      <w:tr>
        <w:trPr/>
        <w:tc>
          <w:tcPr>
            <w:tcW w:w="3335"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plan assets</w:t>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right"/>
              <w:rPr/>
            </w:pPr>
            <w:r>
              <w:rPr/>
              <w:t>6,403</w:t>
            </w:r>
          </w:p>
        </w:tc>
        <w:tc>
          <w:tcPr>
            <w:tcW w:w="304"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3" w:type="dxa"/>
            <w:tcBorders/>
            <w:vAlign w:val="bottom"/>
          </w:tcPr>
          <w:p>
            <w:pPr>
              <w:pStyle w:val="TableContents"/>
              <w:bidi w:val="0"/>
              <w:spacing w:before="0" w:after="283"/>
              <w:jc w:val="right"/>
              <w:rPr/>
            </w:pPr>
            <w:r>
              <w:rPr/>
              <w:t>4,821</w:t>
            </w:r>
          </w:p>
        </w:tc>
        <w:tc>
          <w:tcPr>
            <w:tcW w:w="159"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0"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benefit asset / (liability)</w:t>
            </w:r>
          </w:p>
        </w:tc>
        <w:tc>
          <w:tcPr>
            <w:tcW w:w="499"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283"/>
              <w:jc w:val="right"/>
              <w:rPr>
                <w:b/>
              </w:rPr>
            </w:pPr>
            <w:r>
              <w:rPr>
                <w:b/>
              </w:rPr>
              <w:t>(91</w:t>
            </w:r>
          </w:p>
        </w:tc>
        <w:tc>
          <w:tcPr>
            <w:tcW w:w="304" w:type="dxa"/>
            <w:tcBorders/>
            <w:shd w:fill="CCEEFF" w:val="clear"/>
            <w:vAlign w:val="bottom"/>
          </w:tcPr>
          <w:p>
            <w:pPr>
              <w:pStyle w:val="TableContents"/>
              <w:bidi w:val="0"/>
              <w:spacing w:before="0" w:after="283"/>
              <w:jc w:val="left"/>
              <w:rPr>
                <w:b/>
              </w:rPr>
            </w:pPr>
            <w:r>
              <w:rPr>
                <w:b/>
              </w:rPr>
              <w:t>) </w:t>
            </w:r>
          </w:p>
        </w:tc>
        <w:tc>
          <w:tcPr>
            <w:tcW w:w="60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3" w:type="dxa"/>
            <w:tcBorders/>
            <w:shd w:fill="CCEEFF" w:val="clear"/>
            <w:vAlign w:val="bottom"/>
          </w:tcPr>
          <w:p>
            <w:pPr>
              <w:pStyle w:val="TableContents"/>
              <w:bidi w:val="0"/>
              <w:spacing w:before="0" w:after="283"/>
              <w:jc w:val="right"/>
              <w:rPr>
                <w:b/>
              </w:rPr>
            </w:pPr>
            <w:r>
              <w:rPr>
                <w:b/>
              </w:rPr>
              <w:t>(845</w:t>
            </w:r>
          </w:p>
        </w:tc>
        <w:tc>
          <w:tcPr>
            <w:tcW w:w="159" w:type="dxa"/>
            <w:tcBorders/>
            <w:shd w:fill="CCEEFF" w:val="clear"/>
            <w:vAlign w:val="bottom"/>
          </w:tcPr>
          <w:p>
            <w:pPr>
              <w:pStyle w:val="TableContents"/>
              <w:bidi w:val="0"/>
              <w:spacing w:before="0" w:after="283"/>
              <w:jc w:val="left"/>
              <w:rPr>
                <w:b/>
              </w:rPr>
            </w:pPr>
            <w:r>
              <w:rPr>
                <w:b/>
              </w:rPr>
              <w:t>) </w:t>
            </w:r>
          </w:p>
        </w:tc>
      </w:tr>
      <w:tr>
        <w:trPr/>
        <w:tc>
          <w:tcPr>
            <w:tcW w:w="333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0"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impact of plan changes relates mainly to the changes of applicable rates for converting mandatory savings when employees do retire (see also below).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present value of the defined benefit obligation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7"/>
        <w:gridCol w:w="321"/>
        <w:gridCol w:w="117"/>
        <w:gridCol w:w="1318"/>
        <w:gridCol w:w="304"/>
        <w:gridCol w:w="422"/>
        <w:gridCol w:w="117"/>
        <w:gridCol w:w="1320"/>
        <w:gridCol w:w="159"/>
      </w:tblGrid>
      <w:tr>
        <w:trPr/>
        <w:tc>
          <w:tcPr>
            <w:tcW w:w="3677"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35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w:t>
              <w:br/>
              <w:t>31,</w:t>
            </w:r>
          </w:p>
        </w:tc>
        <w:tc>
          <w:tcPr>
            <w:tcW w:w="159" w:type="dxa"/>
            <w:tcBorders/>
            <w:vAlign w:val="bottom"/>
          </w:tcPr>
          <w:p>
            <w:pPr>
              <w:pStyle w:val="TableContents"/>
              <w:bidi w:val="0"/>
              <w:spacing w:before="0" w:after="283"/>
              <w:jc w:val="left"/>
              <w:rPr/>
            </w:pPr>
            <w:r>
              <w:rPr/>
              <w:t> </w:t>
            </w:r>
          </w:p>
        </w:tc>
      </w:tr>
      <w:tr>
        <w:trPr/>
        <w:tc>
          <w:tcPr>
            <w:tcW w:w="3677" w:type="dxa"/>
            <w:tcBorders/>
            <w:vAlign w:val="bottom"/>
          </w:tcPr>
          <w:p>
            <w:pPr>
              <w:pStyle w:val="TableContents"/>
              <w:bidi w:val="0"/>
              <w:spacing w:before="0" w:after="283"/>
              <w:jc w:val="left"/>
              <w:rPr>
                <w:i/>
              </w:rPr>
            </w:pPr>
            <w:r>
              <w:rPr>
                <w:i/>
              </w:rPr>
              <w:t>in CHF thousands</w:t>
            </w:r>
          </w:p>
        </w:tc>
        <w:tc>
          <w:tcPr>
            <w:tcW w:w="321"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04"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9" w:type="dxa"/>
            <w:tcBorders/>
            <w:vAlign w:val="bottom"/>
          </w:tcPr>
          <w:p>
            <w:pPr>
              <w:pStyle w:val="TableContents"/>
              <w:bidi w:val="0"/>
              <w:spacing w:before="0" w:after="283"/>
              <w:jc w:val="left"/>
              <w:rPr/>
            </w:pPr>
            <w:r>
              <w:rPr/>
              <w:t> </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Defined benefit obligation at 1 January</w:t>
            </w:r>
          </w:p>
        </w:tc>
        <w:tc>
          <w:tcPr>
            <w:tcW w:w="32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(5,666</w:t>
            </w:r>
          </w:p>
        </w:tc>
        <w:tc>
          <w:tcPr>
            <w:tcW w:w="304"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(5,231</w:t>
            </w:r>
          </w:p>
        </w:tc>
        <w:tc>
          <w:tcPr>
            <w:tcW w:w="159" w:type="dxa"/>
            <w:tcBorders/>
            <w:shd w:fill="CCEEFF" w:val="clear"/>
            <w:vAlign w:val="bottom"/>
          </w:tcPr>
          <w:p>
            <w:pPr>
              <w:pStyle w:val="TableContents"/>
              <w:bidi w:val="0"/>
              <w:spacing w:before="0" w:after="283"/>
              <w:jc w:val="left"/>
              <w:rPr/>
            </w:pPr>
            <w:r>
              <w:rPr/>
              <w:t>) </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32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(31</w:t>
            </w:r>
          </w:p>
        </w:tc>
        <w:tc>
          <w:tcPr>
            <w:tcW w:w="304"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(8</w:t>
            </w:r>
          </w:p>
        </w:tc>
        <w:tc>
          <w:tcPr>
            <w:tcW w:w="159" w:type="dxa"/>
            <w:tcBorders/>
            <w:vAlign w:val="bottom"/>
          </w:tcPr>
          <w:p>
            <w:pPr>
              <w:pStyle w:val="TableContents"/>
              <w:bidi w:val="0"/>
              <w:spacing w:before="0" w:after="283"/>
              <w:jc w:val="left"/>
              <w:rPr/>
            </w:pPr>
            <w:r>
              <w:rPr/>
              <w:t>) </w:t>
            </w:r>
          </w:p>
        </w:tc>
      </w:tr>
      <w:tr>
        <w:trPr/>
        <w:tc>
          <w:tcPr>
            <w:tcW w:w="36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service cost</w:t>
            </w:r>
          </w:p>
        </w:tc>
        <w:tc>
          <w:tcPr>
            <w:tcW w:w="321"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(446</w:t>
            </w:r>
          </w:p>
        </w:tc>
        <w:tc>
          <w:tcPr>
            <w:tcW w:w="304"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(296</w:t>
            </w:r>
          </w:p>
        </w:tc>
        <w:tc>
          <w:tcPr>
            <w:tcW w:w="159" w:type="dxa"/>
            <w:tcBorders/>
            <w:shd w:fill="CCEEFF" w:val="clear"/>
            <w:vAlign w:val="bottom"/>
          </w:tcPr>
          <w:p>
            <w:pPr>
              <w:pStyle w:val="TableContents"/>
              <w:bidi w:val="0"/>
              <w:spacing w:before="0" w:after="283"/>
              <w:jc w:val="left"/>
              <w:rPr/>
            </w:pPr>
            <w:r>
              <w:rPr/>
              <w:t>) </w:t>
            </w:r>
          </w:p>
        </w:tc>
      </w:tr>
      <w:tr>
        <w:trPr/>
        <w:tc>
          <w:tcPr>
            <w:tcW w:w="3677"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321"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(6</w:t>
            </w:r>
          </w:p>
        </w:tc>
        <w:tc>
          <w:tcPr>
            <w:tcW w:w="304"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3800" w:type="pct"/>
        <w:jc w:val="center"/>
        <w:tblInd w:w="0" w:type="dxa"/>
        <w:tblLayout w:type="fixed"/>
        <w:tblCellMar>
          <w:top w:w="0" w:type="dxa"/>
          <w:left w:w="0" w:type="dxa"/>
          <w:bottom w:w="0" w:type="dxa"/>
          <w:right w:w="0" w:type="dxa"/>
        </w:tblCellMar>
      </w:tblPr>
      <w:tblGrid>
        <w:gridCol w:w="3669"/>
        <w:gridCol w:w="326"/>
        <w:gridCol w:w="117"/>
        <w:gridCol w:w="1317"/>
        <w:gridCol w:w="304"/>
        <w:gridCol w:w="427"/>
        <w:gridCol w:w="117"/>
        <w:gridCol w:w="1320"/>
        <w:gridCol w:w="158"/>
      </w:tblGrid>
      <w:tr>
        <w:trPr/>
        <w:tc>
          <w:tcPr>
            <w:tcW w:w="366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6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36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w:t>
              <w:br/>
              <w:t>31,</w:t>
            </w:r>
          </w:p>
        </w:tc>
        <w:tc>
          <w:tcPr>
            <w:tcW w:w="158" w:type="dxa"/>
            <w:tcBorders/>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i/>
              </w:rPr>
            </w:pPr>
            <w:r>
              <w:rPr>
                <w:i/>
              </w:rPr>
              <w:t>in CHF thousands</w:t>
            </w:r>
          </w:p>
        </w:tc>
        <w:tc>
          <w:tcPr>
            <w:tcW w:w="326"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0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paid by participants</w:t>
            </w:r>
          </w:p>
        </w:tc>
        <w:tc>
          <w:tcPr>
            <w:tcW w:w="326"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(1,686</w:t>
            </w:r>
          </w:p>
        </w:tc>
        <w:tc>
          <w:tcPr>
            <w:tcW w:w="30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(1,702</w:t>
            </w:r>
          </w:p>
        </w:tc>
        <w:tc>
          <w:tcPr>
            <w:tcW w:w="158" w:type="dxa"/>
            <w:tcBorders/>
            <w:shd w:fill="CCEEFF" w:val="clear"/>
            <w:vAlign w:val="bottom"/>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Employees contributions</w:t>
            </w:r>
          </w:p>
        </w:tc>
        <w:tc>
          <w:tcPr>
            <w:tcW w:w="32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(185</w:t>
            </w:r>
          </w:p>
        </w:tc>
        <w:tc>
          <w:tcPr>
            <w:tcW w:w="30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(126</w:t>
            </w:r>
          </w:p>
        </w:tc>
        <w:tc>
          <w:tcPr>
            <w:tcW w:w="15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deposited</w:t>
            </w:r>
          </w:p>
        </w:tc>
        <w:tc>
          <w:tcPr>
            <w:tcW w:w="326"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770</w:t>
            </w:r>
          </w:p>
        </w:tc>
        <w:tc>
          <w:tcPr>
            <w:tcW w:w="30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1,479</w:t>
            </w:r>
          </w:p>
        </w:tc>
        <w:tc>
          <w:tcPr>
            <w:tcW w:w="158" w:type="dxa"/>
            <w:tcBorders/>
            <w:shd w:fill="CCEEFF" w:val="clear"/>
            <w:vAlign w:val="bottom"/>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sz w:val="20"/>
              </w:rPr>
            </w:pPr>
            <w:r>
              <w:rPr>
                <w:rFonts w:ascii="Times New Roman" w:hAnsi="Times New Roman"/>
                <w:sz w:val="20"/>
              </w:rPr>
              <w:t>Impact of plan changes</w:t>
            </w:r>
          </w:p>
        </w:tc>
        <w:tc>
          <w:tcPr>
            <w:tcW w:w="32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37</w:t>
            </w:r>
          </w:p>
        </w:tc>
        <w:tc>
          <w:tcPr>
            <w:tcW w:w="304"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151</w:t>
            </w:r>
          </w:p>
        </w:tc>
        <w:tc>
          <w:tcPr>
            <w:tcW w:w="158" w:type="dxa"/>
            <w:tcBorders/>
            <w:vAlign w:val="bottom"/>
          </w:tcPr>
          <w:p>
            <w:pPr>
              <w:pStyle w:val="TableContents"/>
              <w:bidi w:val="0"/>
              <w:spacing w:before="0" w:after="283"/>
              <w:jc w:val="left"/>
              <w:rPr/>
            </w:pPr>
            <w:r>
              <w:rPr/>
              <w:t> </w:t>
            </w:r>
          </w:p>
        </w:tc>
      </w:tr>
      <w:tr>
        <w:trPr/>
        <w:tc>
          <w:tcPr>
            <w:tcW w:w="36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gain on obligation</w:t>
            </w:r>
          </w:p>
        </w:tc>
        <w:tc>
          <w:tcPr>
            <w:tcW w:w="326"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718</w:t>
            </w:r>
          </w:p>
        </w:tc>
        <w:tc>
          <w:tcPr>
            <w:tcW w:w="304"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70</w:t>
            </w:r>
          </w:p>
        </w:tc>
        <w:tc>
          <w:tcPr>
            <w:tcW w:w="158" w:type="dxa"/>
            <w:tcBorders/>
            <w:shd w:fill="CCEEFF" w:val="clear"/>
            <w:vAlign w:val="bottom"/>
          </w:tcPr>
          <w:p>
            <w:pPr>
              <w:pStyle w:val="TableContents"/>
              <w:bidi w:val="0"/>
              <w:spacing w:before="0" w:after="283"/>
              <w:jc w:val="left"/>
              <w:rPr/>
            </w:pPr>
            <w:r>
              <w:rPr/>
              <w:t> </w:t>
            </w:r>
          </w:p>
        </w:tc>
      </w:tr>
      <w:tr>
        <w:trPr/>
        <w:tc>
          <w:tcPr>
            <w:tcW w:w="366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669" w:type="dxa"/>
            <w:tcBorders/>
          </w:tcPr>
          <w:p>
            <w:pPr>
              <w:pStyle w:val="TableContents"/>
              <w:bidi w:val="0"/>
              <w:spacing w:before="0" w:after="0"/>
              <w:jc w:val="left"/>
              <w:rPr>
                <w:rFonts w:ascii="Times New Roman" w:hAnsi="Times New Roman"/>
                <w:b/>
                <w:sz w:val="20"/>
              </w:rPr>
            </w:pPr>
            <w:r>
              <w:rPr>
                <w:rFonts w:ascii="Times New Roman" w:hAnsi="Times New Roman"/>
                <w:b/>
                <w:sz w:val="20"/>
              </w:rPr>
              <w:t>Defined benefit obligation at December 31,</w:t>
            </w:r>
          </w:p>
        </w:tc>
        <w:tc>
          <w:tcPr>
            <w:tcW w:w="326"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b/>
              </w:rPr>
            </w:pPr>
            <w:r>
              <w:rPr>
                <w:b/>
              </w:rPr>
              <w:t>(6,494</w:t>
            </w:r>
          </w:p>
        </w:tc>
        <w:tc>
          <w:tcPr>
            <w:tcW w:w="304" w:type="dxa"/>
            <w:tcBorders/>
            <w:vAlign w:val="bottom"/>
          </w:tcPr>
          <w:p>
            <w:pPr>
              <w:pStyle w:val="TableContents"/>
              <w:bidi w:val="0"/>
              <w:spacing w:before="0" w:after="283"/>
              <w:jc w:val="left"/>
              <w:rPr>
                <w:b/>
              </w:rPr>
            </w:pPr>
            <w:r>
              <w:rPr>
                <w:b/>
              </w:rPr>
              <w:t>) </w:t>
            </w:r>
          </w:p>
        </w:tc>
        <w:tc>
          <w:tcPr>
            <w:tcW w:w="427"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b/>
              </w:rPr>
            </w:pPr>
            <w:r>
              <w:rPr>
                <w:b/>
              </w:rPr>
              <w:t>(5,666</w:t>
            </w:r>
          </w:p>
        </w:tc>
        <w:tc>
          <w:tcPr>
            <w:tcW w:w="158" w:type="dxa"/>
            <w:tcBorders/>
            <w:vAlign w:val="bottom"/>
          </w:tcPr>
          <w:p>
            <w:pPr>
              <w:pStyle w:val="TableContents"/>
              <w:bidi w:val="0"/>
              <w:spacing w:before="0" w:after="283"/>
              <w:jc w:val="left"/>
              <w:rPr>
                <w:b/>
              </w:rPr>
            </w:pPr>
            <w:r>
              <w:rPr>
                <w:b/>
              </w:rPr>
              <w:t>) </w:t>
            </w:r>
          </w:p>
        </w:tc>
      </w:tr>
      <w:tr>
        <w:trPr/>
        <w:tc>
          <w:tcPr>
            <w:tcW w:w="366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304"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 of plan assets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3"/>
        <w:gridCol w:w="361"/>
        <w:gridCol w:w="123"/>
        <w:gridCol w:w="1205"/>
        <w:gridCol w:w="318"/>
        <w:gridCol w:w="473"/>
        <w:gridCol w:w="123"/>
        <w:gridCol w:w="1379"/>
        <w:gridCol w:w="160"/>
      </w:tblGrid>
      <w:tr>
        <w:trPr/>
        <w:tc>
          <w:tcPr>
            <w:tcW w:w="3613"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13"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6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w:t>
              <w:br/>
              <w:t>31,</w:t>
            </w:r>
          </w:p>
        </w:tc>
        <w:tc>
          <w:tcPr>
            <w:tcW w:w="160"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i/>
              </w:rPr>
            </w:pPr>
            <w:r>
              <w:rPr>
                <w:i/>
              </w:rPr>
              <w:t>in CHF thousands</w:t>
            </w:r>
          </w:p>
        </w:tc>
        <w:tc>
          <w:tcPr>
            <w:tcW w:w="361" w:type="dxa"/>
            <w:tcBorders/>
            <w:vAlign w:val="bottom"/>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18"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plan assets at 1 January</w:t>
            </w:r>
          </w:p>
        </w:tc>
        <w:tc>
          <w:tcPr>
            <w:tcW w:w="3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4,821</w:t>
            </w:r>
          </w:p>
        </w:tc>
        <w:tc>
          <w:tcPr>
            <w:tcW w:w="318"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4,159</w:t>
            </w:r>
          </w:p>
        </w:tc>
        <w:tc>
          <w:tcPr>
            <w:tcW w:w="160" w:type="dxa"/>
            <w:tcBorders/>
            <w:shd w:fill="CCEEFF" w:val="clear"/>
            <w:vAlign w:val="bottom"/>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sz w:val="20"/>
              </w:rPr>
            </w:pPr>
            <w:r>
              <w:rPr>
                <w:rFonts w:ascii="Times New Roman" w:hAnsi="Times New Roman"/>
                <w:sz w:val="20"/>
              </w:rPr>
              <w:t>Expected return</w:t>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26</w:t>
            </w:r>
          </w:p>
        </w:tc>
        <w:tc>
          <w:tcPr>
            <w:tcW w:w="318"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6</w:t>
            </w:r>
          </w:p>
        </w:tc>
        <w:tc>
          <w:tcPr>
            <w:tcW w:w="16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by employer</w:t>
            </w:r>
          </w:p>
        </w:tc>
        <w:tc>
          <w:tcPr>
            <w:tcW w:w="3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429</w:t>
            </w:r>
          </w:p>
        </w:tc>
        <w:tc>
          <w:tcPr>
            <w:tcW w:w="318"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289</w:t>
            </w:r>
          </w:p>
        </w:tc>
        <w:tc>
          <w:tcPr>
            <w:tcW w:w="160" w:type="dxa"/>
            <w:tcBorders/>
            <w:shd w:fill="CCEEFF" w:val="clear"/>
            <w:vAlign w:val="bottom"/>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by employees</w:t>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185</w:t>
            </w:r>
          </w:p>
        </w:tc>
        <w:tc>
          <w:tcPr>
            <w:tcW w:w="318"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126</w:t>
            </w:r>
          </w:p>
        </w:tc>
        <w:tc>
          <w:tcPr>
            <w:tcW w:w="16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Benefits paid from plan assets</w:t>
            </w:r>
          </w:p>
        </w:tc>
        <w:tc>
          <w:tcPr>
            <w:tcW w:w="3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(770</w:t>
            </w:r>
          </w:p>
        </w:tc>
        <w:tc>
          <w:tcPr>
            <w:tcW w:w="318"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(1,479</w:t>
            </w:r>
          </w:p>
        </w:tc>
        <w:tc>
          <w:tcPr>
            <w:tcW w:w="160" w:type="dxa"/>
            <w:tcBorders/>
            <w:shd w:fill="CCEEFF" w:val="clear"/>
            <w:vAlign w:val="bottom"/>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paid by participants</w:t>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1,686</w:t>
            </w:r>
          </w:p>
        </w:tc>
        <w:tc>
          <w:tcPr>
            <w:tcW w:w="318"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pPr>
            <w:r>
              <w:rPr/>
              <w:t>1,702</w:t>
            </w:r>
          </w:p>
        </w:tc>
        <w:tc>
          <w:tcPr>
            <w:tcW w:w="160" w:type="dxa"/>
            <w:tcBorders/>
            <w:vAlign w:val="bottom"/>
          </w:tcPr>
          <w:p>
            <w:pPr>
              <w:pStyle w:val="TableContents"/>
              <w:bidi w:val="0"/>
              <w:spacing w:before="0" w:after="283"/>
              <w:jc w:val="left"/>
              <w:rPr/>
            </w:pPr>
            <w:r>
              <w:rPr/>
              <w:t> </w:t>
            </w:r>
          </w:p>
        </w:tc>
      </w:tr>
      <w:tr>
        <w:trPr/>
        <w:tc>
          <w:tcPr>
            <w:tcW w:w="36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gains / (losses)</w:t>
            </w:r>
          </w:p>
        </w:tc>
        <w:tc>
          <w:tcPr>
            <w:tcW w:w="3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26</w:t>
            </w:r>
          </w:p>
        </w:tc>
        <w:tc>
          <w:tcPr>
            <w:tcW w:w="318"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379" w:type="dxa"/>
            <w:tcBorders/>
            <w:shd w:fill="CCEEFF" w:val="clear"/>
            <w:vAlign w:val="bottom"/>
          </w:tcPr>
          <w:p>
            <w:pPr>
              <w:pStyle w:val="TableContents"/>
              <w:bidi w:val="0"/>
              <w:spacing w:before="0" w:after="283"/>
              <w:jc w:val="right"/>
              <w:rPr/>
            </w:pPr>
            <w:r>
              <w:rPr/>
              <w:t>18</w:t>
            </w:r>
          </w:p>
        </w:tc>
        <w:tc>
          <w:tcPr>
            <w:tcW w:w="160" w:type="dxa"/>
            <w:tcBorders/>
            <w:shd w:fill="CCEEFF" w:val="clear"/>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318" w:type="dxa"/>
            <w:tcBorders/>
            <w:vAlign w:val="center"/>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single" w:sz="2" w:space="1" w:color="000000"/>
              </w:pBdr>
              <w:bidi w:val="0"/>
              <w:spacing w:before="0" w:after="0"/>
              <w:jc w:val="left"/>
              <w:rPr/>
            </w:pPr>
            <w:r>
              <w:rPr/>
              <w:t> </w:t>
            </w:r>
          </w:p>
        </w:tc>
        <w:tc>
          <w:tcPr>
            <w:tcW w:w="137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613" w:type="dxa"/>
            <w:tcBorders/>
          </w:tcPr>
          <w:p>
            <w:pPr>
              <w:pStyle w:val="TableContents"/>
              <w:bidi w:val="0"/>
              <w:spacing w:before="0" w:after="0"/>
              <w:jc w:val="left"/>
              <w:rPr>
                <w:rFonts w:ascii="Times New Roman" w:hAnsi="Times New Roman"/>
                <w:b/>
                <w:sz w:val="20"/>
              </w:rPr>
            </w:pPr>
            <w:r>
              <w:rPr>
                <w:rFonts w:ascii="Times New Roman" w:hAnsi="Times New Roman"/>
                <w:b/>
                <w:sz w:val="20"/>
              </w:rPr>
              <w:t>Fair value of plan assets at December 31,</w:t>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b/>
              </w:rPr>
            </w:pPr>
            <w:r>
              <w:rPr>
                <w:b/>
              </w:rPr>
              <w:t>6,403</w:t>
            </w:r>
          </w:p>
        </w:tc>
        <w:tc>
          <w:tcPr>
            <w:tcW w:w="318"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379" w:type="dxa"/>
            <w:tcBorders/>
            <w:vAlign w:val="bottom"/>
          </w:tcPr>
          <w:p>
            <w:pPr>
              <w:pStyle w:val="TableContents"/>
              <w:bidi w:val="0"/>
              <w:spacing w:before="0" w:after="283"/>
              <w:jc w:val="right"/>
              <w:rPr>
                <w:b/>
              </w:rPr>
            </w:pPr>
            <w:r>
              <w:rPr>
                <w:b/>
              </w:rPr>
              <w:t>4,821</w:t>
            </w:r>
          </w:p>
        </w:tc>
        <w:tc>
          <w:tcPr>
            <w:tcW w:w="160" w:type="dxa"/>
            <w:tcBorders/>
            <w:vAlign w:val="bottom"/>
          </w:tcPr>
          <w:p>
            <w:pPr>
              <w:pStyle w:val="TableContents"/>
              <w:bidi w:val="0"/>
              <w:spacing w:before="0" w:after="283"/>
              <w:jc w:val="left"/>
              <w:rPr/>
            </w:pPr>
            <w:r>
              <w:rPr/>
              <w:t> </w:t>
            </w:r>
          </w:p>
        </w:tc>
      </w:tr>
      <w:tr>
        <w:trPr/>
        <w:tc>
          <w:tcPr>
            <w:tcW w:w="3613"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318" w:type="dxa"/>
            <w:tcBorders/>
            <w:vAlign w:val="center"/>
          </w:tcPr>
          <w:p>
            <w:pPr>
              <w:pStyle w:val="TableContents"/>
              <w:bidi w:val="0"/>
              <w:spacing w:before="0" w:after="283"/>
              <w:jc w:val="left"/>
              <w:rPr/>
            </w:pPr>
            <w:r>
              <w:rPr/>
              <w:t> </w:t>
            </w:r>
          </w:p>
        </w:tc>
        <w:tc>
          <w:tcPr>
            <w:tcW w:w="473" w:type="dxa"/>
            <w:tcBorders/>
            <w:vAlign w:val="bottom"/>
          </w:tcPr>
          <w:p>
            <w:pPr>
              <w:pStyle w:val="TableContents"/>
              <w:bidi w:val="0"/>
              <w:spacing w:before="0" w:after="283"/>
              <w:jc w:val="left"/>
              <w:rPr/>
            </w:pPr>
            <w:r>
              <w:rPr/>
              <w:t>  </w:t>
            </w:r>
          </w:p>
        </w:tc>
        <w:tc>
          <w:tcPr>
            <w:tcW w:w="123" w:type="dxa"/>
            <w:tcBorders/>
            <w:vAlign w:val="bottom"/>
          </w:tcPr>
          <w:p>
            <w:pPr>
              <w:pStyle w:val="TableContents"/>
              <w:pBdr>
                <w:top w:val="double" w:sz="6" w:space="1" w:color="000000"/>
              </w:pBdr>
              <w:bidi w:val="0"/>
              <w:spacing w:before="0" w:after="0"/>
              <w:jc w:val="left"/>
              <w:rPr/>
            </w:pPr>
            <w:r>
              <w:rPr/>
              <w:t> </w:t>
            </w:r>
          </w:p>
        </w:tc>
        <w:tc>
          <w:tcPr>
            <w:tcW w:w="137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expects to contribute CHF 431 thousand to its defined benefit pension plan in 2023. The average duration of the plan was 14.0 years and 16.6 years as of December 31,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assumptions used in determining pension benefit obligations for the Groups plan are shown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85"/>
        <w:gridCol w:w="304"/>
        <w:gridCol w:w="60"/>
        <w:gridCol w:w="1585"/>
        <w:gridCol w:w="276"/>
        <w:gridCol w:w="218"/>
        <w:gridCol w:w="60"/>
        <w:gridCol w:w="1585"/>
        <w:gridCol w:w="282"/>
      </w:tblGrid>
      <w:tr>
        <w:trPr/>
        <w:tc>
          <w:tcPr>
            <w:tcW w:w="3385"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82"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82"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2.30</w:t>
            </w:r>
          </w:p>
        </w:tc>
        <w:tc>
          <w:tcPr>
            <w:tcW w:w="27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0.35</w:t>
            </w:r>
          </w:p>
        </w:tc>
        <w:tc>
          <w:tcPr>
            <w:tcW w:w="282"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Future salary increases</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1.00</w:t>
            </w:r>
          </w:p>
        </w:tc>
        <w:tc>
          <w:tcPr>
            <w:tcW w:w="282"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Future pensions increases</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0.00</w:t>
            </w:r>
          </w:p>
        </w:tc>
        <w:tc>
          <w:tcPr>
            <w:tcW w:w="282"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Retirement age</w:t>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M65/W64</w:t>
            </w:r>
          </w:p>
        </w:tc>
        <w:tc>
          <w:tcPr>
            <w:tcW w:w="27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M65/W64</w:t>
            </w:r>
          </w:p>
        </w:tc>
        <w:tc>
          <w:tcPr>
            <w:tcW w:w="282"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Demographic assumptions</w:t>
            </w:r>
          </w:p>
        </w:tc>
        <w:tc>
          <w:tcPr>
            <w:tcW w:w="3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BVG 2020 GT</w:t>
            </w:r>
          </w:p>
        </w:tc>
        <w:tc>
          <w:tcPr>
            <w:tcW w:w="276"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BVG 2020 GT</w:t>
            </w:r>
          </w:p>
        </w:tc>
        <w:tc>
          <w:tcPr>
            <w:tcW w:w="282" w:type="dxa"/>
            <w:tcBorders/>
            <w:shd w:fill="CCEEFF" w:val="clear"/>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regard to the underlying estimates for the calculation of the defined benefit pension liabilities the Company updated, among other minor updates, the discount rate assumption to 2.30% as of December 31, 2022, 0.35% as of December 31, 2021 and 0.15% as of December 31, 2020. The change of estimate was due to major changes in the Swiss interest environment driven by increasing inflation. All the actuarial assumptions changes resulted in an actuarial gain of defined benefit pension liabilities of CHF 719 thousand. The net result is a reduction of defined benefit pension liabilities of CHF 845 thousand as of December 31, 2021 to CHF 91 thousand as of December 31, 2022. Furthermore, the assumption for future salary increases has been adjusted to 1.20% (1.00% in 2021 and 2020). Other assumptions for defined benefit pension liabilities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In 2022, the guaranteed interest to be credited to employees savings was 1.0% (same as in 2021) for mandatory retirement savings, and 0.25% for supplementary retirement savings. Given current Swiss interest environment, the Company updated the estimated interest to be credited to employees savings up to 2.30%. The applicable rate for converting mandatory savings at age 65 for male and 64 for female employees retiring in 2022 was 6.50% and will be reduced to 6.20% for 2023 and 5.90% for 2024 and subsequent years. The rate for converting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supplementary savings to an annuity decreases from 4.71% in 2022, to 4.49% in 2023 and subsequent years for male employees and decreases from 4.76% in 2022 to 4.54% in 2023 and subsequent years for female employees.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Sensitivity analysis </w:t>
      </w:r>
    </w:p>
    <w:p>
      <w:pPr>
        <w:pStyle w:val="TextBody"/>
        <w:bidi w:val="0"/>
        <w:spacing w:before="120" w:after="0"/>
        <w:jc w:val="left"/>
        <w:rPr>
          <w:rFonts w:ascii="Times New Roman" w:hAnsi="Times New Roman"/>
          <w:sz w:val="20"/>
        </w:rPr>
      </w:pPr>
      <w:r>
        <w:rPr>
          <w:rFonts w:ascii="Times New Roman" w:hAnsi="Times New Roman"/>
          <w:sz w:val="20"/>
        </w:rPr>
        <w:t xml:space="preserve">A quantitative sensitivity analysis for significant assumptions as of December 31, 2022 and 2021 is shown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75"/>
        <w:gridCol w:w="180"/>
        <w:gridCol w:w="60"/>
        <w:gridCol w:w="674"/>
        <w:gridCol w:w="321"/>
        <w:gridCol w:w="126"/>
        <w:gridCol w:w="60"/>
        <w:gridCol w:w="674"/>
        <w:gridCol w:w="321"/>
        <w:gridCol w:w="126"/>
        <w:gridCol w:w="60"/>
        <w:gridCol w:w="674"/>
        <w:gridCol w:w="321"/>
        <w:gridCol w:w="126"/>
        <w:gridCol w:w="60"/>
        <w:gridCol w:w="674"/>
        <w:gridCol w:w="321"/>
        <w:gridCol w:w="125"/>
        <w:gridCol w:w="60"/>
        <w:gridCol w:w="807"/>
        <w:gridCol w:w="155"/>
        <w:gridCol w:w="126"/>
        <w:gridCol w:w="60"/>
        <w:gridCol w:w="754"/>
        <w:gridCol w:w="165"/>
      </w:tblGrid>
      <w:tr>
        <w:trPr/>
        <w:tc>
          <w:tcPr>
            <w:tcW w:w="317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175" w:type="dxa"/>
            <w:tcBorders/>
            <w:vAlign w:val="bottom"/>
          </w:tcPr>
          <w:p>
            <w:pPr>
              <w:pStyle w:val="TableContents"/>
              <w:bidi w:val="0"/>
              <w:spacing w:before="0" w:after="283"/>
              <w:jc w:val="left"/>
              <w:rPr>
                <w:i/>
              </w:rPr>
            </w:pPr>
            <w:r>
              <w:rPr>
                <w:i/>
              </w:rPr>
              <w:t>in CHF thousands</w:t>
            </w:r>
          </w:p>
        </w:tc>
        <w:tc>
          <w:tcPr>
            <w:tcW w:w="180"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Discount rate</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Future salary</w:t>
              <w:br/>
              <w:t>increase</w:t>
            </w:r>
          </w:p>
        </w:tc>
        <w:tc>
          <w:tcPr>
            <w:tcW w:w="3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Mortality</w:t>
              <w:br/>
              <w:t>assumptions</w:t>
            </w:r>
          </w:p>
        </w:tc>
        <w:tc>
          <w:tcPr>
            <w:tcW w:w="165" w:type="dxa"/>
            <w:tcBorders/>
            <w:vAlign w:val="bottom"/>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Assumptions as of December 31, 2022</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b/>
              </w:rPr>
            </w:pPr>
            <w:r>
              <w:rPr>
                <w:b/>
              </w:rPr>
              <w:t>+0.25</w:t>
            </w:r>
          </w:p>
        </w:tc>
        <w:tc>
          <w:tcPr>
            <w:tcW w:w="321"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b/>
              </w:rPr>
            </w:pPr>
            <w:r>
              <w:rPr>
                <w:b/>
              </w:rPr>
              <w:t>-0.25</w:t>
            </w:r>
          </w:p>
        </w:tc>
        <w:tc>
          <w:tcPr>
            <w:tcW w:w="321"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b/>
              </w:rPr>
            </w:pPr>
            <w:r>
              <w:rPr>
                <w:b/>
              </w:rPr>
              <w:t>+0.50</w:t>
            </w:r>
          </w:p>
        </w:tc>
        <w:tc>
          <w:tcPr>
            <w:tcW w:w="321" w:type="dxa"/>
            <w:tcBorders/>
            <w:shd w:fill="CCEEFF" w:val="clear"/>
            <w:vAlign w:val="bottom"/>
          </w:tcPr>
          <w:p>
            <w:pPr>
              <w:pStyle w:val="TableContents"/>
              <w:bidi w:val="0"/>
              <w:spacing w:before="0" w:after="283"/>
              <w:jc w:val="left"/>
              <w:rPr>
                <w:b/>
              </w:rPr>
            </w:pPr>
            <w:r>
              <w:rPr>
                <w:b/>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b/>
              </w:rPr>
            </w:pPr>
            <w:r>
              <w:rPr>
                <w:b/>
              </w:rPr>
              <w:t>-0.50</w:t>
            </w:r>
          </w:p>
        </w:tc>
        <w:tc>
          <w:tcPr>
            <w:tcW w:w="321" w:type="dxa"/>
            <w:tcBorders/>
            <w:shd w:fill="CCEEFF" w:val="clear"/>
            <w:vAlign w:val="bottom"/>
          </w:tcPr>
          <w:p>
            <w:pPr>
              <w:pStyle w:val="TableContents"/>
              <w:bidi w:val="0"/>
              <w:spacing w:before="0" w:after="283"/>
              <w:jc w:val="left"/>
              <w:rPr>
                <w:b/>
              </w:rPr>
            </w:pPr>
            <w:r>
              <w:rPr>
                <w:b/>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b/>
              </w:rPr>
            </w:pPr>
            <w:r>
              <w:rPr>
                <w:b/>
              </w:rPr>
              <w:t>+1 year</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 year</w:t>
            </w:r>
          </w:p>
        </w:tc>
        <w:tc>
          <w:tcPr>
            <w:tcW w:w="165" w:type="dxa"/>
            <w:tcBorders/>
            <w:shd w:fill="CCEEFF" w:val="clear"/>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Potential defined benefit obligation</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(6,274</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(6,741</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(6,527</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(6,462</w:t>
            </w:r>
          </w:p>
        </w:tc>
        <w:tc>
          <w:tcPr>
            <w:tcW w:w="3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(6,553</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(6,429</w:t>
            </w:r>
          </w:p>
        </w:tc>
        <w:tc>
          <w:tcPr>
            <w:tcW w:w="165"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Decrease / (increase) from actual defined benefit obligation</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221</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(247</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(32</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32</w:t>
            </w:r>
          </w:p>
        </w:tc>
        <w:tc>
          <w:tcPr>
            <w:tcW w:w="3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65</w:t>
            </w:r>
          </w:p>
        </w:tc>
        <w:tc>
          <w:tcPr>
            <w:tcW w:w="165" w:type="dxa"/>
            <w:tcBorders/>
            <w:shd w:fill="CCEEFF" w:val="clear"/>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b/>
                <w:sz w:val="20"/>
              </w:rPr>
            </w:pPr>
            <w:r>
              <w:rPr>
                <w:rFonts w:ascii="Times New Roman" w:hAnsi="Times New Roman"/>
                <w:b/>
                <w:sz w:val="20"/>
              </w:rPr>
              <w:t>Assumptions as of December 31, 2021</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b/>
              </w:rPr>
            </w:pPr>
            <w:r>
              <w:rPr>
                <w:b/>
              </w:rPr>
              <w:t>+0.25</w:t>
            </w:r>
          </w:p>
        </w:tc>
        <w:tc>
          <w:tcPr>
            <w:tcW w:w="321"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b/>
              </w:rPr>
            </w:pPr>
            <w:r>
              <w:rPr>
                <w:b/>
              </w:rPr>
              <w:t>-0.25</w:t>
            </w:r>
          </w:p>
        </w:tc>
        <w:tc>
          <w:tcPr>
            <w:tcW w:w="321"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b/>
              </w:rPr>
            </w:pPr>
            <w:r>
              <w:rPr>
                <w:b/>
              </w:rPr>
              <w:t>+0.50</w:t>
            </w:r>
          </w:p>
        </w:tc>
        <w:tc>
          <w:tcPr>
            <w:tcW w:w="321" w:type="dxa"/>
            <w:tcBorders/>
            <w:vAlign w:val="bottom"/>
          </w:tcPr>
          <w:p>
            <w:pPr>
              <w:pStyle w:val="TableContents"/>
              <w:bidi w:val="0"/>
              <w:spacing w:before="0" w:after="283"/>
              <w:jc w:val="left"/>
              <w:rPr>
                <w:b/>
              </w:rPr>
            </w:pPr>
            <w:r>
              <w:rPr>
                <w:b/>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b/>
              </w:rPr>
            </w:pPr>
            <w:r>
              <w:rPr>
                <w:b/>
              </w:rPr>
              <w:t>-0.50</w:t>
            </w:r>
          </w:p>
        </w:tc>
        <w:tc>
          <w:tcPr>
            <w:tcW w:w="321" w:type="dxa"/>
            <w:tcBorders/>
            <w:vAlign w:val="bottom"/>
          </w:tcPr>
          <w:p>
            <w:pPr>
              <w:pStyle w:val="TableContents"/>
              <w:bidi w:val="0"/>
              <w:spacing w:before="0" w:after="283"/>
              <w:jc w:val="left"/>
              <w:rPr>
                <w:b/>
              </w:rPr>
            </w:pPr>
            <w:r>
              <w:rPr>
                <w:b/>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b/>
              </w:rPr>
            </w:pPr>
            <w:r>
              <w:rPr>
                <w:b/>
              </w:rPr>
              <w:t>+1 year</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-1 year</w:t>
            </w:r>
          </w:p>
        </w:tc>
        <w:tc>
          <w:tcPr>
            <w:tcW w:w="165"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Potential defined benefit obligation</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(5,442</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(5,922</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(5,681</w:t>
            </w:r>
          </w:p>
        </w:tc>
        <w:tc>
          <w:tcPr>
            <w:tcW w:w="321"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(5,652</w:t>
            </w:r>
          </w:p>
        </w:tc>
        <w:tc>
          <w:tcPr>
            <w:tcW w:w="3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(5,750</w:t>
            </w:r>
          </w:p>
        </w:tc>
        <w:tc>
          <w:tcPr>
            <w:tcW w:w="15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(5,614</w:t>
            </w:r>
          </w:p>
        </w:tc>
        <w:tc>
          <w:tcPr>
            <w:tcW w:w="165" w:type="dxa"/>
            <w:tcBorders/>
            <w:shd w:fill="CCEEFF" w:val="clear"/>
            <w:vAlign w:val="bottom"/>
          </w:tcPr>
          <w:p>
            <w:pPr>
              <w:pStyle w:val="TableContents"/>
              <w:bidi w:val="0"/>
              <w:spacing w:before="0" w:after="283"/>
              <w:jc w:val="left"/>
              <w:rPr/>
            </w:pPr>
            <w:r>
              <w:rPr/>
              <w:t>) </w:t>
            </w:r>
          </w:p>
        </w:tc>
      </w:tr>
      <w:tr>
        <w:trPr/>
        <w:tc>
          <w:tcPr>
            <w:tcW w:w="3175" w:type="dxa"/>
            <w:tcBorders/>
          </w:tcPr>
          <w:p>
            <w:pPr>
              <w:pStyle w:val="TableContents"/>
              <w:bidi w:val="0"/>
              <w:spacing w:before="0" w:after="0"/>
              <w:jc w:val="left"/>
              <w:rPr>
                <w:rFonts w:ascii="Times New Roman" w:hAnsi="Times New Roman"/>
                <w:sz w:val="20"/>
              </w:rPr>
            </w:pPr>
            <w:r>
              <w:rPr>
                <w:rFonts w:ascii="Times New Roman" w:hAnsi="Times New Roman"/>
                <w:sz w:val="20"/>
              </w:rPr>
              <w:t>Decrease / (increase) from actual defined benefit obligation</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224</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(256</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(15</w:t>
            </w:r>
          </w:p>
        </w:tc>
        <w:tc>
          <w:tcPr>
            <w:tcW w:w="321"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14</w:t>
            </w:r>
          </w:p>
        </w:tc>
        <w:tc>
          <w:tcPr>
            <w:tcW w:w="3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52</w:t>
            </w:r>
          </w:p>
        </w:tc>
        <w:tc>
          <w:tcPr>
            <w:tcW w:w="165" w:type="dxa"/>
            <w:tcBorders/>
            <w:vAlign w:val="bottom"/>
          </w:tcPr>
          <w:p>
            <w:pPr>
              <w:pStyle w:val="TableContents"/>
              <w:bidi w:val="0"/>
              <w:spacing w:before="0" w:after="283"/>
              <w:jc w:val="left"/>
              <w:rPr/>
            </w:pPr>
            <w:r>
              <w:rPr/>
              <w:t> </w:t>
            </w:r>
          </w:p>
        </w:tc>
      </w:tr>
      <w:tr>
        <w:trPr/>
        <w:tc>
          <w:tcPr>
            <w:tcW w:w="317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3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sensitivity analysis above is subject to limitations and has been determined based on a method that extrapolates the impact on net defined benefit obligation as a result of reasonable changes in key assumptions occurring at the end of the reporting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BASED PAYMENT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19, 2018, the Board of Directors approved a revised stock option and incentive plan (the Plan). The Plan allows for the grant of equity incentives, including share-based options and restricted stock. </w:t>
      </w:r>
    </w:p>
    <w:p>
      <w:pPr>
        <w:pStyle w:val="TextBody"/>
        <w:bidi w:val="0"/>
        <w:spacing w:before="360" w:after="0"/>
        <w:jc w:val="left"/>
        <w:rPr>
          <w:rFonts w:ascii="Times New Roman" w:hAnsi="Times New Roman"/>
          <w:i/>
          <w:sz w:val="20"/>
        </w:rPr>
      </w:pPr>
      <w:r>
        <w:rPr>
          <w:rFonts w:ascii="Times New Roman" w:hAnsi="Times New Roman"/>
          <w:i/>
          <w:sz w:val="20"/>
        </w:rPr>
        <w:t xml:space="preserve">Share-based option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share-based option granted under the Plan entitles the grantee to acquire from the Company common shares with payment in cash of the exercise price. For each grant of share-based options, the Company offers options, with the issuance of a grant notice, which details the terms of the option, including exercise price, vesting conditions and expiration date. The terms of each grant are set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volatility used in the estimation of fair value is calculated utilizing the volatility of the share prices of a set list of publicly traded peer companies based on commensurate expected terms as of the grant date. In the event that a company used in the volatility calculation has not been publicly traded for the requisite amount of time, the entirety of its trading history was used. </w:t>
      </w:r>
    </w:p>
    <w:p>
      <w:pPr>
        <w:pStyle w:val="TextBody"/>
        <w:bidi w:val="0"/>
        <w:spacing w:before="240" w:after="0"/>
        <w:jc w:val="left"/>
        <w:rPr>
          <w:rFonts w:ascii="Times New Roman" w:hAnsi="Times New Roman"/>
          <w:sz w:val="20"/>
        </w:rPr>
      </w:pPr>
      <w:r>
        <w:rPr>
          <w:rFonts w:ascii="Times New Roman" w:hAnsi="Times New Roman"/>
          <w:sz w:val="20"/>
        </w:rPr>
        <w:t xml:space="preserve">Under the Plan, share-based option awards of 550,468 in 2022, 298,972 in 2021 and 406,141 in 2020 shares were granted. All shares granted in 2022, 2021 and 2020 had a four-year vesting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total expense recognized in the income statement for share options granted amounts to CHF 804 thousand for 2022 and CHF 328 thousand for 2021 and 2020. The reserve for share option increased from CHF 1,640 thousand as of December 31, 2020 to CHF 1,967 thousand as of December 31, 2021 and to CHF 2,771 thousand as of December 31, 2022. The following table illustrates the weighted-average assumptions for the Black-Scholes option-pricing model used in determining the fair value of these awards: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25"/>
        <w:gridCol w:w="266"/>
        <w:gridCol w:w="60"/>
        <w:gridCol w:w="1023"/>
        <w:gridCol w:w="275"/>
        <w:gridCol w:w="180"/>
        <w:gridCol w:w="60"/>
        <w:gridCol w:w="1023"/>
        <w:gridCol w:w="275"/>
        <w:gridCol w:w="180"/>
        <w:gridCol w:w="60"/>
        <w:gridCol w:w="1780"/>
        <w:gridCol w:w="65"/>
      </w:tblGrid>
      <w:tr>
        <w:trPr/>
        <w:tc>
          <w:tcPr>
            <w:tcW w:w="3325"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2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491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31 December,</w:t>
            </w:r>
          </w:p>
        </w:tc>
        <w:tc>
          <w:tcPr>
            <w:tcW w:w="65"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CHF 3.41</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CHF 2.70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CHF 2.11 to 2.47</w:t>
            </w:r>
          </w:p>
        </w:tc>
        <w:tc>
          <w:tcPr>
            <w:tcW w:w="65"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Share price (option-pricing model)</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CHF 3.41</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CHF 2.70</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CHF 1.92 to 2.47</w:t>
            </w:r>
          </w:p>
        </w:tc>
        <w:tc>
          <w:tcPr>
            <w:tcW w:w="65"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 free interest rate</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0.74</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0.00</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(0.94%) to 0.00%</w:t>
            </w:r>
          </w:p>
        </w:tc>
        <w:tc>
          <w:tcPr>
            <w:tcW w:w="65"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2.5 years</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2.5 years</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2.5 to 5.5 years</w:t>
            </w:r>
          </w:p>
        </w:tc>
        <w:tc>
          <w:tcPr>
            <w:tcW w:w="65" w:type="dxa"/>
            <w:tcBorders/>
            <w:vAlign w:val="bottom"/>
          </w:tcPr>
          <w:p>
            <w:pPr>
              <w:pStyle w:val="TableContents"/>
              <w:bidi w:val="0"/>
              <w:spacing w:before="0" w:after="283"/>
              <w:jc w:val="left"/>
              <w:rPr/>
            </w:pPr>
            <w:r>
              <w:rPr/>
              <w:t> </w:t>
            </w:r>
          </w:p>
        </w:tc>
      </w:tr>
      <w:tr>
        <w:trPr/>
        <w:tc>
          <w:tcPr>
            <w:tcW w:w="3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96.3</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82.1</w:t>
            </w:r>
          </w:p>
        </w:tc>
        <w:tc>
          <w:tcPr>
            <w:tcW w:w="27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0" w:type="dxa"/>
            <w:tcBorders/>
            <w:shd w:fill="CCEEFF" w:val="clear"/>
            <w:vAlign w:val="bottom"/>
          </w:tcPr>
          <w:p>
            <w:pPr>
              <w:pStyle w:val="TableContents"/>
              <w:bidi w:val="0"/>
              <w:spacing w:before="0" w:after="283"/>
              <w:jc w:val="right"/>
              <w:rPr/>
            </w:pPr>
            <w:r>
              <w:rPr/>
              <w:t>90.8-101%</w:t>
            </w:r>
          </w:p>
        </w:tc>
        <w:tc>
          <w:tcPr>
            <w:tcW w:w="65" w:type="dxa"/>
            <w:tcBorders/>
            <w:shd w:fill="CCEEFF" w:val="clear"/>
            <w:vAlign w:val="bottom"/>
          </w:tcPr>
          <w:p>
            <w:pPr>
              <w:pStyle w:val="TableContents"/>
              <w:bidi w:val="0"/>
              <w:spacing w:before="0" w:after="283"/>
              <w:jc w:val="left"/>
              <w:rPr/>
            </w:pPr>
            <w:r>
              <w:rPr/>
              <w:t> </w:t>
            </w:r>
          </w:p>
        </w:tc>
      </w:tr>
      <w:tr>
        <w:trPr/>
        <w:tc>
          <w:tcPr>
            <w:tcW w:w="3325" w:type="dxa"/>
            <w:tcBorders/>
          </w:tcPr>
          <w:p>
            <w:pPr>
              <w:pStyle w:val="TableContents"/>
              <w:bidi w:val="0"/>
              <w:spacing w:before="0" w:after="0"/>
              <w:jc w:val="left"/>
              <w:rPr>
                <w:rFonts w:ascii="Times New Roman" w:hAnsi="Times New Roman"/>
                <w:sz w:val="20"/>
              </w:rPr>
            </w:pPr>
            <w:r>
              <w:rPr>
                <w:rFonts w:ascii="Times New Roman" w:hAnsi="Times New Roman"/>
                <w:sz w:val="20"/>
              </w:rPr>
              <w:t>Divdend yield</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325"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2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and weighted average exercise prices of share-based options under the Plan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443"/>
        <w:gridCol w:w="218"/>
        <w:gridCol w:w="114"/>
        <w:gridCol w:w="1877"/>
        <w:gridCol w:w="155"/>
        <w:gridCol w:w="218"/>
        <w:gridCol w:w="252"/>
        <w:gridCol w:w="1859"/>
        <w:gridCol w:w="60"/>
        <w:gridCol w:w="218"/>
        <w:gridCol w:w="112"/>
        <w:gridCol w:w="1980"/>
        <w:gridCol w:w="66"/>
      </w:tblGrid>
      <w:tr>
        <w:trPr/>
        <w:tc>
          <w:tcPr>
            <w:tcW w:w="144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44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Options</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 (CHF)</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Range of Expiration</w:t>
              <w:br/>
              <w:t>Dates</w:t>
            </w:r>
          </w:p>
        </w:tc>
        <w:tc>
          <w:tcPr>
            <w:tcW w:w="66" w:type="dxa"/>
            <w:tcBorders/>
            <w:vAlign w:val="bottom"/>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2020</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608,059</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2026-2028</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(37,981</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2.18</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2027</w:t>
            </w:r>
          </w:p>
        </w:tc>
        <w:tc>
          <w:tcPr>
            <w:tcW w:w="66" w:type="dxa"/>
            <w:tcBorders/>
            <w:vAlign w:val="bottom"/>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406,141</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2027-2029</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2020</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b/>
              </w:rPr>
            </w:pPr>
            <w:r>
              <w:rPr>
                <w:b/>
              </w:rPr>
              <w:t>976,220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b/>
              </w:rPr>
            </w:pPr>
            <w:r>
              <w:rPr>
                <w:b/>
              </w:rPr>
              <w:t>2.24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b/>
              </w:rPr>
            </w:pPr>
            <w:r>
              <w:rPr>
                <w:b/>
              </w:rPr>
              <w:t>2026-2029</w:t>
            </w:r>
          </w:p>
        </w:tc>
        <w:tc>
          <w:tcPr>
            <w:tcW w:w="66" w:type="dxa"/>
            <w:tcBorders/>
            <w:vAlign w:val="bottom"/>
          </w:tcPr>
          <w:p>
            <w:pPr>
              <w:pStyle w:val="TableContents"/>
              <w:bidi w:val="0"/>
              <w:spacing w:before="0" w:after="283"/>
              <w:jc w:val="left"/>
              <w:rPr/>
            </w:pPr>
            <w:r>
              <w:rPr/>
              <w:t> </w:t>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at December 31, 2020</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443,781</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2.12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2026-2029</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at January 1, 2021</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976,220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2.24</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2026-2029</w:t>
            </w:r>
          </w:p>
        </w:tc>
        <w:tc>
          <w:tcPr>
            <w:tcW w:w="66" w:type="dxa"/>
            <w:tcBorders/>
            <w:vAlign w:val="bottom"/>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(147,607</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2.39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2027-2028</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298,972</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2.70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2030</w:t>
            </w:r>
          </w:p>
        </w:tc>
        <w:tc>
          <w:tcPr>
            <w:tcW w:w="66" w:type="dxa"/>
            <w:tcBorders/>
            <w:vAlign w:val="bottom"/>
          </w:tcPr>
          <w:p>
            <w:pPr>
              <w:pStyle w:val="TableContents"/>
              <w:bidi w:val="0"/>
              <w:spacing w:before="0" w:after="283"/>
              <w:jc w:val="left"/>
              <w:rPr/>
            </w:pPr>
            <w:r>
              <w:rPr/>
              <w:t> </w:t>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2021</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b/>
              </w:rPr>
            </w:pPr>
            <w:r>
              <w:rPr>
                <w:b/>
              </w:rPr>
              <w:t>1,127,585</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b/>
              </w:rPr>
            </w:pPr>
            <w:r>
              <w:rPr>
                <w:b/>
              </w:rPr>
              <w:t>2.34</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b/>
              </w:rPr>
            </w:pPr>
            <w:r>
              <w:rPr>
                <w:b/>
              </w:rPr>
              <w:t>2026-2030</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2021</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664,192</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2.17</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2026-2030</w:t>
            </w:r>
          </w:p>
        </w:tc>
        <w:tc>
          <w:tcPr>
            <w:tcW w:w="66" w:type="dxa"/>
            <w:tcBorders/>
            <w:vAlign w:val="bottom"/>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1, 2022</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1,127,585</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2.34</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2026-2030</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Forfeited during the year</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(82,445</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2.69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2023-2030</w:t>
            </w:r>
          </w:p>
        </w:tc>
        <w:tc>
          <w:tcPr>
            <w:tcW w:w="66" w:type="dxa"/>
            <w:tcBorders/>
            <w:vAlign w:val="bottom"/>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 during the year</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pPr>
            <w:r>
              <w:rPr/>
              <w:t>550,468</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pPr>
            <w:r>
              <w:rPr/>
              <w:t>3.41</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2031</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Exercised during the year</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(53,500</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2.11</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198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8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8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Outstanding at December 31, 2022</w:t>
            </w:r>
          </w:p>
        </w:tc>
        <w:tc>
          <w:tcPr>
            <w:tcW w:w="218"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77" w:type="dxa"/>
            <w:tcBorders/>
            <w:shd w:fill="CCEEFF" w:val="clear"/>
            <w:vAlign w:val="bottom"/>
          </w:tcPr>
          <w:p>
            <w:pPr>
              <w:pStyle w:val="TableContents"/>
              <w:bidi w:val="0"/>
              <w:spacing w:before="0" w:after="283"/>
              <w:jc w:val="right"/>
              <w:rPr>
                <w:b/>
              </w:rPr>
            </w:pPr>
            <w:r>
              <w:rPr>
                <w:b/>
              </w:rPr>
              <w:t>1,542,108</w:t>
            </w:r>
          </w:p>
        </w:tc>
        <w:tc>
          <w:tcPr>
            <w:tcW w:w="155"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59" w:type="dxa"/>
            <w:tcBorders/>
            <w:shd w:fill="CCEEFF" w:val="clear"/>
            <w:vAlign w:val="bottom"/>
          </w:tcPr>
          <w:p>
            <w:pPr>
              <w:pStyle w:val="TableContents"/>
              <w:bidi w:val="0"/>
              <w:spacing w:before="0" w:after="283"/>
              <w:jc w:val="right"/>
              <w:rPr>
                <w:b/>
              </w:rPr>
            </w:pPr>
            <w:r>
              <w:rPr>
                <w:b/>
              </w:rPr>
              <w:t>2.73</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b/>
              </w:rPr>
            </w:pPr>
            <w:r>
              <w:rPr>
                <w:b/>
              </w:rPr>
              <w:t>2027-2031</w:t>
            </w:r>
          </w:p>
        </w:tc>
        <w:tc>
          <w:tcPr>
            <w:tcW w:w="66" w:type="dxa"/>
            <w:tcBorders/>
            <w:shd w:fill="CCEEFF" w:val="clear"/>
            <w:vAlign w:val="bottom"/>
          </w:tcPr>
          <w:p>
            <w:pPr>
              <w:pStyle w:val="TableContents"/>
              <w:bidi w:val="0"/>
              <w:spacing w:before="0" w:after="283"/>
              <w:jc w:val="left"/>
              <w:rPr/>
            </w:pPr>
            <w:r>
              <w:rPr/>
              <w:t> </w:t>
            </w:r>
          </w:p>
        </w:tc>
      </w:tr>
      <w:tr>
        <w:trPr/>
        <w:tc>
          <w:tcPr>
            <w:tcW w:w="144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18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8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9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1443"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at December 31, 2022</w:t>
            </w:r>
          </w:p>
        </w:tc>
        <w:tc>
          <w:tcPr>
            <w:tcW w:w="218"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877" w:type="dxa"/>
            <w:tcBorders/>
            <w:vAlign w:val="bottom"/>
          </w:tcPr>
          <w:p>
            <w:pPr>
              <w:pStyle w:val="TableContents"/>
              <w:bidi w:val="0"/>
              <w:spacing w:before="0" w:after="283"/>
              <w:jc w:val="right"/>
              <w:rPr/>
            </w:pPr>
            <w:r>
              <w:rPr/>
              <w:t>716,919</w:t>
            </w:r>
          </w:p>
        </w:tc>
        <w:tc>
          <w:tcPr>
            <w:tcW w:w="155"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right"/>
              <w:rPr/>
            </w:pPr>
            <w:r>
              <w:rPr/>
              <w:t>2.25</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2027-2031</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average fair value at grant date of the awards granted during the year ended December 31, 2022 was CHF 3.41 per award, CHF 2.70 during the year ended December 31, 2021 and CHF 2.40 during the year ended December 31, 2020.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range of exercise prices of the outstanding awards at December 31, 2022 was CHF 2.11 to CHF 3.41, CHF 2.11 to CHF 2.70 at December 31, 2021 and CHF 2.11 to CHF 2.47 at December 31, 2020.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Each restricted stock granted under the Plan is immediately exercised and the expense is recorded at grant in full. The Company is holding a call option to repurchase shares diminishing rateably on a monthly basis over three years from grant. For each grant of restricted stock, the Company issues a grant notice, which details the terms of the grant, including the number of awards, exercise price and expiration date. The terms of each grant are set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number and weighted average exercise prices of restricted stock under the Plan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89"/>
        <w:gridCol w:w="475"/>
        <w:gridCol w:w="102"/>
        <w:gridCol w:w="1676"/>
        <w:gridCol w:w="60"/>
        <w:gridCol w:w="475"/>
        <w:gridCol w:w="230"/>
        <w:gridCol w:w="1683"/>
        <w:gridCol w:w="65"/>
      </w:tblGrid>
      <w:tr>
        <w:trPr/>
        <w:tc>
          <w:tcPr>
            <w:tcW w:w="2989"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89"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7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Restricted Stocks</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1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br/>
              <w:t>(CHF)</w:t>
            </w:r>
          </w:p>
        </w:tc>
        <w:tc>
          <w:tcPr>
            <w:tcW w:w="65" w:type="dxa"/>
            <w:tcBorders/>
            <w:vAlign w:val="bottom"/>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exercised at January 1, 2020</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571,783</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1.79</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Granted and exercised during the year</w:t>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80,327</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pPr>
            <w:r>
              <w:rPr/>
              <w:t>1.95</w:t>
            </w:r>
          </w:p>
        </w:tc>
        <w:tc>
          <w:tcPr>
            <w:tcW w:w="65" w:type="dxa"/>
            <w:tcBorders/>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6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Issued and exercised at December 31, 2020</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b/>
              </w:rPr>
            </w:pPr>
            <w:r>
              <w:rPr>
                <w:b/>
              </w:rPr>
              <w:t>652,110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b/>
              </w:rPr>
            </w:pPr>
            <w:r>
              <w:rPr>
                <w:b/>
              </w:rPr>
              <w:t>1.81</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6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Not subject to repurchase at December 31,2020</w:t>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472,502</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pPr>
            <w:r>
              <w:rPr/>
              <w:t>1.80</w:t>
            </w:r>
          </w:p>
        </w:tc>
        <w:tc>
          <w:tcPr>
            <w:tcW w:w="65" w:type="dxa"/>
            <w:tcBorders/>
            <w:vAlign w:val="bottom"/>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exercised at January 1, 2021</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652,110</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1.81</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Granted and exercised during the year</w:t>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386,116</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pPr>
            <w:r>
              <w:rPr/>
              <w:t>2.27</w:t>
            </w:r>
          </w:p>
        </w:tc>
        <w:tc>
          <w:tcPr>
            <w:tcW w:w="65" w:type="dxa"/>
            <w:tcBorders/>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6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Issued and exercised at December 31, 2021</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b/>
              </w:rPr>
            </w:pPr>
            <w:r>
              <w:rPr>
                <w:b/>
              </w:rPr>
              <w:t>1,038,226</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b/>
              </w:rPr>
            </w:pPr>
            <w:r>
              <w:rPr>
                <w:b/>
              </w:rPr>
              <w:t>1.98</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6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sz w:val="20"/>
              </w:rPr>
            </w:pPr>
            <w:r>
              <w:rPr>
                <w:rFonts w:ascii="Times New Roman" w:hAnsi="Times New Roman"/>
                <w:sz w:val="20"/>
              </w:rPr>
              <w:t>Not subject to repurchase at December 31, 2021</w:t>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pPr>
            <w:r>
              <w:rPr/>
              <w:t>621,343</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pPr>
            <w:r>
              <w:rPr/>
              <w:t>1.82</w:t>
            </w:r>
          </w:p>
        </w:tc>
        <w:tc>
          <w:tcPr>
            <w:tcW w:w="65" w:type="dxa"/>
            <w:tcBorders/>
            <w:vAlign w:val="bottom"/>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 and exercised at January 1, 2022</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1,038,226</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1.98</w:t>
            </w:r>
          </w:p>
        </w:tc>
        <w:tc>
          <w:tcPr>
            <w:tcW w:w="65" w:type="dxa"/>
            <w:tcBorders/>
            <w:shd w:fill="CCEEFF" w:val="clear"/>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6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68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tcPr>
          <w:p>
            <w:pPr>
              <w:pStyle w:val="TableContents"/>
              <w:bidi w:val="0"/>
              <w:spacing w:before="0" w:after="0"/>
              <w:jc w:val="left"/>
              <w:rPr>
                <w:rFonts w:ascii="Times New Roman" w:hAnsi="Times New Roman"/>
                <w:b/>
                <w:sz w:val="20"/>
              </w:rPr>
            </w:pPr>
            <w:r>
              <w:rPr>
                <w:rFonts w:ascii="Times New Roman" w:hAnsi="Times New Roman"/>
                <w:b/>
                <w:sz w:val="20"/>
              </w:rPr>
              <w:t>Issued and exercised at December 31, 2022</w:t>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676" w:type="dxa"/>
            <w:tcBorders/>
            <w:vAlign w:val="bottom"/>
          </w:tcPr>
          <w:p>
            <w:pPr>
              <w:pStyle w:val="TableContents"/>
              <w:bidi w:val="0"/>
              <w:spacing w:before="0" w:after="283"/>
              <w:jc w:val="right"/>
              <w:rPr>
                <w:b/>
              </w:rPr>
            </w:pPr>
            <w:r>
              <w:rPr>
                <w:b/>
              </w:rPr>
              <w:t>1,038,226</w:t>
            </w:r>
          </w:p>
        </w:tc>
        <w:tc>
          <w:tcPr>
            <w:tcW w:w="60"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683" w:type="dxa"/>
            <w:tcBorders/>
            <w:vAlign w:val="bottom"/>
          </w:tcPr>
          <w:p>
            <w:pPr>
              <w:pStyle w:val="TableContents"/>
              <w:bidi w:val="0"/>
              <w:spacing w:before="0" w:after="283"/>
              <w:jc w:val="right"/>
              <w:rPr>
                <w:b/>
              </w:rPr>
            </w:pPr>
            <w:r>
              <w:rPr>
                <w:b/>
              </w:rPr>
              <w:t>1.98</w:t>
            </w:r>
          </w:p>
        </w:tc>
        <w:tc>
          <w:tcPr>
            <w:tcW w:w="65" w:type="dxa"/>
            <w:tcBorders/>
            <w:vAlign w:val="bottom"/>
          </w:tcPr>
          <w:p>
            <w:pPr>
              <w:pStyle w:val="TableContents"/>
              <w:bidi w:val="0"/>
              <w:spacing w:before="0" w:after="283"/>
              <w:jc w:val="left"/>
              <w:rPr/>
            </w:pPr>
            <w:r>
              <w:rPr/>
              <w:t> </w:t>
            </w:r>
          </w:p>
        </w:tc>
      </w:tr>
      <w:tr>
        <w:trPr/>
        <w:tc>
          <w:tcPr>
            <w:tcW w:w="2989"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6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68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 subject to repurchase at December 31, 2022</w:t>
            </w:r>
          </w:p>
        </w:tc>
        <w:tc>
          <w:tcPr>
            <w:tcW w:w="47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676" w:type="dxa"/>
            <w:tcBorders/>
            <w:shd w:fill="CCEEFF" w:val="clear"/>
            <w:vAlign w:val="bottom"/>
          </w:tcPr>
          <w:p>
            <w:pPr>
              <w:pStyle w:val="TableContents"/>
              <w:bidi w:val="0"/>
              <w:spacing w:before="0" w:after="283"/>
              <w:jc w:val="right"/>
              <w:rPr/>
            </w:pPr>
            <w:r>
              <w:rPr/>
              <w:t>817,022</w:t>
            </w:r>
          </w:p>
        </w:tc>
        <w:tc>
          <w:tcPr>
            <w:tcW w:w="60"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683" w:type="dxa"/>
            <w:tcBorders/>
            <w:shd w:fill="CCEEFF" w:val="clear"/>
            <w:vAlign w:val="bottom"/>
          </w:tcPr>
          <w:p>
            <w:pPr>
              <w:pStyle w:val="TableContents"/>
              <w:bidi w:val="0"/>
              <w:spacing w:before="0" w:after="283"/>
              <w:jc w:val="right"/>
              <w:rPr/>
            </w:pPr>
            <w:r>
              <w:rPr/>
              <w:t>1.90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stock is granted and expensed at fair value. The payroll expense related to restricted stock, including the total expense and the part contributable towards restricted stock issuance,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89"/>
        <w:gridCol w:w="367"/>
        <w:gridCol w:w="149"/>
        <w:gridCol w:w="351"/>
        <w:gridCol w:w="132"/>
        <w:gridCol w:w="494"/>
        <w:gridCol w:w="132"/>
        <w:gridCol w:w="1055"/>
        <w:gridCol w:w="343"/>
        <w:gridCol w:w="494"/>
        <w:gridCol w:w="132"/>
        <w:gridCol w:w="869"/>
        <w:gridCol w:w="65"/>
      </w:tblGrid>
      <w:tr>
        <w:trPr/>
        <w:tc>
          <w:tcPr>
            <w:tcW w:w="3989"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89"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415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31 December,</w:t>
            </w:r>
          </w:p>
        </w:tc>
        <w:tc>
          <w:tcPr>
            <w:tcW w:w="65" w:type="dxa"/>
            <w:tcBorders/>
            <w:vAlign w:val="bottom"/>
          </w:tcPr>
          <w:p>
            <w:pPr>
              <w:pStyle w:val="TableContents"/>
              <w:bidi w:val="0"/>
              <w:spacing w:before="0" w:after="283"/>
              <w:jc w:val="left"/>
              <w:rPr/>
            </w:pPr>
            <w:r>
              <w:rPr/>
              <w:t> </w:t>
            </w:r>
          </w:p>
        </w:tc>
      </w:tr>
      <w:tr>
        <w:trPr/>
        <w:tc>
          <w:tcPr>
            <w:tcW w:w="3989" w:type="dxa"/>
            <w:tcBorders/>
            <w:vAlign w:val="bottom"/>
          </w:tcPr>
          <w:p>
            <w:pPr>
              <w:pStyle w:val="TableContents"/>
              <w:bidi w:val="0"/>
              <w:spacing w:before="0" w:after="283"/>
              <w:jc w:val="left"/>
              <w:rPr>
                <w:b/>
                <w:i/>
              </w:rPr>
            </w:pPr>
            <w:r>
              <w:rPr>
                <w:b/>
                <w:i/>
              </w:rPr>
              <w:t>in CHF thousands</w:t>
            </w:r>
          </w:p>
        </w:tc>
        <w:tc>
          <w:tcPr>
            <w:tcW w:w="36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32"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343"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5" w:type="dxa"/>
            <w:tcBorders/>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payroll expense related to restricted stock</w:t>
            </w:r>
          </w:p>
        </w:tc>
        <w:tc>
          <w:tcPr>
            <w:tcW w:w="36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(951</w:t>
            </w:r>
          </w:p>
        </w:tc>
        <w:tc>
          <w:tcPr>
            <w:tcW w:w="343"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69" w:type="dxa"/>
            <w:tcBorders/>
            <w:shd w:fill="CCEEFF" w:val="clear"/>
            <w:vAlign w:val="bottom"/>
          </w:tcPr>
          <w:p>
            <w:pPr>
              <w:pStyle w:val="TableContents"/>
              <w:bidi w:val="0"/>
              <w:spacing w:before="0" w:after="283"/>
              <w:jc w:val="right"/>
              <w:rPr/>
            </w:pPr>
            <w:r>
              <w:rPr/>
              <w:t>170</w:t>
            </w:r>
          </w:p>
        </w:tc>
        <w:tc>
          <w:tcPr>
            <w:tcW w:w="65" w:type="dxa"/>
            <w:tcBorders/>
            <w:shd w:fill="CCEEFF" w:val="clear"/>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Expense contributable towards restricted stock issuance</w:t>
            </w:r>
          </w:p>
        </w:tc>
        <w:tc>
          <w:tcPr>
            <w:tcW w:w="36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(828</w:t>
            </w:r>
          </w:p>
        </w:tc>
        <w:tc>
          <w:tcPr>
            <w:tcW w:w="343"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283"/>
              <w:jc w:val="right"/>
              <w:rPr/>
            </w:pPr>
            <w:r>
              <w:rPr/>
              <w:t>148</w:t>
            </w:r>
          </w:p>
        </w:tc>
        <w:tc>
          <w:tcPr>
            <w:tcW w:w="65" w:type="dxa"/>
            <w:tcBorders/>
            <w:vAlign w:val="bottom"/>
          </w:tcPr>
          <w:p>
            <w:pPr>
              <w:pStyle w:val="TableContents"/>
              <w:bidi w:val="0"/>
              <w:spacing w:before="0" w:after="283"/>
              <w:jc w:val="left"/>
              <w:rPr/>
            </w:pPr>
            <w:r>
              <w:rPr/>
              <w:t> </w:t>
            </w:r>
          </w:p>
        </w:tc>
      </w:tr>
      <w:tr>
        <w:trPr/>
        <w:tc>
          <w:tcPr>
            <w:tcW w:w="3989"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351" w:type="dxa"/>
            <w:tcBorders/>
            <w:vAlign w:val="bottom"/>
          </w:tcPr>
          <w:p>
            <w:pPr>
              <w:pStyle w:val="TableContents"/>
              <w:pBdr>
                <w:top w:val="single" w:sz="2" w:space="1" w:color="000000"/>
              </w:pBdr>
              <w:bidi w:val="0"/>
              <w:spacing w:before="0" w:after="0"/>
              <w:jc w:val="left"/>
              <w:rPr/>
            </w:pPr>
            <w:r>
              <w:rPr/>
              <w:t> </w:t>
            </w:r>
          </w:p>
        </w:tc>
        <w:tc>
          <w:tcPr>
            <w:tcW w:w="132"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343" w:type="dxa"/>
            <w:tcBorders/>
            <w:vAlign w:val="center"/>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132" w:type="dxa"/>
            <w:tcBorders/>
            <w:vAlign w:val="bottom"/>
          </w:tcPr>
          <w:p>
            <w:pPr>
              <w:pStyle w:val="TableContents"/>
              <w:pBdr>
                <w:top w:val="single" w:sz="2" w:space="1" w:color="000000"/>
              </w:pBdr>
              <w:bidi w:val="0"/>
              <w:spacing w:before="0" w:after="0"/>
              <w:jc w:val="left"/>
              <w:rPr/>
            </w:pPr>
            <w:r>
              <w:rPr/>
              <w:t> </w:t>
            </w:r>
          </w:p>
        </w:tc>
        <w:tc>
          <w:tcPr>
            <w:tcW w:w="8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37"/>
        <w:gridCol w:w="414"/>
        <w:gridCol w:w="150"/>
        <w:gridCol w:w="352"/>
        <w:gridCol w:w="148"/>
        <w:gridCol w:w="569"/>
        <w:gridCol w:w="148"/>
        <w:gridCol w:w="960"/>
        <w:gridCol w:w="148"/>
        <w:gridCol w:w="569"/>
        <w:gridCol w:w="148"/>
        <w:gridCol w:w="963"/>
        <w:gridCol w:w="66"/>
      </w:tblGrid>
      <w:tr>
        <w:trPr/>
        <w:tc>
          <w:tcPr>
            <w:tcW w:w="3937"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left"/>
              <w:rPr/>
            </w:pPr>
            <w:r>
              <w:rPr/>
              <w:t>  </w:t>
            </w:r>
          </w:p>
        </w:tc>
        <w:tc>
          <w:tcPr>
            <w:tcW w:w="41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31 December,</w:t>
            </w:r>
          </w:p>
        </w:tc>
        <w:tc>
          <w:tcPr>
            <w:tcW w:w="66"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b/>
                <w:i/>
              </w:rPr>
            </w:pPr>
            <w:r>
              <w:rPr>
                <w:b/>
                <w:i/>
              </w:rPr>
              <w:t>in CHF thousands</w:t>
            </w:r>
          </w:p>
        </w:tc>
        <w:tc>
          <w:tcPr>
            <w:tcW w:w="414" w:type="dxa"/>
            <w:tcBorders/>
            <w:vAlign w:val="bottom"/>
          </w:tcPr>
          <w:p>
            <w:pPr>
              <w:pStyle w:val="TableContents"/>
              <w:bidi w:val="0"/>
              <w:spacing w:before="0" w:after="283"/>
              <w:jc w:val="left"/>
              <w:rPr/>
            </w:pPr>
            <w:r>
              <w:rPr/>
              <w:t>  </w:t>
            </w:r>
          </w:p>
        </w:tc>
        <w:tc>
          <w:tcPr>
            <w:tcW w:w="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48"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48"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6"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restricted stock issued</w:t>
            </w:r>
          </w:p>
        </w:tc>
        <w:tc>
          <w:tcPr>
            <w:tcW w:w="4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876</w:t>
            </w:r>
          </w:p>
        </w:tc>
        <w:tc>
          <w:tcPr>
            <w:tcW w:w="148"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157</w:t>
            </w:r>
          </w:p>
        </w:tc>
        <w:tc>
          <w:tcPr>
            <w:tcW w:w="66"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Expense contributable towards restricted stock issuance</w:t>
            </w:r>
          </w:p>
        </w:tc>
        <w:tc>
          <w:tcPr>
            <w:tcW w:w="41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828</w:t>
            </w:r>
          </w:p>
        </w:tc>
        <w:tc>
          <w:tcPr>
            <w:tcW w:w="148"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148</w:t>
            </w:r>
          </w:p>
        </w:tc>
        <w:tc>
          <w:tcPr>
            <w:tcW w:w="66"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Grantee contributions for restricted stock issuance</w:t>
            </w:r>
          </w:p>
        </w:tc>
        <w:tc>
          <w:tcPr>
            <w:tcW w:w="41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48</w:t>
            </w:r>
          </w:p>
        </w:tc>
        <w:tc>
          <w:tcPr>
            <w:tcW w:w="148"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9</w:t>
            </w:r>
          </w:p>
        </w:tc>
        <w:tc>
          <w:tcPr>
            <w:tcW w:w="66"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48" w:type="dxa"/>
            <w:tcBorders/>
            <w:vAlign w:val="center"/>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96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primarily of cash balances held at banks and in the currencies: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22"/>
        <w:gridCol w:w="251"/>
        <w:gridCol w:w="60"/>
        <w:gridCol w:w="694"/>
        <w:gridCol w:w="60"/>
        <w:gridCol w:w="251"/>
        <w:gridCol w:w="60"/>
        <w:gridCol w:w="694"/>
        <w:gridCol w:w="63"/>
      </w:tblGrid>
      <w:tr>
        <w:trPr/>
        <w:tc>
          <w:tcPr>
            <w:tcW w:w="5622"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2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i/>
              </w:rPr>
            </w:pPr>
            <w:r>
              <w:rPr>
                <w:i/>
              </w:rPr>
              <w:t>in CHF thousands</w:t>
            </w:r>
          </w:p>
        </w:tc>
        <w:tc>
          <w:tcPr>
            <w:tcW w:w="251"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19,786</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46,277</w:t>
            </w:r>
          </w:p>
        </w:tc>
        <w:tc>
          <w:tcPr>
            <w:tcW w:w="63" w:type="dxa"/>
            <w:tcBorders/>
            <w:shd w:fill="CCEEFF" w:val="clear"/>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2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19,786</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b/>
              </w:rPr>
            </w:pPr>
            <w:r>
              <w:rPr>
                <w:b/>
              </w:rPr>
              <w:t>46,277</w:t>
            </w:r>
          </w:p>
        </w:tc>
        <w:tc>
          <w:tcPr>
            <w:tcW w:w="63" w:type="dxa"/>
            <w:tcBorders/>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72"/>
        <w:gridCol w:w="253"/>
        <w:gridCol w:w="70"/>
        <w:gridCol w:w="796"/>
        <w:gridCol w:w="70"/>
        <w:gridCol w:w="263"/>
        <w:gridCol w:w="70"/>
        <w:gridCol w:w="797"/>
        <w:gridCol w:w="64"/>
      </w:tblGrid>
      <w:tr>
        <w:trPr/>
        <w:tc>
          <w:tcPr>
            <w:tcW w:w="5372"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7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372" w:type="dxa"/>
            <w:tcBorders/>
            <w:vAlign w:val="bottom"/>
          </w:tcPr>
          <w:p>
            <w:pPr>
              <w:pStyle w:val="TableContents"/>
              <w:bidi w:val="0"/>
              <w:spacing w:before="0" w:after="0"/>
              <w:jc w:val="left"/>
              <w:rPr>
                <w:rFonts w:ascii="Times New Roman" w:hAnsi="Times New Roman"/>
                <w:i/>
                <w:sz w:val="16"/>
              </w:rPr>
            </w:pPr>
            <w:r>
              <w:rPr>
                <w:rFonts w:ascii="Times New Roman" w:hAnsi="Times New Roman"/>
                <w:i/>
                <w:sz w:val="16"/>
              </w:rPr>
              <w:t>in CHF thousands</w:t>
            </w:r>
          </w:p>
          <w:p>
            <w:pPr>
              <w:pStyle w:val="TableContents"/>
              <w:bidi w:val="0"/>
              <w:spacing w:before="0" w:after="20"/>
              <w:jc w:val="left"/>
              <w:rPr>
                <w:rFonts w:ascii="Times New Roman" w:hAnsi="Times New Roman"/>
                <w:b/>
                <w:sz w:val="16"/>
              </w:rPr>
            </w:pPr>
            <w:r>
              <w:rPr>
                <w:rFonts w:ascii="Times New Roman" w:hAnsi="Times New Roman"/>
                <w:b/>
                <w:sz w:val="16"/>
              </w:rPr>
              <w:t>by currency</w:t>
            </w:r>
          </w:p>
        </w:tc>
        <w:tc>
          <w:tcPr>
            <w:tcW w:w="253"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Swiss Franc</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7,216</w:t>
            </w:r>
          </w:p>
        </w:tc>
        <w:tc>
          <w:tcPr>
            <w:tcW w:w="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23,987</w:t>
            </w:r>
          </w:p>
        </w:tc>
        <w:tc>
          <w:tcPr>
            <w:tcW w:w="64" w:type="dxa"/>
            <w:tcBorders/>
            <w:shd w:fill="CCEEFF" w:val="clear"/>
            <w:vAlign w:val="bottom"/>
          </w:tcPr>
          <w:p>
            <w:pPr>
              <w:pStyle w:val="TableContents"/>
              <w:bidi w:val="0"/>
              <w:spacing w:before="0" w:after="283"/>
              <w:jc w:val="left"/>
              <w:rPr/>
            </w:pPr>
            <w:r>
              <w:rPr/>
              <w:t> </w:t>
            </w:r>
          </w:p>
        </w:tc>
      </w:tr>
      <w:tr>
        <w:trPr/>
        <w:tc>
          <w:tcPr>
            <w:tcW w:w="5372" w:type="dxa"/>
            <w:tcBorders/>
          </w:tcPr>
          <w:p>
            <w:pPr>
              <w:pStyle w:val="TableContents"/>
              <w:bidi w:val="0"/>
              <w:spacing w:before="0" w:after="0"/>
              <w:jc w:val="left"/>
              <w:rPr>
                <w:rFonts w:ascii="Times New Roman" w:hAnsi="Times New Roman"/>
                <w:sz w:val="20"/>
              </w:rPr>
            </w:pPr>
            <w:r>
              <w:rPr>
                <w:rFonts w:ascii="Times New Roman" w:hAnsi="Times New Roman"/>
                <w:sz w:val="20"/>
              </w:rPr>
              <w:t>Iceland Krona</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383</w:t>
            </w:r>
          </w:p>
        </w:tc>
        <w:tc>
          <w:tcPr>
            <w:tcW w:w="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726</w:t>
            </w:r>
          </w:p>
        </w:tc>
        <w:tc>
          <w:tcPr>
            <w:tcW w:w="64" w:type="dxa"/>
            <w:tcBorders/>
            <w:vAlign w:val="bottom"/>
          </w:tcPr>
          <w:p>
            <w:pPr>
              <w:pStyle w:val="TableContents"/>
              <w:bidi w:val="0"/>
              <w:spacing w:before="0" w:after="283"/>
              <w:jc w:val="left"/>
              <w:rPr/>
            </w:pPr>
            <w:r>
              <w:rPr/>
              <w:t> </w:t>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2,350</w:t>
            </w:r>
          </w:p>
        </w:tc>
        <w:tc>
          <w:tcPr>
            <w:tcW w:w="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4,202</w:t>
            </w:r>
          </w:p>
        </w:tc>
        <w:tc>
          <w:tcPr>
            <w:tcW w:w="64" w:type="dxa"/>
            <w:tcBorders/>
            <w:shd w:fill="CCEEFF" w:val="clear"/>
            <w:vAlign w:val="bottom"/>
          </w:tcPr>
          <w:p>
            <w:pPr>
              <w:pStyle w:val="TableContents"/>
              <w:bidi w:val="0"/>
              <w:spacing w:before="0" w:after="283"/>
              <w:jc w:val="left"/>
              <w:rPr/>
            </w:pPr>
            <w:r>
              <w:rPr/>
              <w:t> </w:t>
            </w:r>
          </w:p>
        </w:tc>
      </w:tr>
      <w:tr>
        <w:trPr/>
        <w:tc>
          <w:tcPr>
            <w:tcW w:w="5372" w:type="dxa"/>
            <w:tcBorders/>
          </w:tcPr>
          <w:p>
            <w:pPr>
              <w:pStyle w:val="TableContents"/>
              <w:bidi w:val="0"/>
              <w:spacing w:before="0" w:after="0"/>
              <w:jc w:val="left"/>
              <w:rPr>
                <w:rFonts w:ascii="Times New Roman" w:hAnsi="Times New Roman"/>
                <w:sz w:val="20"/>
              </w:rPr>
            </w:pPr>
            <w:r>
              <w:rPr>
                <w:rFonts w:ascii="Times New Roman" w:hAnsi="Times New Roman"/>
                <w:sz w:val="20"/>
              </w:rPr>
              <w:t>US Dollar</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9,741</w:t>
            </w:r>
          </w:p>
        </w:tc>
        <w:tc>
          <w:tcPr>
            <w:tcW w:w="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pPr>
            <w:r>
              <w:rPr/>
              <w:t>17,325</w:t>
            </w:r>
          </w:p>
        </w:tc>
        <w:tc>
          <w:tcPr>
            <w:tcW w:w="64" w:type="dxa"/>
            <w:tcBorders/>
            <w:vAlign w:val="bottom"/>
          </w:tcPr>
          <w:p>
            <w:pPr>
              <w:pStyle w:val="TableContents"/>
              <w:bidi w:val="0"/>
              <w:spacing w:before="0" w:after="283"/>
              <w:jc w:val="left"/>
              <w:rPr/>
            </w:pPr>
            <w:r>
              <w:rPr/>
              <w:t> </w:t>
            </w:r>
          </w:p>
        </w:tc>
      </w:tr>
      <w:tr>
        <w:trPr/>
        <w:tc>
          <w:tcPr>
            <w:tcW w:w="5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5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96</w:t>
            </w:r>
          </w:p>
        </w:tc>
        <w:tc>
          <w:tcPr>
            <w:tcW w:w="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97" w:type="dxa"/>
            <w:tcBorders/>
            <w:shd w:fill="CCEEFF" w:val="clear"/>
            <w:vAlign w:val="bottom"/>
          </w:tcPr>
          <w:p>
            <w:pPr>
              <w:pStyle w:val="TableContents"/>
              <w:bidi w:val="0"/>
              <w:spacing w:before="0" w:after="283"/>
              <w:jc w:val="right"/>
              <w:rPr/>
            </w:pPr>
            <w:r>
              <w:rPr/>
              <w:t>37</w:t>
            </w:r>
          </w:p>
        </w:tc>
        <w:tc>
          <w:tcPr>
            <w:tcW w:w="64" w:type="dxa"/>
            <w:tcBorders/>
            <w:shd w:fill="CCEEFF" w:val="clear"/>
            <w:vAlign w:val="bottom"/>
          </w:tcPr>
          <w:p>
            <w:pPr>
              <w:pStyle w:val="TableContents"/>
              <w:bidi w:val="0"/>
              <w:spacing w:before="0" w:after="283"/>
              <w:jc w:val="left"/>
              <w:rPr/>
            </w:pPr>
            <w:r>
              <w:rPr/>
              <w:t> </w:t>
            </w:r>
          </w:p>
        </w:tc>
      </w:tr>
      <w:tr>
        <w:trPr/>
        <w:tc>
          <w:tcPr>
            <w:tcW w:w="5372"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7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7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b/>
              </w:rPr>
            </w:pPr>
            <w:r>
              <w:rPr>
                <w:b/>
              </w:rPr>
              <w:t>19,786</w:t>
            </w:r>
          </w:p>
        </w:tc>
        <w:tc>
          <w:tcPr>
            <w:tcW w:w="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97" w:type="dxa"/>
            <w:tcBorders/>
            <w:vAlign w:val="bottom"/>
          </w:tcPr>
          <w:p>
            <w:pPr>
              <w:pStyle w:val="TableContents"/>
              <w:bidi w:val="0"/>
              <w:spacing w:before="0" w:after="283"/>
              <w:jc w:val="right"/>
              <w:rPr>
                <w:b/>
              </w:rPr>
            </w:pPr>
            <w:r>
              <w:rPr>
                <w:b/>
              </w:rPr>
              <w:t>46,277</w:t>
            </w:r>
          </w:p>
        </w:tc>
        <w:tc>
          <w:tcPr>
            <w:tcW w:w="64" w:type="dxa"/>
            <w:tcBorders/>
            <w:vAlign w:val="bottom"/>
          </w:tcPr>
          <w:p>
            <w:pPr>
              <w:pStyle w:val="TableContents"/>
              <w:bidi w:val="0"/>
              <w:spacing w:before="0" w:after="283"/>
              <w:jc w:val="left"/>
              <w:rPr/>
            </w:pPr>
            <w:r>
              <w:rPr/>
              <w:t> </w:t>
            </w:r>
          </w:p>
        </w:tc>
      </w:tr>
      <w:tr>
        <w:trPr/>
        <w:tc>
          <w:tcPr>
            <w:tcW w:w="5372" w:type="dxa"/>
            <w:tcBorders/>
            <w:vAlign w:val="bottom"/>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7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LONG-TERM FINANCIAL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12,712,863 preferred shares for an amount of CHF 1,350 thousand. These shares are divided into 1,623,793 registered A Series shares of CHF 0.10 each, 5,191,512 registered B Series of CHF 0.10 each, 5,699,813 registered C1a Series shares (denominated in USD) of CHF 0.10 each and 197,745 registered C1b Series shares (denominated in USD) of CHF 0.50 each. </w:t>
      </w:r>
    </w:p>
    <w:p>
      <w:pPr>
        <w:pStyle w:val="TextBody"/>
        <w:bidi w:val="0"/>
        <w:spacing w:before="240" w:after="0"/>
        <w:jc w:val="left"/>
        <w:rPr>
          <w:rFonts w:ascii="Times New Roman" w:hAnsi="Times New Roman"/>
          <w:sz w:val="20"/>
        </w:rPr>
      </w:pPr>
      <w:r>
        <w:rPr>
          <w:rFonts w:ascii="Times New Roman" w:hAnsi="Times New Roman"/>
          <w:sz w:val="20"/>
        </w:rPr>
        <w:t xml:space="preserve">On July 22, 2022, the Company completed the closing of an extension round to the Series C equity financing of approximately CHF 2.0 million ($2.1 million) with an issuance of 197,745 shares of preferred shares (Series C1b Shares at a per share purchase price of CHF 10.27 ($10.64) and a nominal per share value of CHF 0.50. The Series C1b shareholders have the same rights and preferences as the Series C shareholders. Same as Series A, B and C preferred shares, the Series C1b preferred shares qualify as financial liability instruments under IAS 32 and are presented on the Balance Sheet as long-term financial debt. </w:t>
      </w:r>
    </w:p>
    <w:p>
      <w:pPr>
        <w:pStyle w:val="TextBody"/>
        <w:bidi w:val="0"/>
        <w:spacing w:before="240" w:after="0"/>
        <w:jc w:val="left"/>
        <w:rPr>
          <w:rFonts w:ascii="Times New Roman" w:hAnsi="Times New Roman"/>
          <w:sz w:val="20"/>
        </w:rPr>
      </w:pPr>
      <w:r>
        <w:rPr>
          <w:rFonts w:ascii="Times New Roman" w:hAnsi="Times New Roman"/>
          <w:sz w:val="20"/>
        </w:rPr>
        <w:t xml:space="preserve">All preferred shares have a liquidation preference corresponding to their respective initial purchase price. Furthermore, the B Series and C Series shares include a preferred dividend payment of 6.00% (as a compounded interest).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Agreement contains a redemption option upon certain events with amounts equivalent to the sum of investors Series C investment and applicable interests at 0.00%, 6.00% and 8.00% for Series A, B and C shares, respectively. The Company considered the expected future cash outflows and concluded that the probability of the certain events occurring to be remote. Refer to Note 18 for discussion on the redemption feature.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 Series and C Series shares include a preferred dividend payment of 6.00%, and the corresponding deemed interest expense of CHF 16,986 thousand was accrued as of December 31, 2022. The nominal amounts (for A, B and C Series) and the accrued preferred dividend resulted in a long-term debt of CHF 122,449 thousand on December 31, 2022. The movement of the long-term financial liability is illustrated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03"/>
        <w:gridCol w:w="196"/>
        <w:gridCol w:w="83"/>
        <w:gridCol w:w="789"/>
        <w:gridCol w:w="60"/>
        <w:gridCol w:w="196"/>
        <w:gridCol w:w="68"/>
        <w:gridCol w:w="789"/>
        <w:gridCol w:w="60"/>
        <w:gridCol w:w="196"/>
        <w:gridCol w:w="69"/>
        <w:gridCol w:w="798"/>
        <w:gridCol w:w="157"/>
        <w:gridCol w:w="195"/>
        <w:gridCol w:w="60"/>
        <w:gridCol w:w="803"/>
        <w:gridCol w:w="166"/>
      </w:tblGrid>
      <w:tr>
        <w:trPr/>
        <w:tc>
          <w:tcPr>
            <w:tcW w:w="4703"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03" w:type="dxa"/>
            <w:tcBorders/>
            <w:vAlign w:val="bottom"/>
          </w:tcPr>
          <w:p>
            <w:pPr>
              <w:pStyle w:val="TableContents"/>
              <w:bidi w:val="0"/>
              <w:spacing w:before="0" w:after="283"/>
              <w:jc w:val="left"/>
              <w:rPr>
                <w:i/>
              </w:rPr>
            </w:pPr>
            <w:r>
              <w:rPr>
                <w:i/>
              </w:rPr>
              <w:t>in CHF thousands</w:t>
            </w:r>
          </w:p>
        </w:tc>
        <w:tc>
          <w:tcPr>
            <w:tcW w:w="196"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A</w:t>
              <w:br/>
              <w:t>shares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B</w:t>
              <w:br/>
              <w:t>shares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C</w:t>
              <w:br/>
              <w:t>shares</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6" w:type="dxa"/>
            <w:tcBorders/>
            <w:vAlign w:val="bottom"/>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b/>
              </w:rPr>
            </w:pPr>
            <w:r>
              <w:rPr>
                <w:b/>
              </w:rPr>
              <w:t>8,179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b/>
              </w:rPr>
            </w:pPr>
            <w:r>
              <w:rPr>
                <w:b/>
              </w:rPr>
              <w:t>45,799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b/>
              </w:rPr>
            </w:pPr>
            <w:r>
              <w:rPr>
                <w:b/>
              </w:rPr>
              <w:t>  </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53,978</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0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shares</w:t>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56,096</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56,096</w:t>
            </w:r>
          </w:p>
        </w:tc>
        <w:tc>
          <w:tcPr>
            <w:tcW w:w="166" w:type="dxa"/>
            <w:tcBorders/>
            <w:vAlign w:val="bottom"/>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(834</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(834</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2,770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2,226</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4,996</w:t>
            </w:r>
          </w:p>
        </w:tc>
        <w:tc>
          <w:tcPr>
            <w:tcW w:w="166" w:type="dxa"/>
            <w:tcBorders/>
            <w:vAlign w:val="bottom"/>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(734</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(734</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03"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b/>
              </w:rPr>
            </w:pPr>
            <w:r>
              <w:rPr>
                <w:b/>
              </w:rPr>
              <w:t>8,179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b/>
              </w:rPr>
            </w:pPr>
            <w:r>
              <w:rPr>
                <w:b/>
              </w:rPr>
              <w:t>48,569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b/>
              </w:rPr>
            </w:pPr>
            <w:r>
              <w:rPr>
                <w:b/>
              </w:rPr>
              <w:t>56,754</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113,502</w:t>
            </w:r>
          </w:p>
        </w:tc>
        <w:tc>
          <w:tcPr>
            <w:tcW w:w="166" w:type="dxa"/>
            <w:tcBorders/>
            <w:vAlign w:val="bottom"/>
          </w:tcPr>
          <w:p>
            <w:pPr>
              <w:pStyle w:val="TableContents"/>
              <w:bidi w:val="0"/>
              <w:spacing w:before="0" w:after="283"/>
              <w:jc w:val="left"/>
              <w:rPr/>
            </w:pPr>
            <w:r>
              <w:rPr/>
              <w:t> </w:t>
            </w:r>
          </w:p>
        </w:tc>
      </w:tr>
      <w:tr>
        <w:trPr/>
        <w:tc>
          <w:tcPr>
            <w:tcW w:w="470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2,030</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2,030</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(54</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(54</w:t>
            </w:r>
          </w:p>
        </w:tc>
        <w:tc>
          <w:tcPr>
            <w:tcW w:w="166" w:type="dxa"/>
            <w:tcBorders/>
            <w:vAlign w:val="bottom"/>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2,797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3,546</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6,343</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628</w:t>
            </w:r>
          </w:p>
        </w:tc>
        <w:tc>
          <w:tcPr>
            <w:tcW w:w="1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628</w:t>
            </w:r>
          </w:p>
        </w:tc>
        <w:tc>
          <w:tcPr>
            <w:tcW w:w="166" w:type="dxa"/>
            <w:tcBorders/>
            <w:vAlign w:val="bottom"/>
          </w:tcPr>
          <w:p>
            <w:pPr>
              <w:pStyle w:val="TableContents"/>
              <w:bidi w:val="0"/>
              <w:spacing w:before="0" w:after="283"/>
              <w:jc w:val="left"/>
              <w:rPr/>
            </w:pPr>
            <w:r>
              <w:rPr/>
              <w:t> </w:t>
            </w:r>
          </w:p>
        </w:tc>
      </w:tr>
      <w:tr>
        <w:trPr/>
        <w:tc>
          <w:tcPr>
            <w:tcW w:w="470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47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9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b/>
              </w:rPr>
            </w:pPr>
            <w:r>
              <w:rPr>
                <w:b/>
              </w:rPr>
              <w:t>8,179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b/>
              </w:rPr>
            </w:pPr>
            <w:r>
              <w:rPr>
                <w:b/>
              </w:rPr>
              <w:t>51,366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b/>
              </w:rPr>
            </w:pPr>
            <w:r>
              <w:rPr>
                <w:b/>
              </w:rPr>
              <w:t>62,904</w:t>
            </w:r>
          </w:p>
        </w:tc>
        <w:tc>
          <w:tcPr>
            <w:tcW w:w="1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122,449</w:t>
            </w:r>
          </w:p>
        </w:tc>
        <w:tc>
          <w:tcPr>
            <w:tcW w:w="166" w:type="dxa"/>
            <w:tcBorders/>
            <w:shd w:fill="CCEEFF" w:val="clear"/>
            <w:vAlign w:val="bottom"/>
          </w:tcPr>
          <w:p>
            <w:pPr>
              <w:pStyle w:val="TableContents"/>
              <w:bidi w:val="0"/>
              <w:spacing w:before="0" w:after="283"/>
              <w:jc w:val="left"/>
              <w:rPr/>
            </w:pPr>
            <w:r>
              <w:rPr/>
              <w:t> </w:t>
            </w:r>
          </w:p>
        </w:tc>
      </w:tr>
      <w:tr>
        <w:trPr/>
        <w:tc>
          <w:tcPr>
            <w:tcW w:w="4703"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SHARE PREMIUM AND TREASURY SHARES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Share capital and premium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3,406,771 shares for CHF 340 thousand. These shares are divided into 2,368,545 common shares of CHF 0.10 each, of which 4,000 will be registered in the commercial register in the first quarter of 2023, and 1,038,226 shares for restricted stock of CHF 0.10 each.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Note 14, due to the characteristics of the instruments issued, the A Series, B Series and C Series preferred shares qualify as financial liability instruments under IAS 32. As a result, they are presented as long-term financial liabilities and are consequently not included in the equity and related premium. </w:t>
      </w:r>
    </w:p>
    <w:p>
      <w:pPr>
        <w:pStyle w:val="TextBody"/>
        <w:bidi w:val="0"/>
        <w:spacing w:before="240" w:after="0"/>
        <w:jc w:val="left"/>
        <w:rPr>
          <w:rFonts w:ascii="Times New Roman" w:hAnsi="Times New Roman"/>
          <w:sz w:val="20"/>
        </w:rPr>
      </w:pPr>
      <w:r>
        <w:rPr>
          <w:rFonts w:ascii="Times New Roman" w:hAnsi="Times New Roman"/>
          <w:sz w:val="20"/>
        </w:rPr>
        <w:t xml:space="preserve">The activities for share capital and share premium accounts in 2020, 2021 and 2022 are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29"/>
        <w:gridCol w:w="245"/>
        <w:gridCol w:w="60"/>
        <w:gridCol w:w="988"/>
        <w:gridCol w:w="60"/>
        <w:gridCol w:w="245"/>
        <w:gridCol w:w="78"/>
        <w:gridCol w:w="1297"/>
        <w:gridCol w:w="60"/>
        <w:gridCol w:w="245"/>
        <w:gridCol w:w="94"/>
        <w:gridCol w:w="623"/>
        <w:gridCol w:w="60"/>
        <w:gridCol w:w="244"/>
        <w:gridCol w:w="78"/>
        <w:gridCol w:w="915"/>
        <w:gridCol w:w="167"/>
      </w:tblGrid>
      <w:tr>
        <w:trPr/>
        <w:tc>
          <w:tcPr>
            <w:tcW w:w="3929"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2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728" w:type="dxa"/>
            <w:gridSpan w:val="6"/>
            <w:tcBorders>
              <w:bottom w:val="single" w:sz="8" w:space="0" w:color="000000"/>
            </w:tcBorders>
            <w:tcMar>
              <w:bottom w:w="28" w:type="dxa"/>
            </w:tcMar>
            <w:vAlign w:val="bottom"/>
          </w:tcPr>
          <w:p>
            <w:pPr>
              <w:pStyle w:val="TableContents"/>
              <w:bidi w:val="0"/>
              <w:spacing w:before="0" w:after="283"/>
              <w:jc w:val="center"/>
              <w:rPr>
                <w:i/>
              </w:rPr>
            </w:pPr>
            <w:r>
              <w:rPr>
                <w:i/>
              </w:rPr>
              <w:t>number of shares</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2014" w:type="dxa"/>
            <w:gridSpan w:val="6"/>
            <w:tcBorders>
              <w:bottom w:val="single" w:sz="8" w:space="0" w:color="000000"/>
            </w:tcBorders>
            <w:tcMar>
              <w:bottom w:w="28" w:type="dxa"/>
            </w:tcMar>
            <w:vAlign w:val="bottom"/>
          </w:tcPr>
          <w:p>
            <w:pPr>
              <w:pStyle w:val="TableContents"/>
              <w:bidi w:val="0"/>
              <w:spacing w:before="0" w:after="283"/>
              <w:jc w:val="center"/>
              <w:rPr>
                <w:i/>
              </w:rPr>
            </w:pPr>
            <w:r>
              <w:rPr>
                <w:i/>
              </w:rPr>
              <w:t>in CHF thousands</w:t>
            </w:r>
          </w:p>
        </w:tc>
        <w:tc>
          <w:tcPr>
            <w:tcW w:w="1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Restricted</w:t>
              <w:br/>
              <w:t>stock awards</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br/>
              <w:t>capital</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w:t>
              <w:br/>
              <w:t>premium</w:t>
            </w:r>
          </w:p>
        </w:tc>
        <w:tc>
          <w:tcPr>
            <w:tcW w:w="167" w:type="dxa"/>
            <w:tcBorders/>
            <w:vAlign w:val="bottom"/>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2019</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2,315,045</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b/>
              </w:rPr>
            </w:pPr>
            <w:r>
              <w:rPr>
                <w:b/>
              </w:rPr>
              <w:t>571,783</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b/>
              </w:rPr>
            </w:pPr>
            <w:r>
              <w:rPr>
                <w:b/>
              </w:rPr>
              <w:t>289</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9,476</w:t>
            </w:r>
          </w:p>
        </w:tc>
        <w:tc>
          <w:tcPr>
            <w:tcW w:w="1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Issuance of shares</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80,327</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149</w:t>
            </w:r>
          </w:p>
        </w:tc>
        <w:tc>
          <w:tcPr>
            <w:tcW w:w="167" w:type="dxa"/>
            <w:tcBorders/>
            <w:vAlign w:val="bottom"/>
          </w:tcPr>
          <w:p>
            <w:pPr>
              <w:pStyle w:val="TableContents"/>
              <w:bidi w:val="0"/>
              <w:spacing w:before="0" w:after="283"/>
              <w:jc w:val="left"/>
              <w:rPr/>
            </w:pPr>
            <w:r>
              <w:rPr/>
              <w:t> </w:t>
            </w:r>
          </w:p>
        </w:tc>
      </w:tr>
      <w:tr>
        <w:trPr/>
        <w:tc>
          <w:tcPr>
            <w:tcW w:w="39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(15</w:t>
            </w:r>
          </w:p>
        </w:tc>
        <w:tc>
          <w:tcPr>
            <w:tcW w:w="1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2020</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b/>
              </w:rPr>
            </w:pPr>
            <w:r>
              <w:rPr>
                <w:b/>
              </w:rPr>
              <w:t>2,315,045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b/>
              </w:rPr>
            </w:pPr>
            <w:r>
              <w:rPr>
                <w:b/>
              </w:rPr>
              <w:t>652,110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b/>
              </w:rPr>
            </w:pPr>
            <w:r>
              <w:rPr>
                <w:b/>
              </w:rPr>
              <w:t>297</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b/>
              </w:rPr>
            </w:pPr>
            <w:r>
              <w:rPr>
                <w:b/>
              </w:rPr>
              <w:t>9,609</w:t>
            </w:r>
          </w:p>
        </w:tc>
        <w:tc>
          <w:tcPr>
            <w:tcW w:w="1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Issuance of shares</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386,116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837</w:t>
            </w:r>
          </w:p>
        </w:tc>
        <w:tc>
          <w:tcPr>
            <w:tcW w:w="1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(12</w:t>
            </w:r>
          </w:p>
        </w:tc>
        <w:tc>
          <w:tcPr>
            <w:tcW w:w="1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b/>
              </w:rPr>
            </w:pPr>
            <w:r>
              <w:rPr>
                <w:b/>
              </w:rPr>
              <w:t>2,315,045</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b/>
              </w:rPr>
            </w:pPr>
            <w:r>
              <w:rPr>
                <w:b/>
              </w:rPr>
              <w:t>1,038,226</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b/>
              </w:rPr>
            </w:pPr>
            <w:r>
              <w:rPr>
                <w:b/>
              </w:rPr>
              <w:t>335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b/>
              </w:rPr>
            </w:pPr>
            <w:r>
              <w:rPr>
                <w:b/>
              </w:rPr>
              <w:t>10,434</w:t>
            </w:r>
          </w:p>
        </w:tc>
        <w:tc>
          <w:tcPr>
            <w:tcW w:w="1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 options exercised</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53,500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115</w:t>
            </w:r>
          </w:p>
        </w:tc>
        <w:tc>
          <w:tcPr>
            <w:tcW w:w="167" w:type="dxa"/>
            <w:tcBorders/>
            <w:vAlign w:val="bottom"/>
          </w:tcPr>
          <w:p>
            <w:pPr>
              <w:pStyle w:val="TableContents"/>
              <w:bidi w:val="0"/>
              <w:spacing w:before="0" w:after="283"/>
              <w:jc w:val="left"/>
              <w:rPr/>
            </w:pPr>
            <w:r>
              <w:rPr/>
              <w:t> </w:t>
            </w:r>
          </w:p>
        </w:tc>
      </w:tr>
      <w:tr>
        <w:trPr/>
        <w:tc>
          <w:tcPr>
            <w:tcW w:w="39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(9</w:t>
            </w:r>
          </w:p>
        </w:tc>
        <w:tc>
          <w:tcPr>
            <w:tcW w:w="167" w:type="dxa"/>
            <w:tcBorders/>
            <w:shd w:fill="CCEEFF" w:val="clear"/>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2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929"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b/>
              </w:rPr>
            </w:pPr>
            <w:r>
              <w:rPr>
                <w:b/>
              </w:rPr>
              <w:t>2,368,545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b/>
              </w:rPr>
            </w:pPr>
            <w:r>
              <w:rPr>
                <w:b/>
              </w:rPr>
              <w:t>1,038,226</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b/>
              </w:rPr>
            </w:pPr>
            <w:r>
              <w:rPr>
                <w:b/>
              </w:rPr>
              <w:t>340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b/>
              </w:rPr>
            </w:pPr>
            <w:r>
              <w:rPr>
                <w:b/>
              </w:rPr>
              <w:t>10,540</w:t>
            </w:r>
          </w:p>
        </w:tc>
        <w:tc>
          <w:tcPr>
            <w:tcW w:w="167" w:type="dxa"/>
            <w:tcBorders/>
            <w:vAlign w:val="bottom"/>
          </w:tcPr>
          <w:p>
            <w:pPr>
              <w:pStyle w:val="TableContents"/>
              <w:bidi w:val="0"/>
              <w:spacing w:before="0" w:after="283"/>
              <w:jc w:val="left"/>
              <w:rPr/>
            </w:pPr>
            <w:r>
              <w:rPr/>
              <w:t> </w:t>
            </w:r>
          </w:p>
        </w:tc>
      </w:tr>
      <w:tr>
        <w:trPr/>
        <w:tc>
          <w:tcPr>
            <w:tcW w:w="3929"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2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 Conditional Capital </w:t>
      </w:r>
    </w:p>
    <w:p>
      <w:pPr>
        <w:pStyle w:val="TextBody"/>
        <w:bidi w:val="0"/>
        <w:spacing w:before="120" w:after="0"/>
        <w:jc w:val="left"/>
        <w:rPr>
          <w:rFonts w:ascii="Times New Roman" w:hAnsi="Times New Roman"/>
          <w:sz w:val="20"/>
        </w:rPr>
      </w:pPr>
      <w:r>
        <w:rPr>
          <w:rFonts w:ascii="Times New Roman" w:hAnsi="Times New Roman"/>
          <w:sz w:val="20"/>
        </w:rPr>
        <w:t xml:space="preserve">The conditional share capital at December 31, 2022, amounted to a maximum of CHF 144 thousand split into 1,443,829 common shares with a par value of CHF 0.10 each, in connection with the potential future exercise of options granted to employees and advisors (respectively as of December 31, 2021, to a maximum of CHF 185 thousand split into 1,849,784 common shares with a par value of CHF 0.10 each). </w:t>
      </w:r>
    </w:p>
    <w:p>
      <w:pPr>
        <w:pStyle w:val="TextBody"/>
        <w:bidi w:val="0"/>
        <w:spacing w:before="360" w:after="0"/>
        <w:jc w:val="left"/>
        <w:rPr>
          <w:rFonts w:ascii="Times New Roman" w:hAnsi="Times New Roman"/>
          <w:sz w:val="20"/>
        </w:rPr>
      </w:pPr>
      <w:r>
        <w:rPr>
          <w:rFonts w:ascii="Times New Roman" w:hAnsi="Times New Roman"/>
          <w:b/>
          <w:sz w:val="20"/>
        </w:rPr>
        <w:t>(C) Treasury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2017 related to the initial corporate consolidation, the Group acquired 100,000 treasury shares which are held at a cost of CHF 1.00 each.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TRADE PAYABLES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07"/>
        <w:gridCol w:w="78"/>
        <w:gridCol w:w="943"/>
        <w:gridCol w:w="204"/>
        <w:gridCol w:w="279"/>
        <w:gridCol w:w="78"/>
        <w:gridCol w:w="662"/>
        <w:gridCol w:w="174"/>
      </w:tblGrid>
      <w:tr>
        <w:trPr/>
        <w:tc>
          <w:tcPr>
            <w:tcW w:w="503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22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74"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i/>
              </w:rPr>
            </w:pPr>
            <w:r>
              <w:rPr>
                <w:i/>
              </w:rPr>
              <w:t>in CHF thousands</w:t>
            </w:r>
          </w:p>
        </w:tc>
        <w:tc>
          <w:tcPr>
            <w:tcW w:w="307" w:type="dxa"/>
            <w:tcBorders/>
            <w:vAlign w:val="bottom"/>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04"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4" w:type="dxa"/>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3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43" w:type="dxa"/>
            <w:tcBorders/>
            <w:shd w:fill="CCEEFF" w:val="clear"/>
            <w:vAlign w:val="bottom"/>
          </w:tcPr>
          <w:p>
            <w:pPr>
              <w:pStyle w:val="TableContents"/>
              <w:bidi w:val="0"/>
              <w:spacing w:before="0" w:after="283"/>
              <w:jc w:val="right"/>
              <w:rPr/>
            </w:pPr>
            <w:r>
              <w:rPr/>
              <w:t>(3,867</w:t>
            </w:r>
          </w:p>
        </w:tc>
        <w:tc>
          <w:tcPr>
            <w:tcW w:w="204"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(824</w:t>
            </w:r>
          </w:p>
        </w:tc>
        <w:tc>
          <w:tcPr>
            <w:tcW w:w="174"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4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662"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b/>
              </w:rPr>
            </w:pPr>
            <w:r>
              <w:rPr>
                <w:b/>
              </w:rPr>
              <w:t>(3,867</w:t>
            </w:r>
          </w:p>
        </w:tc>
        <w:tc>
          <w:tcPr>
            <w:tcW w:w="204" w:type="dxa"/>
            <w:tcBorders/>
            <w:vAlign w:val="bottom"/>
          </w:tcPr>
          <w:p>
            <w:pPr>
              <w:pStyle w:val="TableContents"/>
              <w:bidi w:val="0"/>
              <w:spacing w:before="0" w:after="283"/>
              <w:jc w:val="left"/>
              <w:rPr>
                <w:b/>
              </w:rPr>
            </w:pPr>
            <w:r>
              <w:rPr>
                <w:b/>
              </w:rPr>
              <w:t>) </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b/>
              </w:rPr>
            </w:pPr>
            <w:r>
              <w:rPr>
                <w:b/>
              </w:rPr>
              <w:t>(824</w:t>
            </w:r>
          </w:p>
        </w:tc>
        <w:tc>
          <w:tcPr>
            <w:tcW w:w="174" w:type="dxa"/>
            <w:tcBorders/>
            <w:vAlign w:val="bottom"/>
          </w:tcPr>
          <w:p>
            <w:pPr>
              <w:pStyle w:val="TableContents"/>
              <w:bidi w:val="0"/>
              <w:spacing w:before="0" w:after="283"/>
              <w:jc w:val="left"/>
              <w:rPr>
                <w:b/>
              </w:rPr>
            </w:pPr>
            <w:r>
              <w:rPr>
                <w:b/>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943"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662"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payables are non-interest bearing and are normally settled on 60-day terms. Increase in trade payables year over year was primarily due to increase in business and product development activities and to the costs related to the BCA transaction as described under note 2 (E).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PAYABLES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88"/>
        <w:gridCol w:w="255"/>
        <w:gridCol w:w="60"/>
        <w:gridCol w:w="759"/>
        <w:gridCol w:w="157"/>
        <w:gridCol w:w="255"/>
        <w:gridCol w:w="60"/>
        <w:gridCol w:w="759"/>
        <w:gridCol w:w="162"/>
      </w:tblGrid>
      <w:tr>
        <w:trPr/>
        <w:tc>
          <w:tcPr>
            <w:tcW w:w="5288"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88"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0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62" w:type="dxa"/>
            <w:tcBorders/>
            <w:vAlign w:val="bottom"/>
          </w:tcPr>
          <w:p>
            <w:pPr>
              <w:pStyle w:val="TableContents"/>
              <w:bidi w:val="0"/>
              <w:spacing w:before="0" w:after="283"/>
              <w:jc w:val="left"/>
              <w:rPr/>
            </w:pPr>
            <w:r>
              <w:rPr/>
              <w:t> </w:t>
            </w:r>
          </w:p>
        </w:tc>
      </w:tr>
      <w:tr>
        <w:trPr/>
        <w:tc>
          <w:tcPr>
            <w:tcW w:w="5288" w:type="dxa"/>
            <w:tcBorders/>
            <w:vAlign w:val="bottom"/>
          </w:tcPr>
          <w:p>
            <w:pPr>
              <w:pStyle w:val="TableContents"/>
              <w:bidi w:val="0"/>
              <w:spacing w:before="0" w:after="283"/>
              <w:jc w:val="left"/>
              <w:rPr>
                <w:i/>
              </w:rPr>
            </w:pPr>
            <w:r>
              <w:rPr>
                <w:i/>
              </w:rPr>
              <w:t>in CHF thousands</w:t>
            </w:r>
          </w:p>
        </w:tc>
        <w:tc>
          <w:tcPr>
            <w:tcW w:w="255"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5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Payroll related accrual</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(2,249</w:t>
            </w:r>
          </w:p>
        </w:tc>
        <w:tc>
          <w:tcPr>
            <w:tcW w:w="15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(1,723</w:t>
            </w:r>
          </w:p>
        </w:tc>
        <w:tc>
          <w:tcPr>
            <w:tcW w:w="162" w:type="dxa"/>
            <w:tcBorders/>
            <w:shd w:fill="CCEEFF" w:val="clear"/>
            <w:vAlign w:val="bottom"/>
          </w:tcPr>
          <w:p>
            <w:pPr>
              <w:pStyle w:val="TableContents"/>
              <w:bidi w:val="0"/>
              <w:spacing w:before="0" w:after="283"/>
              <w:jc w:val="left"/>
              <w:rPr/>
            </w:pPr>
            <w:r>
              <w:rPr/>
              <w:t>) </w:t>
            </w:r>
          </w:p>
        </w:tc>
      </w:tr>
      <w:tr>
        <w:trPr/>
        <w:tc>
          <w:tcPr>
            <w:tcW w:w="5288" w:type="dxa"/>
            <w:tcBorders/>
          </w:tcPr>
          <w:p>
            <w:pPr>
              <w:pStyle w:val="TableContents"/>
              <w:bidi w:val="0"/>
              <w:spacing w:before="0" w:after="0"/>
              <w:jc w:val="left"/>
              <w:rPr>
                <w:rFonts w:ascii="Times New Roman" w:hAnsi="Times New Roman"/>
                <w:sz w:val="20"/>
              </w:rPr>
            </w:pPr>
            <w:r>
              <w:rPr>
                <w:rFonts w:ascii="Times New Roman" w:hAnsi="Times New Roman"/>
                <w:sz w:val="20"/>
              </w:rPr>
              <w:t>Accrued R&amp;D expense</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(4,805</w:t>
            </w:r>
          </w:p>
        </w:tc>
        <w:tc>
          <w:tcPr>
            <w:tcW w:w="157"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pPr>
            <w:r>
              <w:rPr/>
              <w:t>(730</w:t>
            </w:r>
          </w:p>
        </w:tc>
        <w:tc>
          <w:tcPr>
            <w:tcW w:w="162" w:type="dxa"/>
            <w:tcBorders/>
            <w:vAlign w:val="bottom"/>
          </w:tcPr>
          <w:p>
            <w:pPr>
              <w:pStyle w:val="TableContents"/>
              <w:bidi w:val="0"/>
              <w:spacing w:before="0" w:after="283"/>
              <w:jc w:val="left"/>
              <w:rPr/>
            </w:pPr>
            <w:r>
              <w:rPr/>
              <w:t>) </w:t>
            </w:r>
          </w:p>
        </w:tc>
      </w:tr>
      <w:tr>
        <w:trPr/>
        <w:tc>
          <w:tcPr>
            <w:tcW w:w="5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G&amp;A expense</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(956</w:t>
            </w:r>
          </w:p>
        </w:tc>
        <w:tc>
          <w:tcPr>
            <w:tcW w:w="157"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right"/>
              <w:rPr/>
            </w:pPr>
            <w:r>
              <w:rPr/>
              <w:t>(592</w:t>
            </w:r>
          </w:p>
        </w:tc>
        <w:tc>
          <w:tcPr>
            <w:tcW w:w="162" w:type="dxa"/>
            <w:tcBorders/>
            <w:shd w:fill="CCEEFF" w:val="clear"/>
            <w:vAlign w:val="bottom"/>
          </w:tcPr>
          <w:p>
            <w:pPr>
              <w:pStyle w:val="TableContents"/>
              <w:bidi w:val="0"/>
              <w:spacing w:before="0" w:after="283"/>
              <w:jc w:val="left"/>
              <w:rPr/>
            </w:pPr>
            <w:r>
              <w:rPr/>
              <w:t>) </w:t>
            </w:r>
          </w:p>
        </w:tc>
      </w:tr>
      <w:tr>
        <w:trPr/>
        <w:tc>
          <w:tcPr>
            <w:tcW w:w="5288"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28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b/>
              </w:rPr>
            </w:pPr>
            <w:r>
              <w:rPr>
                <w:b/>
              </w:rPr>
              <w:t>(8,011</w:t>
            </w:r>
          </w:p>
        </w:tc>
        <w:tc>
          <w:tcPr>
            <w:tcW w:w="157" w:type="dxa"/>
            <w:tcBorders/>
            <w:vAlign w:val="bottom"/>
          </w:tcPr>
          <w:p>
            <w:pPr>
              <w:pStyle w:val="TableContents"/>
              <w:bidi w:val="0"/>
              <w:spacing w:before="0" w:after="283"/>
              <w:jc w:val="left"/>
              <w:rPr>
                <w:b/>
              </w:rPr>
            </w:pPr>
            <w:r>
              <w:rPr>
                <w:b/>
              </w:rPr>
              <w:t>) </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right"/>
              <w:rPr>
                <w:b/>
              </w:rPr>
            </w:pPr>
            <w:r>
              <w:rPr>
                <w:b/>
              </w:rPr>
              <w:t>(3,045</w:t>
            </w:r>
          </w:p>
        </w:tc>
        <w:tc>
          <w:tcPr>
            <w:tcW w:w="162" w:type="dxa"/>
            <w:tcBorders/>
            <w:vAlign w:val="bottom"/>
          </w:tcPr>
          <w:p>
            <w:pPr>
              <w:pStyle w:val="TableContents"/>
              <w:bidi w:val="0"/>
              <w:spacing w:before="0" w:after="283"/>
              <w:jc w:val="left"/>
              <w:rPr>
                <w:b/>
              </w:rPr>
            </w:pPr>
            <w:r>
              <w:rPr>
                <w:b/>
              </w:rPr>
              <w:t>) </w:t>
            </w:r>
          </w:p>
        </w:tc>
      </w:tr>
      <w:tr>
        <w:trPr/>
        <w:tc>
          <w:tcPr>
            <w:tcW w:w="5288"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in the Payroll related accrual is mainly due to the increase in the headcount. The increase in the accrued Research &amp; Development (R&amp;D) expense compared to the previous year-end is mainly related to the Companys ongoing clinical studies. The increase in the accrued General and Administrative (G&amp;A) expense is primarily due to accrued cost in relation to the BCA as described under note 2 (E).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Commitments related to Novartis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2018, Oculis SA entered into an agreement with Novartis, under which Oculis licensed a novel topical anti-TNF alpha antibody, now renamed as OCS-02, for ophthalmic indications. As consideration for the licenses, Oculis SA is obligated to pay non-refundable, up-front license fees, predefined development and commercial milestone payments and royalties on net sales of licensed products. Royalties range from high one digit to low teens, based on sales thresholds. As of December 31, 2019, Oculis SA has paid in full the contractual non-refundable up-front fee of CHF 4,699 thousand. Oculis SA has not reached any milestones or royalties thresholds according to the agreement. If all predefined milestones will be reached, Oculis SA will be obligated to pay additional CHF 89.7 million ($97.0 million). Oculis SA expects to reach the first milestone payment of CHF 4.6 million ($5.0 million) in 2024. Royalties are based on net sales of licensed products, depending on the sales volumes 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Commitments related to Accure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2022, the Company entered into a License Agreement with Accure Therapeutics for the exclusive global licensing of its OCS-05 technology. Under this agreement, Oculis licensed a novel neuroprotective drug candidate, now renamed as OCS-05, for ophthalmic and other indications (refer to Note 8). As consideration for the licenses, Oculis SA is obligated to pay non-refundable, up-front license fees, predefined development and commercial milestone payments and royalties on net sales of licensed products. Royalties range from one digit to low teens, based on sales thresholds. As of December 31, 2022, Oculis SA has paid the full contractual non-refundable up-front fee of CHF 3,000 thousand and reimbursed costs in the amount of CHF 483 thousand. Oculis SA has not reached any milestones or royalties thresholds according to the agreement. If all predefined milestones will be reached, Oculis SA will be obligated to pay additional CHF 103.6 million ($112.1 million). In case of a commercialization, sublicense revenues will be subject to further royalty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Commitments related to Rennes University Collaboration Research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31, 2022, the Company entered into a collaboration research agreement with the Rennes University and CNRS in France. This agreement is for the research of Antisense Oligonucleotide (ASO) to modulate gene expressions. As consideration for the licenses, Oculis SA is obligated to pay non-refundable cost contribution, predefined development and commercial milestone payments and royalties on net sales of licensed products. Royalties are in low one digit range, based on sales thresholds. As of December 31, 2022, Oculis SA has paid the first contractual non-refundable cost contribution of CHF 27 thousand (27 thousand). Oculis SA has not reached any milestones or royalties thresholds according to the agreement. If all predefined milestones will be reached, Oculis SA will be obligated to pay additional CHF 6.9 million (7.0 million). In case of a commercialization, sublicense revenues will be subject to further royalty payments. </w:t>
      </w:r>
    </w:p>
    <w:p>
      <w:pPr>
        <w:pStyle w:val="TextBody"/>
        <w:bidi w:val="0"/>
        <w:spacing w:before="360" w:after="0"/>
        <w:jc w:val="left"/>
        <w:rPr>
          <w:rFonts w:ascii="Times New Roman" w:hAnsi="Times New Roman"/>
          <w:i/>
          <w:sz w:val="20"/>
        </w:rPr>
      </w:pPr>
      <w:r>
        <w:rPr>
          <w:rFonts w:ascii="Times New Roman" w:hAnsi="Times New Roman"/>
          <w:i/>
          <w:sz w:val="20"/>
        </w:rPr>
        <w:t xml:space="preserve">Commitments related to Sandoz GMP manufacturing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15, 2022, Oculis signed a Letter of Understanding (LoU) with Sandoz GmbH with respect to process transfer, scale-up and potential GMP manufacture of Oculis recombinant product OCS-02 (Product). The parties will negotiate certain definitive agreements such as a Manufacturing and Supply Agreement (MSA) for the future manufacturing and supply of the Product and certain related services. The activities under the LoU consist of three work packages (WP): Process optimization (WP1), Process Confirmation at Pilot Scale (WP2), and Analytical Method Validation (WP3). In order to start the preparatory work, an advance invoice of CHF 1,871 thousand (1,890 thousands) was made related to project management fees, 35% of WP1 and 35% of WP3. The total amount of payments committed under this LoU amounts to CHF 7,219 thousand (7,293 thousands) including raw materials.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conducts product research and development programs through collaborative programs that include, among others, arrangements with universities, contract research organizations and clinical research sites. Oculis has contractual arrangements with these organizations. As of December 31, 2022, commitments for external research projects total CHF 13,123 thousand (CHF 14,408 thousand, as of December 31, 2021) as detailed in the schedule below. The decrease compared to December 31, 2021, was due to advancements in clinical and technical developments, primarily for OCS-01 phase III clinical trials and OCS-02 CMC activities.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22"/>
        <w:gridCol w:w="251"/>
        <w:gridCol w:w="60"/>
        <w:gridCol w:w="694"/>
        <w:gridCol w:w="60"/>
        <w:gridCol w:w="251"/>
        <w:gridCol w:w="60"/>
        <w:gridCol w:w="694"/>
        <w:gridCol w:w="63"/>
      </w:tblGrid>
      <w:tr>
        <w:trPr/>
        <w:tc>
          <w:tcPr>
            <w:tcW w:w="5622"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22"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pPr>
            <w:r>
              <w:rPr/>
              <w:t>    </w:t>
            </w:r>
            <w:r>
              <w:rPr>
                <w:b/>
              </w:rPr>
              <w:t>As of</w:t>
              <w:br/>
              <w:t>December 31,    </w:t>
            </w:r>
          </w:p>
        </w:tc>
        <w:tc>
          <w:tcPr>
            <w:tcW w:w="63" w:type="dxa"/>
            <w:tcBorders/>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i/>
              </w:rPr>
            </w:pPr>
            <w:r>
              <w:rPr>
                <w:i/>
              </w:rPr>
              <w:t>in CHF thousands</w:t>
            </w:r>
          </w:p>
        </w:tc>
        <w:tc>
          <w:tcPr>
            <w:tcW w:w="251"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Within one year</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12,145</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pPr>
            <w:r>
              <w:rPr/>
              <w:t>13,307</w:t>
            </w:r>
          </w:p>
        </w:tc>
        <w:tc>
          <w:tcPr>
            <w:tcW w:w="63" w:type="dxa"/>
            <w:tcBorders/>
            <w:shd w:fill="CCEEFF" w:val="clear"/>
            <w:vAlign w:val="bottom"/>
          </w:tcPr>
          <w:p>
            <w:pPr>
              <w:pStyle w:val="TableContents"/>
              <w:bidi w:val="0"/>
              <w:spacing w:before="0" w:after="283"/>
              <w:jc w:val="left"/>
              <w:rPr/>
            </w:pPr>
            <w:r>
              <w:rPr/>
              <w:t> </w:t>
            </w:r>
          </w:p>
        </w:tc>
      </w:tr>
      <w:tr>
        <w:trPr/>
        <w:tc>
          <w:tcPr>
            <w:tcW w:w="5622" w:type="dxa"/>
            <w:tcBorders/>
          </w:tcPr>
          <w:p>
            <w:pPr>
              <w:pStyle w:val="TableContents"/>
              <w:bidi w:val="0"/>
              <w:spacing w:before="0" w:after="0"/>
              <w:jc w:val="left"/>
              <w:rPr>
                <w:rFonts w:ascii="Times New Roman" w:hAnsi="Times New Roman"/>
                <w:sz w:val="20"/>
              </w:rPr>
            </w:pPr>
            <w:r>
              <w:rPr>
                <w:rFonts w:ascii="Times New Roman" w:hAnsi="Times New Roman"/>
                <w:sz w:val="20"/>
              </w:rPr>
              <w:t>Between one and five years</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978</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1,101</w:t>
            </w:r>
          </w:p>
        </w:tc>
        <w:tc>
          <w:tcPr>
            <w:tcW w:w="63" w:type="dxa"/>
            <w:tcBorders/>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13,123</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right"/>
              <w:rPr>
                <w:b/>
              </w:rPr>
            </w:pPr>
            <w:r>
              <w:rPr>
                <w:b/>
              </w:rPr>
              <w:t>14,408</w:t>
            </w:r>
          </w:p>
        </w:tc>
        <w:tc>
          <w:tcPr>
            <w:tcW w:w="63" w:type="dxa"/>
            <w:tcBorders/>
            <w:shd w:fill="CCEEFF" w:val="clear"/>
            <w:vAlign w:val="bottom"/>
          </w:tcPr>
          <w:p>
            <w:pPr>
              <w:pStyle w:val="TableContents"/>
              <w:bidi w:val="0"/>
              <w:spacing w:before="0" w:after="283"/>
              <w:jc w:val="left"/>
              <w:rPr/>
            </w:pPr>
            <w:r>
              <w:rPr/>
              <w:t> </w:t>
            </w:r>
          </w:p>
        </w:tc>
      </w:tr>
      <w:tr>
        <w:trPr/>
        <w:tc>
          <w:tcPr>
            <w:tcW w:w="5622" w:type="dxa"/>
            <w:tcBorders/>
            <w:vAlign w:val="bottom"/>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Preferred shares redemption option </w:t>
      </w:r>
    </w:p>
    <w:p>
      <w:pPr>
        <w:pStyle w:val="TextBody"/>
        <w:bidi w:val="0"/>
        <w:spacing w:before="120" w:after="0"/>
        <w:jc w:val="left"/>
        <w:rPr>
          <w:rFonts w:ascii="Times New Roman" w:hAnsi="Times New Roman"/>
          <w:sz w:val="20"/>
        </w:rPr>
      </w:pPr>
      <w:r>
        <w:rPr>
          <w:rFonts w:ascii="Times New Roman" w:hAnsi="Times New Roman"/>
          <w:sz w:val="20"/>
        </w:rPr>
        <w:t xml:space="preserve">Per the Series C Shareholders Agreement, a redemption option exists in April 2025 for a pre-specified qualified condition related to an initial public offering, with amounts equivalent to the sum of investors Series A, B and C investment, accrued dividends and applicable compounded interests at 0.00%, 6.00% and 8.00% for Series A, B and C shares, respectively, which could lead to a potential cash-outflow. As of December 31, 2022, the sum of amounts due related to the aforementioned redemption option was approximately CHF 135 million, reflecting investment amounts, cumulative accrued dividend and compounded interest for Series A, B and C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The recent Business Combination with EBAC on March 2, 2023 and NASDAQ listing the following day, meets the pre-specified qualified condition, hence the risk of redemption no longer applies. The preferred shares will be transferred to equity including the accrued dividend.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DISCLOSURES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Key management, including the Board of Directors and the Executive Management compensation were: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38"/>
        <w:gridCol w:w="277"/>
        <w:gridCol w:w="102"/>
        <w:gridCol w:w="965"/>
        <w:gridCol w:w="102"/>
        <w:gridCol w:w="342"/>
        <w:gridCol w:w="102"/>
        <w:gridCol w:w="965"/>
        <w:gridCol w:w="102"/>
        <w:gridCol w:w="342"/>
        <w:gridCol w:w="102"/>
        <w:gridCol w:w="969"/>
        <w:gridCol w:w="64"/>
      </w:tblGrid>
      <w:tr>
        <w:trPr/>
        <w:tc>
          <w:tcPr>
            <w:tcW w:w="4138"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38" w:type="dxa"/>
            <w:tcBorders/>
            <w:vAlign w:val="bottom"/>
          </w:tcPr>
          <w:p>
            <w:pPr>
              <w:pStyle w:val="TableContents"/>
              <w:bidi w:val="0"/>
              <w:spacing w:before="0" w:after="283"/>
              <w:jc w:val="left"/>
              <w:rPr>
                <w:i/>
              </w:rPr>
            </w:pPr>
            <w:r>
              <w:rPr>
                <w:i/>
              </w:rPr>
              <w:t>in CHF thousands</w:t>
            </w:r>
          </w:p>
        </w:tc>
        <w:tc>
          <w:tcPr>
            <w:tcW w:w="277" w:type="dxa"/>
            <w:tcBorders/>
            <w:vAlign w:val="bottom"/>
          </w:tcPr>
          <w:p>
            <w:pPr>
              <w:pStyle w:val="TableContents"/>
              <w:bidi w:val="0"/>
              <w:spacing w:before="0" w:after="283"/>
              <w:jc w:val="left"/>
              <w:rPr/>
            </w:pPr>
            <w:r>
              <w:rPr/>
              <w:t>  </w:t>
            </w:r>
          </w:p>
        </w:tc>
        <w:tc>
          <w:tcPr>
            <w:tcW w:w="4093" w:type="dxa"/>
            <w:gridSpan w:val="10"/>
            <w:tcBorders>
              <w:bottom w:val="single" w:sz="8" w:space="0" w:color="000000"/>
            </w:tcBorders>
            <w:tcMar>
              <w:bottom w:w="28" w:type="dxa"/>
            </w:tcMar>
            <w:vAlign w:val="bottom"/>
          </w:tcPr>
          <w:p>
            <w:pPr>
              <w:pStyle w:val="TableContents"/>
              <w:bidi w:val="0"/>
              <w:spacing w:before="0" w:after="283"/>
              <w:jc w:val="center"/>
              <w:rPr/>
            </w:pPr>
            <w:r>
              <w:rPr/>
              <w:t>    </w:t>
            </w:r>
            <w:r>
              <w:rPr>
                <w:b/>
              </w:rPr>
              <w:t>For the Years Ended December 31,    </w:t>
            </w:r>
          </w:p>
        </w:tc>
        <w:tc>
          <w:tcPr>
            <w:tcW w:w="64"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4"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Salaries and other short-term employee benefits</w:t>
            </w:r>
          </w:p>
        </w:tc>
        <w:tc>
          <w:tcPr>
            <w:tcW w:w="27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3,506</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3,071</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2,557</w:t>
            </w:r>
          </w:p>
        </w:tc>
        <w:tc>
          <w:tcPr>
            <w:tcW w:w="64"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Payroll expenses related to restricted stock</w:t>
            </w:r>
          </w:p>
        </w:tc>
        <w:tc>
          <w:tcPr>
            <w:tcW w:w="27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951</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170</w:t>
            </w:r>
          </w:p>
        </w:tc>
        <w:tc>
          <w:tcPr>
            <w:tcW w:w="64"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w:t>
            </w:r>
          </w:p>
        </w:tc>
        <w:tc>
          <w:tcPr>
            <w:tcW w:w="27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227</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pPr>
            <w:r>
              <w:rPr/>
              <w:t>264</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293</w:t>
            </w:r>
          </w:p>
        </w:tc>
        <w:tc>
          <w:tcPr>
            <w:tcW w:w="64"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77"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535</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251</w:t>
            </w:r>
          </w:p>
        </w:tc>
        <w:tc>
          <w:tcPr>
            <w:tcW w:w="102"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259</w:t>
            </w:r>
          </w:p>
        </w:tc>
        <w:tc>
          <w:tcPr>
            <w:tcW w:w="64"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65"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77"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b/>
              </w:rPr>
            </w:pPr>
            <w:r>
              <w:rPr>
                <w:b/>
              </w:rPr>
              <w:t>4,268</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5" w:type="dxa"/>
            <w:tcBorders/>
            <w:shd w:fill="CCEEFF" w:val="clear"/>
            <w:vAlign w:val="bottom"/>
          </w:tcPr>
          <w:p>
            <w:pPr>
              <w:pStyle w:val="TableContents"/>
              <w:bidi w:val="0"/>
              <w:spacing w:before="0" w:after="283"/>
              <w:jc w:val="right"/>
              <w:rPr>
                <w:b/>
              </w:rPr>
            </w:pPr>
            <w:r>
              <w:rPr>
                <w:b/>
              </w:rPr>
              <w:t>4,537</w:t>
            </w:r>
          </w:p>
        </w:tc>
        <w:tc>
          <w:tcPr>
            <w:tcW w:w="102"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b/>
              </w:rPr>
            </w:pPr>
            <w:r>
              <w:rPr>
                <w:b/>
              </w:rPr>
              <w:t>3,279</w:t>
            </w:r>
          </w:p>
        </w:tc>
        <w:tc>
          <w:tcPr>
            <w:tcW w:w="64" w:type="dxa"/>
            <w:tcBorders/>
            <w:shd w:fill="CCEEFF" w:val="clear"/>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5" w:type="dxa"/>
            <w:tcBorders/>
            <w:vAlign w:val="bottom"/>
          </w:tcPr>
          <w:p>
            <w:pPr>
              <w:pStyle w:val="TableContents"/>
              <w:pBdr>
                <w:top w:val="double" w:sz="6"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Short-term employee benefits include salaries, bonuses, social security and expense allowances.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INSTRUMENTS / RISK MANAGEMENT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Categories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As indicated in Note 3, all financial assets and liabilities are shown at amortized cost. The following table shows the carrying amounts of financial assets and liabilities: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32"/>
        <w:gridCol w:w="250"/>
        <w:gridCol w:w="60"/>
        <w:gridCol w:w="690"/>
        <w:gridCol w:w="60"/>
        <w:gridCol w:w="250"/>
        <w:gridCol w:w="60"/>
        <w:gridCol w:w="690"/>
        <w:gridCol w:w="63"/>
      </w:tblGrid>
      <w:tr>
        <w:trPr/>
        <w:tc>
          <w:tcPr>
            <w:tcW w:w="563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32" w:type="dxa"/>
            <w:tcBorders/>
            <w:vAlign w:val="bottom"/>
          </w:tcPr>
          <w:p>
            <w:pPr>
              <w:pStyle w:val="TableContents"/>
              <w:bidi w:val="0"/>
              <w:spacing w:before="0" w:after="283"/>
              <w:jc w:val="left"/>
              <w:rPr>
                <w:i/>
              </w:rPr>
            </w:pPr>
            <w:r>
              <w:rPr>
                <w:i/>
              </w:rPr>
              <w:t>in CHF thousands</w:t>
            </w:r>
          </w:p>
        </w:tc>
        <w:tc>
          <w:tcPr>
            <w:tcW w:w="250"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632" w:type="dxa"/>
            <w:tcBorders/>
            <w:vAlign w:val="bottom"/>
          </w:tcPr>
          <w:p>
            <w:pPr>
              <w:pStyle w:val="TableContents"/>
              <w:bidi w:val="0"/>
              <w:spacing w:before="0" w:after="283"/>
              <w:jc w:val="left"/>
              <w:rPr>
                <w:b/>
              </w:rPr>
            </w:pPr>
            <w:r>
              <w:rPr>
                <w:b/>
              </w:rPr>
              <w:t>Financial assets</w:t>
            </w:r>
          </w:p>
        </w:tc>
        <w:tc>
          <w:tcPr>
            <w:tcW w:w="250"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assets - non-current</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52</w:t>
            </w:r>
          </w:p>
        </w:tc>
        <w:tc>
          <w:tcPr>
            <w:tcW w:w="63" w:type="dxa"/>
            <w:tcBorders/>
            <w:shd w:fill="CCEEFF" w:val="clear"/>
            <w:vAlign w:val="bottom"/>
          </w:tcPr>
          <w:p>
            <w:pPr>
              <w:pStyle w:val="TableContents"/>
              <w:bidi w:val="0"/>
              <w:spacing w:before="0" w:after="283"/>
              <w:jc w:val="left"/>
              <w:rPr/>
            </w:pPr>
            <w:r>
              <w:rPr/>
              <w:t> </w:t>
            </w:r>
          </w:p>
        </w:tc>
      </w:tr>
      <w:tr>
        <w:trPr/>
        <w:tc>
          <w:tcPr>
            <w:tcW w:w="563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 (without prepaids)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151</w:t>
            </w:r>
          </w:p>
        </w:tc>
        <w:tc>
          <w:tcPr>
            <w:tcW w:w="63" w:type="dxa"/>
            <w:tcBorders/>
            <w:vAlign w:val="bottom"/>
          </w:tcPr>
          <w:p>
            <w:pPr>
              <w:pStyle w:val="TableContents"/>
              <w:bidi w:val="0"/>
              <w:spacing w:before="0" w:after="283"/>
              <w:jc w:val="left"/>
              <w:rPr/>
            </w:pPr>
            <w:r>
              <w:rPr/>
              <w:t> </w:t>
            </w:r>
          </w:p>
        </w:tc>
      </w:tr>
      <w:tr>
        <w:trPr/>
        <w:tc>
          <w:tcPr>
            <w:tcW w:w="5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912</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760</w:t>
            </w:r>
          </w:p>
        </w:tc>
        <w:tc>
          <w:tcPr>
            <w:tcW w:w="63" w:type="dxa"/>
            <w:tcBorders/>
            <w:shd w:fill="CCEEFF" w:val="clear"/>
            <w:vAlign w:val="bottom"/>
          </w:tcPr>
          <w:p>
            <w:pPr>
              <w:pStyle w:val="TableContents"/>
              <w:bidi w:val="0"/>
              <w:spacing w:before="0" w:after="283"/>
              <w:jc w:val="left"/>
              <w:rPr/>
            </w:pPr>
            <w:r>
              <w:rPr/>
              <w:t> </w:t>
            </w:r>
          </w:p>
        </w:tc>
      </w:tr>
      <w:tr>
        <w:trPr/>
        <w:tc>
          <w:tcPr>
            <w:tcW w:w="5632"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19,786</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46,277</w:t>
            </w:r>
          </w:p>
        </w:tc>
        <w:tc>
          <w:tcPr>
            <w:tcW w:w="63" w:type="dxa"/>
            <w:tcBorders/>
            <w:vAlign w:val="bottom"/>
          </w:tcPr>
          <w:p>
            <w:pPr>
              <w:pStyle w:val="TableContents"/>
              <w:bidi w:val="0"/>
              <w:spacing w:before="0" w:after="283"/>
              <w:jc w:val="left"/>
              <w:rPr/>
            </w:pPr>
            <w:r>
              <w:rPr/>
              <w:t> </w:t>
            </w:r>
          </w:p>
        </w:tc>
      </w:tr>
      <w:tr>
        <w:trPr/>
        <w:tc>
          <w:tcPr>
            <w:tcW w:w="563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3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b/>
              </w:rPr>
            </w:pPr>
            <w:r>
              <w:rPr>
                <w:b/>
              </w:rPr>
              <w:t>20,914</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b/>
              </w:rPr>
            </w:pPr>
            <w:r>
              <w:rPr>
                <w:b/>
              </w:rPr>
              <w:t>47,240</w:t>
            </w:r>
          </w:p>
        </w:tc>
        <w:tc>
          <w:tcPr>
            <w:tcW w:w="63" w:type="dxa"/>
            <w:tcBorders/>
            <w:shd w:fill="CCEEFF" w:val="clear"/>
            <w:vAlign w:val="bottom"/>
          </w:tcPr>
          <w:p>
            <w:pPr>
              <w:pStyle w:val="TableContents"/>
              <w:bidi w:val="0"/>
              <w:spacing w:before="0" w:after="283"/>
              <w:jc w:val="left"/>
              <w:rPr/>
            </w:pPr>
            <w:r>
              <w:rPr/>
              <w:t> </w:t>
            </w:r>
          </w:p>
        </w:tc>
      </w:tr>
      <w:tr>
        <w:trPr/>
        <w:tc>
          <w:tcPr>
            <w:tcW w:w="563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12"/>
        <w:gridCol w:w="241"/>
        <w:gridCol w:w="60"/>
        <w:gridCol w:w="809"/>
        <w:gridCol w:w="60"/>
        <w:gridCol w:w="241"/>
        <w:gridCol w:w="60"/>
        <w:gridCol w:w="809"/>
        <w:gridCol w:w="63"/>
      </w:tblGrid>
      <w:tr>
        <w:trPr/>
        <w:tc>
          <w:tcPr>
            <w:tcW w:w="5412"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2" w:type="dxa"/>
            <w:tcBorders/>
            <w:vAlign w:val="bottom"/>
          </w:tcPr>
          <w:p>
            <w:pPr>
              <w:pStyle w:val="TableContents"/>
              <w:bidi w:val="0"/>
              <w:spacing w:before="0" w:after="283"/>
              <w:jc w:val="left"/>
              <w:rPr>
                <w:i/>
              </w:rPr>
            </w:pPr>
            <w:r>
              <w:rPr>
                <w:i/>
              </w:rPr>
              <w:t>in CHF thousands</w:t>
            </w:r>
          </w:p>
        </w:tc>
        <w:tc>
          <w:tcPr>
            <w:tcW w:w="241" w:type="dxa"/>
            <w:tcBorders/>
            <w:vAlign w:val="bottom"/>
          </w:tcPr>
          <w:p>
            <w:pPr>
              <w:pStyle w:val="TableContents"/>
              <w:bidi w:val="0"/>
              <w:spacing w:before="0" w:after="283"/>
              <w:jc w:val="left"/>
              <w:rPr/>
            </w:pPr>
            <w:r>
              <w:rPr/>
              <w:t>  </w:t>
            </w:r>
          </w:p>
        </w:tc>
        <w:tc>
          <w:tcPr>
            <w:tcW w:w="20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4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liabilities</w:t>
            </w:r>
          </w:p>
        </w:tc>
        <w:tc>
          <w:tcPr>
            <w:tcW w:w="241"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3" w:type="dxa"/>
            <w:tcBorders/>
            <w:vAlign w:val="bottom"/>
          </w:tcPr>
          <w:p>
            <w:pPr>
              <w:pStyle w:val="TableContents"/>
              <w:bidi w:val="0"/>
              <w:spacing w:before="0" w:after="283"/>
              <w:jc w:val="left"/>
              <w:rPr/>
            </w:pPr>
            <w:r>
              <w:rPr/>
              <w:t> </w:t>
            </w:r>
          </w:p>
        </w:tc>
      </w:tr>
      <w:tr>
        <w:trPr/>
        <w:tc>
          <w:tcPr>
            <w:tcW w:w="5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3,867</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824</w:t>
            </w:r>
          </w:p>
        </w:tc>
        <w:tc>
          <w:tcPr>
            <w:tcW w:w="63" w:type="dxa"/>
            <w:tcBorders/>
            <w:shd w:fill="CCEEFF" w:val="clear"/>
            <w:vAlign w:val="bottom"/>
          </w:tcPr>
          <w:p>
            <w:pPr>
              <w:pStyle w:val="TableContents"/>
              <w:bidi w:val="0"/>
              <w:spacing w:before="0" w:after="283"/>
              <w:jc w:val="left"/>
              <w:rPr/>
            </w:pPr>
            <w:r>
              <w:rPr/>
              <w:t> </w:t>
            </w:r>
          </w:p>
        </w:tc>
      </w:tr>
      <w:tr>
        <w:trPr/>
        <w:tc>
          <w:tcPr>
            <w:tcW w:w="5412"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8,011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3,045</w:t>
            </w:r>
          </w:p>
        </w:tc>
        <w:tc>
          <w:tcPr>
            <w:tcW w:w="63" w:type="dxa"/>
            <w:tcBorders/>
            <w:vAlign w:val="bottom"/>
          </w:tcPr>
          <w:p>
            <w:pPr>
              <w:pStyle w:val="TableContents"/>
              <w:bidi w:val="0"/>
              <w:spacing w:before="0" w:after="283"/>
              <w:jc w:val="left"/>
              <w:rPr/>
            </w:pPr>
            <w:r>
              <w:rPr/>
              <w:t> </w:t>
            </w:r>
          </w:p>
        </w:tc>
      </w:tr>
      <w:tr>
        <w:trPr/>
        <w:tc>
          <w:tcPr>
            <w:tcW w:w="54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633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770</w:t>
            </w:r>
          </w:p>
        </w:tc>
        <w:tc>
          <w:tcPr>
            <w:tcW w:w="63" w:type="dxa"/>
            <w:tcBorders/>
            <w:shd w:fill="CCEEFF" w:val="clear"/>
            <w:vAlign w:val="bottom"/>
          </w:tcPr>
          <w:p>
            <w:pPr>
              <w:pStyle w:val="TableContents"/>
              <w:bidi w:val="0"/>
              <w:spacing w:before="0" w:after="283"/>
              <w:jc w:val="left"/>
              <w:rPr/>
            </w:pPr>
            <w:r>
              <w:rPr/>
              <w:t> </w:t>
            </w:r>
          </w:p>
        </w:tc>
      </w:tr>
      <w:tr>
        <w:trPr/>
        <w:tc>
          <w:tcPr>
            <w:tcW w:w="5412" w:type="dxa"/>
            <w:tcBorders/>
          </w:tcPr>
          <w:p>
            <w:pPr>
              <w:pStyle w:val="TableContents"/>
              <w:bidi w:val="0"/>
              <w:spacing w:before="0" w:after="0"/>
              <w:jc w:val="left"/>
              <w:rPr>
                <w:rFonts w:ascii="Times New Roman" w:hAnsi="Times New Roman"/>
                <w:sz w:val="20"/>
              </w:rPr>
            </w:pPr>
            <w:r>
              <w:rPr>
                <w:rFonts w:ascii="Times New Roman" w:hAnsi="Times New Roman"/>
                <w:sz w:val="20"/>
              </w:rPr>
              <w:t>Long-term financial debt related to preferred shares/accrued dividend</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122,449</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113,502</w:t>
            </w:r>
          </w:p>
        </w:tc>
        <w:tc>
          <w:tcPr>
            <w:tcW w:w="63" w:type="dxa"/>
            <w:tcBorders/>
            <w:vAlign w:val="bottom"/>
          </w:tcPr>
          <w:p>
            <w:pPr>
              <w:pStyle w:val="TableContents"/>
              <w:bidi w:val="0"/>
              <w:spacing w:before="0" w:after="283"/>
              <w:jc w:val="left"/>
              <w:rPr/>
            </w:pPr>
            <w:r>
              <w:rPr/>
              <w:t> </w:t>
            </w:r>
          </w:p>
        </w:tc>
      </w:tr>
      <w:tr>
        <w:trPr/>
        <w:tc>
          <w:tcPr>
            <w:tcW w:w="5412"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134,960</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118,141</w:t>
            </w:r>
          </w:p>
        </w:tc>
        <w:tc>
          <w:tcPr>
            <w:tcW w:w="63" w:type="dxa"/>
            <w:tcBorders/>
            <w:shd w:fill="CCEEFF" w:val="clear"/>
            <w:vAlign w:val="bottom"/>
          </w:tcPr>
          <w:p>
            <w:pPr>
              <w:pStyle w:val="TableContents"/>
              <w:bidi w:val="0"/>
              <w:spacing w:before="0" w:after="283"/>
              <w:jc w:val="left"/>
              <w:rPr/>
            </w:pPr>
            <w:r>
              <w:rPr/>
              <w:t> </w:t>
            </w:r>
          </w:p>
        </w:tc>
      </w:tr>
      <w:tr>
        <w:trPr/>
        <w:tc>
          <w:tcPr>
            <w:tcW w:w="5412" w:type="dxa"/>
            <w:tcBorders/>
            <w:vAlign w:val="bottom"/>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is the net debt table of liabilities from financing activities: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15"/>
        <w:gridCol w:w="245"/>
        <w:gridCol w:w="64"/>
        <w:gridCol w:w="997"/>
        <w:gridCol w:w="155"/>
        <w:gridCol w:w="245"/>
        <w:gridCol w:w="94"/>
        <w:gridCol w:w="741"/>
        <w:gridCol w:w="155"/>
        <w:gridCol w:w="245"/>
        <w:gridCol w:w="60"/>
        <w:gridCol w:w="895"/>
        <w:gridCol w:w="161"/>
      </w:tblGrid>
      <w:tr>
        <w:trPr/>
        <w:tc>
          <w:tcPr>
            <w:tcW w:w="451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5" w:type="dxa"/>
            <w:tcBorders/>
            <w:vAlign w:val="bottom"/>
          </w:tcPr>
          <w:p>
            <w:pPr>
              <w:pStyle w:val="TableContents"/>
              <w:bidi w:val="0"/>
              <w:spacing w:before="0" w:after="283"/>
              <w:jc w:val="left"/>
              <w:rPr>
                <w:i/>
              </w:rPr>
            </w:pPr>
            <w:r>
              <w:rPr>
                <w:i/>
              </w:rPr>
              <w:t>in CHF thousands</w:t>
            </w:r>
          </w:p>
        </w:tc>
        <w:tc>
          <w:tcPr>
            <w:tcW w:w="245"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shares</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Leasing</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debt as of December 31, 2020</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b/>
              </w:rPr>
            </w:pPr>
            <w:r>
              <w:rPr>
                <w:b/>
              </w:rPr>
              <w:t>(53,978</w:t>
            </w:r>
          </w:p>
        </w:tc>
        <w:tc>
          <w:tcPr>
            <w:tcW w:w="155" w:type="dxa"/>
            <w:tcBorders/>
            <w:shd w:fill="CCEEFF" w:val="clear"/>
            <w:vAlign w:val="bottom"/>
          </w:tcPr>
          <w:p>
            <w:pPr>
              <w:pStyle w:val="TableContents"/>
              <w:bidi w:val="0"/>
              <w:spacing w:before="0" w:after="283"/>
              <w:jc w:val="left"/>
              <w:rPr>
                <w:b/>
              </w:rPr>
            </w:pPr>
            <w:r>
              <w:rPr>
                <w:b/>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(833</w:t>
            </w:r>
          </w:p>
        </w:tc>
        <w:tc>
          <w:tcPr>
            <w:tcW w:w="155" w:type="dxa"/>
            <w:tcBorders/>
            <w:shd w:fill="CCEEFF" w:val="clear"/>
            <w:vAlign w:val="bottom"/>
          </w:tcPr>
          <w:p>
            <w:pPr>
              <w:pStyle w:val="TableContents"/>
              <w:bidi w:val="0"/>
              <w:spacing w:before="0" w:after="283"/>
              <w:jc w:val="left"/>
              <w:rPr>
                <w:b/>
              </w:rPr>
            </w:pPr>
            <w:r>
              <w:rPr>
                <w:b/>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(54,811</w:t>
            </w:r>
          </w:p>
        </w:tc>
        <w:tc>
          <w:tcPr>
            <w:tcW w:w="161" w:type="dxa"/>
            <w:tcBorders/>
            <w:shd w:fill="CCEEFF" w:val="clear"/>
            <w:vAlign w:val="bottom"/>
          </w:tcPr>
          <w:p>
            <w:pPr>
              <w:pStyle w:val="TableContents"/>
              <w:bidi w:val="0"/>
              <w:spacing w:before="0" w:after="283"/>
              <w:jc w:val="left"/>
              <w:rPr>
                <w:b/>
              </w:rPr>
            </w:pPr>
            <w:r>
              <w:rPr>
                <w:b/>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Cashflows</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(56,096</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147</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(55,948</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calculated on Series B &amp; C shares</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(4,996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(4,996</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2021</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834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834</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Oculis SA office lease addition/remeasurement</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(28</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Interest calculated on leases</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(49</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Indexation for the period</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(26</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735</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753</w:t>
            </w:r>
          </w:p>
        </w:tc>
        <w:tc>
          <w:tcPr>
            <w:tcW w:w="161"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debt as of December 31, 2021</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b/>
              </w:rPr>
            </w:pPr>
            <w:r>
              <w:rPr>
                <w:b/>
              </w:rPr>
              <w:t>(113,502</w:t>
            </w:r>
          </w:p>
        </w:tc>
        <w:tc>
          <w:tcPr>
            <w:tcW w:w="155" w:type="dxa"/>
            <w:tcBorders/>
            <w:shd w:fill="CCEEFF" w:val="clear"/>
            <w:vAlign w:val="bottom"/>
          </w:tcPr>
          <w:p>
            <w:pPr>
              <w:pStyle w:val="TableContents"/>
              <w:bidi w:val="0"/>
              <w:spacing w:before="0" w:after="283"/>
              <w:jc w:val="left"/>
              <w:rPr>
                <w:b/>
              </w:rPr>
            </w:pPr>
            <w:r>
              <w:rPr>
                <w:b/>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b/>
              </w:rPr>
            </w:pPr>
            <w:r>
              <w:rPr>
                <w:b/>
              </w:rPr>
              <w:t>(770</w:t>
            </w:r>
          </w:p>
        </w:tc>
        <w:tc>
          <w:tcPr>
            <w:tcW w:w="155" w:type="dxa"/>
            <w:tcBorders/>
            <w:shd w:fill="CCEEFF" w:val="clear"/>
            <w:vAlign w:val="bottom"/>
          </w:tcPr>
          <w:p>
            <w:pPr>
              <w:pStyle w:val="TableContents"/>
              <w:bidi w:val="0"/>
              <w:spacing w:before="0" w:after="283"/>
              <w:jc w:val="left"/>
              <w:rPr>
                <w:b/>
              </w:rPr>
            </w:pPr>
            <w:r>
              <w:rPr>
                <w:b/>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b/>
              </w:rPr>
            </w:pPr>
            <w:r>
              <w:rPr>
                <w:b/>
              </w:rPr>
              <w:t>(114,272</w:t>
            </w:r>
          </w:p>
        </w:tc>
        <w:tc>
          <w:tcPr>
            <w:tcW w:w="161" w:type="dxa"/>
            <w:tcBorders/>
            <w:shd w:fill="CCEEFF" w:val="clear"/>
            <w:vAlign w:val="bottom"/>
          </w:tcPr>
          <w:p>
            <w:pPr>
              <w:pStyle w:val="TableContents"/>
              <w:bidi w:val="0"/>
              <w:spacing w:before="0" w:after="283"/>
              <w:jc w:val="left"/>
              <w:rPr>
                <w:b/>
              </w:rPr>
            </w:pPr>
            <w:r>
              <w:rPr>
                <w:b/>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Cashflows</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(2,030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(1,826</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calculated on Series B &amp; C shares</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(6,343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(6,343</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 related to 2022</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54</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calculated on leases</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(45</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Indexation for the period</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(70</w:t>
            </w:r>
          </w:p>
        </w:tc>
        <w:tc>
          <w:tcPr>
            <w:tcW w:w="161"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FX revaluation</w:t>
            </w:r>
          </w:p>
        </w:tc>
        <w:tc>
          <w:tcPr>
            <w:tcW w:w="2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(628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(580</w:t>
            </w:r>
          </w:p>
        </w:tc>
        <w:tc>
          <w:tcPr>
            <w:tcW w:w="161" w:type="dxa"/>
            <w:tcBorders/>
            <w:shd w:fill="CCEEFF" w:val="clear"/>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9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9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debt as of December 31, 2022</w:t>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b/>
              </w:rPr>
            </w:pPr>
            <w:r>
              <w:rPr>
                <w:b/>
              </w:rPr>
              <w:t>(122,449</w:t>
            </w:r>
          </w:p>
        </w:tc>
        <w:tc>
          <w:tcPr>
            <w:tcW w:w="155" w:type="dxa"/>
            <w:tcBorders/>
            <w:vAlign w:val="bottom"/>
          </w:tcPr>
          <w:p>
            <w:pPr>
              <w:pStyle w:val="TableContents"/>
              <w:bidi w:val="0"/>
              <w:spacing w:before="0" w:after="283"/>
              <w:jc w:val="left"/>
              <w:rPr>
                <w:b/>
              </w:rPr>
            </w:pPr>
            <w:r>
              <w:rPr>
                <w:b/>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b/>
              </w:rPr>
            </w:pPr>
            <w:r>
              <w:rPr>
                <w:b/>
              </w:rPr>
              <w:t>(633</w:t>
            </w:r>
          </w:p>
        </w:tc>
        <w:tc>
          <w:tcPr>
            <w:tcW w:w="155" w:type="dxa"/>
            <w:tcBorders/>
            <w:vAlign w:val="bottom"/>
          </w:tcPr>
          <w:p>
            <w:pPr>
              <w:pStyle w:val="TableContents"/>
              <w:bidi w:val="0"/>
              <w:spacing w:before="0" w:after="283"/>
              <w:jc w:val="left"/>
              <w:rPr>
                <w:b/>
              </w:rPr>
            </w:pPr>
            <w:r>
              <w:rPr>
                <w:b/>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b/>
              </w:rPr>
            </w:pPr>
            <w:r>
              <w:rPr>
                <w:b/>
              </w:rPr>
              <w:t>(123,082</w:t>
            </w:r>
          </w:p>
        </w:tc>
        <w:tc>
          <w:tcPr>
            <w:tcW w:w="161" w:type="dxa"/>
            <w:tcBorders/>
            <w:vAlign w:val="bottom"/>
          </w:tcPr>
          <w:p>
            <w:pPr>
              <w:pStyle w:val="TableContents"/>
              <w:bidi w:val="0"/>
              <w:spacing w:before="0" w:after="283"/>
              <w:jc w:val="left"/>
              <w:rPr>
                <w:b/>
              </w:rPr>
            </w:pPr>
            <w:r>
              <w:rPr>
                <w:b/>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9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9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Fair values </w:t>
      </w:r>
    </w:p>
    <w:p>
      <w:pPr>
        <w:pStyle w:val="TextBody"/>
        <w:bidi w:val="0"/>
        <w:spacing w:before="120" w:after="0"/>
        <w:jc w:val="left"/>
        <w:rPr>
          <w:rFonts w:ascii="Times New Roman" w:hAnsi="Times New Roman"/>
          <w:sz w:val="20"/>
        </w:rPr>
      </w:pPr>
      <w:r>
        <w:rPr>
          <w:rFonts w:ascii="Times New Roman" w:hAnsi="Times New Roman"/>
          <w:sz w:val="20"/>
        </w:rPr>
        <w:t xml:space="preserve">Due to their short-term nature, the carrying value of cash and cash equivalents, trade and other receivables and trade and other payables approximates their fair value. </w:t>
      </w:r>
    </w:p>
    <w:p>
      <w:pPr>
        <w:pStyle w:val="TextBody"/>
        <w:bidi w:val="0"/>
        <w:spacing w:before="240" w:after="0"/>
        <w:jc w:val="left"/>
        <w:rPr>
          <w:rFonts w:ascii="Times New Roman" w:hAnsi="Times New Roman"/>
          <w:sz w:val="20"/>
        </w:rPr>
      </w:pPr>
      <w:r>
        <w:rPr>
          <w:rFonts w:ascii="Times New Roman" w:hAnsi="Times New Roman"/>
          <w:sz w:val="20"/>
        </w:rPr>
        <w:t xml:space="preserve">For long-term financial debt, resulting from the issuance of preferred shares as described in Note 14, the fair value can be determined from the similar or identical instruments issued by the Company during 2022. This level 2 value resulted in a fair value of CHF 115,707 thousand compared to a book value of CHF 122,449 thousand. In 2021, these shares had a book value of CHF 113,502 thousand while the fair value was CHF 107,187 thousand. </w:t>
      </w:r>
    </w:p>
    <w:p>
      <w:pPr>
        <w:pStyle w:val="TextBody"/>
        <w:bidi w:val="0"/>
        <w:spacing w:before="360" w:after="0"/>
        <w:jc w:val="left"/>
        <w:rPr>
          <w:rFonts w:ascii="Times New Roman" w:hAnsi="Times New Roman"/>
          <w:b/>
          <w:sz w:val="20"/>
        </w:rPr>
      </w:pPr>
      <w:r>
        <w:rPr>
          <w:rFonts w:ascii="Times New Roman" w:hAnsi="Times New Roman"/>
          <w:b/>
          <w:sz w:val="20"/>
        </w:rPr>
        <w:t xml:space="preserve">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Since 2018 the Company implemented an Internal Control System (ICS), which includes a risk assessment. The ultimate responsibility of the risk management is of the Board of Directors and a yearly review takes place during one of the Board of Directors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is the risk that changes in market prices, such as foreign exchange rates, interest rates and equity prices will affect the Companys income or the value of its holdings of financial instruments. The objective of market risk management is to manage and control market risk exposures within acceptable parameters, while optimising the return.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risks </w:t>
      </w:r>
    </w:p>
    <w:p>
      <w:pPr>
        <w:pStyle w:val="TextBody"/>
        <w:bidi w:val="0"/>
        <w:spacing w:before="120" w:after="0"/>
        <w:jc w:val="left"/>
        <w:rPr>
          <w:rFonts w:ascii="Times New Roman" w:hAnsi="Times New Roman"/>
          <w:sz w:val="20"/>
        </w:rPr>
      </w:pPr>
      <w:r>
        <w:rPr>
          <w:rFonts w:ascii="Times New Roman" w:hAnsi="Times New Roman"/>
          <w:sz w:val="20"/>
        </w:rPr>
        <w:t xml:space="preserve">In 2020, the Group had all of its grant income and a significant part of its expenses, assets and liabilities denominated in Islandic Krona (ISK). Starting in 2020, Oculis is also present in the U.S. and France with local currencies in US Dollar and Euro. Starting in 2021, Oculis also reports figures in HKD from its subsidiary in Hong Kong.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demonstrates the sensitivity of reasonably possible changes in ISK, EUR, USD and HKD exchange rate on the Group net result or on equity: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24"/>
        <w:gridCol w:w="326"/>
        <w:gridCol w:w="230"/>
        <w:gridCol w:w="838"/>
        <w:gridCol w:w="155"/>
        <w:gridCol w:w="326"/>
        <w:gridCol w:w="122"/>
        <w:gridCol w:w="934"/>
        <w:gridCol w:w="155"/>
        <w:gridCol w:w="326"/>
        <w:gridCol w:w="122"/>
        <w:gridCol w:w="934"/>
        <w:gridCol w:w="155"/>
        <w:gridCol w:w="325"/>
        <w:gridCol w:w="122"/>
        <w:gridCol w:w="934"/>
        <w:gridCol w:w="160"/>
      </w:tblGrid>
      <w:tr>
        <w:trPr/>
        <w:tc>
          <w:tcPr>
            <w:tcW w:w="3224"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24"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5678" w:type="dxa"/>
            <w:gridSpan w:val="14"/>
            <w:tcBorders/>
            <w:vAlign w:val="bottom"/>
          </w:tcPr>
          <w:p>
            <w:pPr>
              <w:pStyle w:val="TableContents"/>
              <w:bidi w:val="0"/>
              <w:spacing w:before="0" w:after="283"/>
              <w:jc w:val="center"/>
              <w:rPr>
                <w:b/>
              </w:rPr>
            </w:pPr>
            <w:r>
              <w:rPr>
                <w:b/>
              </w:rPr>
              <w:t>For the Years Ended / As of December 31,</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CHF thousands</w:t>
            </w:r>
          </w:p>
        </w:tc>
        <w:tc>
          <w:tcPr>
            <w:tcW w:w="326" w:type="dxa"/>
            <w:tcBorders/>
            <w:vAlign w:val="bottom"/>
          </w:tcPr>
          <w:p>
            <w:pPr>
              <w:pStyle w:val="TableContents"/>
              <w:bidi w:val="0"/>
              <w:spacing w:before="0" w:after="283"/>
              <w:jc w:val="left"/>
              <w:rPr/>
            </w:pPr>
            <w:r>
              <w:rPr/>
              <w:t>  </w:t>
            </w:r>
          </w:p>
        </w:tc>
        <w:tc>
          <w:tcPr>
            <w:tcW w:w="26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5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Change in rate</w:t>
            </w:r>
          </w:p>
        </w:tc>
        <w:tc>
          <w:tcPr>
            <w:tcW w:w="326"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Impact on</w:t>
              <w:br/>
              <w:t>loss</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Impact on</w:t>
              <w:br/>
              <w:t>equity</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Impact on</w:t>
              <w:br/>
              <w:t>loss</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Impact on</w:t>
              <w:br/>
              <w:t>equity</w:t>
            </w:r>
          </w:p>
        </w:tc>
        <w:tc>
          <w:tcPr>
            <w:tcW w:w="160" w:type="dxa"/>
            <w:tcBorders/>
            <w:vAlign w:val="bottom"/>
          </w:tcPr>
          <w:p>
            <w:pPr>
              <w:pStyle w:val="TableContents"/>
              <w:bidi w:val="0"/>
              <w:spacing w:before="0" w:after="283"/>
              <w:jc w:val="left"/>
              <w:rPr/>
            </w:pPr>
            <w:r>
              <w:rPr/>
              <w:t> </w:t>
            </w:r>
          </w:p>
        </w:tc>
      </w:tr>
      <w:tr>
        <w:trPr/>
        <w:tc>
          <w:tcPr>
            <w:tcW w:w="32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ISK</w:t>
            </w:r>
          </w:p>
        </w:tc>
        <w:tc>
          <w:tcPr>
            <w:tcW w:w="3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(101</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125</w:t>
            </w:r>
          </w:p>
        </w:tc>
        <w:tc>
          <w:tcPr>
            <w:tcW w:w="160" w:type="dxa"/>
            <w:tcBorders/>
            <w:shd w:fill="CCEEFF" w:val="clear"/>
            <w:vAlign w:val="bottom"/>
          </w:tcPr>
          <w:p>
            <w:pPr>
              <w:pStyle w:val="TableContents"/>
              <w:bidi w:val="0"/>
              <w:spacing w:before="0" w:after="283"/>
              <w:jc w:val="left"/>
              <w:rPr/>
            </w:pPr>
            <w:r>
              <w:rPr/>
              <w:t> </w:t>
            </w:r>
          </w:p>
        </w:tc>
      </w:tr>
      <w:tr>
        <w:trPr/>
        <w:tc>
          <w:tcPr>
            <w:tcW w:w="3224" w:type="dxa"/>
            <w:tcBorders/>
          </w:tcPr>
          <w:p>
            <w:pPr>
              <w:pStyle w:val="TableContents"/>
              <w:bidi w:val="0"/>
              <w:spacing w:before="0" w:after="0"/>
              <w:jc w:val="left"/>
              <w:rPr>
                <w:rFonts w:ascii="Times New Roman" w:hAnsi="Times New Roman"/>
                <w:b/>
                <w:sz w:val="20"/>
              </w:rPr>
            </w:pPr>
            <w:r>
              <w:rPr>
                <w:rFonts w:ascii="Times New Roman" w:hAnsi="Times New Roman"/>
                <w:b/>
                <w:sz w:val="20"/>
              </w:rPr>
              <w:t>-5% ISK</w:t>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101</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(125</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2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EUR</w:t>
            </w:r>
          </w:p>
        </w:tc>
        <w:tc>
          <w:tcPr>
            <w:tcW w:w="3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w:t>
            </w:r>
          </w:p>
        </w:tc>
        <w:tc>
          <w:tcPr>
            <w:tcW w:w="160" w:type="dxa"/>
            <w:tcBorders/>
            <w:shd w:fill="CCEEFF" w:val="clear"/>
            <w:vAlign w:val="bottom"/>
          </w:tcPr>
          <w:p>
            <w:pPr>
              <w:pStyle w:val="TableContents"/>
              <w:bidi w:val="0"/>
              <w:spacing w:before="0" w:after="283"/>
              <w:jc w:val="left"/>
              <w:rPr/>
            </w:pPr>
            <w:r>
              <w:rPr/>
              <w:t> </w:t>
            </w:r>
          </w:p>
        </w:tc>
      </w:tr>
      <w:tr>
        <w:trPr/>
        <w:tc>
          <w:tcPr>
            <w:tcW w:w="3224" w:type="dxa"/>
            <w:tcBorders/>
          </w:tcPr>
          <w:p>
            <w:pPr>
              <w:pStyle w:val="TableContents"/>
              <w:bidi w:val="0"/>
              <w:spacing w:before="0" w:after="0"/>
              <w:jc w:val="left"/>
              <w:rPr>
                <w:rFonts w:ascii="Times New Roman" w:hAnsi="Times New Roman"/>
                <w:b/>
                <w:sz w:val="20"/>
              </w:rPr>
            </w:pPr>
            <w:r>
              <w:rPr>
                <w:rFonts w:ascii="Times New Roman" w:hAnsi="Times New Roman"/>
                <w:b/>
                <w:sz w:val="20"/>
              </w:rPr>
              <w:t>-5% EUR</w:t>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(99</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(5</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2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USD</w:t>
            </w:r>
          </w:p>
        </w:tc>
        <w:tc>
          <w:tcPr>
            <w:tcW w:w="3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138</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224" w:type="dxa"/>
            <w:tcBorders/>
          </w:tcPr>
          <w:p>
            <w:pPr>
              <w:pStyle w:val="TableContents"/>
              <w:bidi w:val="0"/>
              <w:spacing w:before="0" w:after="0"/>
              <w:jc w:val="left"/>
              <w:rPr>
                <w:rFonts w:ascii="Times New Roman" w:hAnsi="Times New Roman"/>
                <w:b/>
                <w:sz w:val="20"/>
              </w:rPr>
            </w:pPr>
            <w:r>
              <w:rPr>
                <w:rFonts w:ascii="Times New Roman" w:hAnsi="Times New Roman"/>
                <w:b/>
                <w:sz w:val="20"/>
              </w:rPr>
              <w:t>-5% USD</w:t>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22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HKD</w:t>
            </w:r>
          </w:p>
        </w:tc>
        <w:tc>
          <w:tcPr>
            <w:tcW w:w="326"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(174</w:t>
            </w:r>
          </w:p>
        </w:tc>
        <w:tc>
          <w:tcPr>
            <w:tcW w:w="160" w:type="dxa"/>
            <w:tcBorders/>
            <w:shd w:fill="CCEEFF" w:val="clear"/>
            <w:vAlign w:val="bottom"/>
          </w:tcPr>
          <w:p>
            <w:pPr>
              <w:pStyle w:val="TableContents"/>
              <w:bidi w:val="0"/>
              <w:spacing w:before="0" w:after="283"/>
              <w:jc w:val="left"/>
              <w:rPr/>
            </w:pPr>
            <w:r>
              <w:rPr/>
              <w:t>) </w:t>
            </w:r>
          </w:p>
        </w:tc>
      </w:tr>
      <w:tr>
        <w:trPr/>
        <w:tc>
          <w:tcPr>
            <w:tcW w:w="3224" w:type="dxa"/>
            <w:tcBorders/>
          </w:tcPr>
          <w:p>
            <w:pPr>
              <w:pStyle w:val="TableContents"/>
              <w:bidi w:val="0"/>
              <w:spacing w:before="0" w:after="0"/>
              <w:jc w:val="left"/>
              <w:rPr>
                <w:rFonts w:ascii="Times New Roman" w:hAnsi="Times New Roman"/>
                <w:b/>
                <w:sz w:val="20"/>
              </w:rPr>
            </w:pPr>
            <w:r>
              <w:rPr>
                <w:rFonts w:ascii="Times New Roman" w:hAnsi="Times New Roman"/>
                <w:b/>
                <w:sz w:val="20"/>
              </w:rPr>
              <w:t>-5% HKD</w:t>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174</w:t>
            </w:r>
          </w:p>
        </w:tc>
        <w:tc>
          <w:tcPr>
            <w:tcW w:w="160" w:type="dxa"/>
            <w:tcBorders/>
            <w:vAlign w:val="bottom"/>
          </w:tcPr>
          <w:p>
            <w:pPr>
              <w:pStyle w:val="TableContents"/>
              <w:bidi w:val="0"/>
              <w:spacing w:before="0" w:after="283"/>
              <w:jc w:val="left"/>
              <w:rPr/>
            </w:pPr>
            <w:r>
              <w:rPr/>
              <w:t> </w:t>
            </w:r>
          </w:p>
        </w:tc>
      </w:tr>
      <w:tr>
        <w:trPr/>
        <w:tc>
          <w:tcPr>
            <w:tcW w:w="3224"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22"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long-term financial liabilities, which result from the issuance of preferred shares as indicated in Note 14, bear a deemed interest resulting from the preferred dividend, due under certain circumstances, at a fixed rate of 6.00% per year. The other financial instruments of the Group are not bearing interest and are therefore not subject to interest rate risk. </w:t>
      </w:r>
    </w:p>
    <w:p>
      <w:pPr>
        <w:pStyle w:val="TextBody"/>
        <w:bidi w:val="0"/>
        <w:spacing w:before="360" w:after="0"/>
        <w:jc w:val="left"/>
        <w:rPr>
          <w:rFonts w:ascii="Times New Roman" w:hAnsi="Times New Roman"/>
          <w:b/>
          <w:sz w:val="20"/>
        </w:rPr>
      </w:pPr>
      <w:r>
        <w:rPr>
          <w:rFonts w:ascii="Times New Roman" w:hAnsi="Times New Roman"/>
          <w:b/>
          <w:sz w:val="20"/>
        </w:rPr>
        <w:t xml:space="preserve">Hedging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There are no hedging activities within the Group. </w:t>
      </w:r>
    </w:p>
    <w:p>
      <w:pPr>
        <w:pStyle w:val="TextBody"/>
        <w:bidi w:val="0"/>
        <w:spacing w:before="36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there is no material credit risk in the Group. The maximum exposure is the carrying amount of cash and other receivables. There is no concentration of credit risk within the Group. Furthermore, there is no significant credit risk on cash and cash equivalents.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risk </w:t>
      </w:r>
    </w:p>
    <w:p>
      <w:pPr>
        <w:pStyle w:val="TextBody"/>
        <w:bidi w:val="0"/>
        <w:spacing w:before="120" w:after="0"/>
        <w:jc w:val="left"/>
        <w:rPr>
          <w:rFonts w:ascii="Times New Roman" w:hAnsi="Times New Roman"/>
          <w:sz w:val="20"/>
        </w:rPr>
      </w:pPr>
      <w:r>
        <w:rPr>
          <w:rFonts w:ascii="Times New Roman" w:hAnsi="Times New Roman"/>
          <w:sz w:val="20"/>
        </w:rPr>
        <w:t xml:space="preserve">Liquidity risk is the risk that the Group will encounter difficulty in meeting the obligations associated with its financial liabilities that are settled by delivering cash or another financial asset. Liquidity management is performed by Group finance based on cash flow forecasts which are prepared on a rolling basis and focuses mainly on ensuring that the Group has sufficient cash to meet its operational needs. The Groups liquidity needs have been historically satisfied by issuing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financial instruments, except long-term financial liabilities and the long-term portion of the lease liabilities are due within one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26"/>
        <w:gridCol w:w="154"/>
        <w:gridCol w:w="98"/>
        <w:gridCol w:w="1328"/>
        <w:gridCol w:w="60"/>
        <w:gridCol w:w="154"/>
        <w:gridCol w:w="80"/>
        <w:gridCol w:w="926"/>
        <w:gridCol w:w="60"/>
        <w:gridCol w:w="154"/>
        <w:gridCol w:w="59"/>
        <w:gridCol w:w="801"/>
        <w:gridCol w:w="60"/>
        <w:gridCol w:w="154"/>
        <w:gridCol w:w="98"/>
        <w:gridCol w:w="1328"/>
        <w:gridCol w:w="60"/>
        <w:gridCol w:w="154"/>
        <w:gridCol w:w="96"/>
        <w:gridCol w:w="912"/>
        <w:gridCol w:w="60"/>
        <w:gridCol w:w="153"/>
        <w:gridCol w:w="60"/>
        <w:gridCol w:w="801"/>
        <w:gridCol w:w="69"/>
      </w:tblGrid>
      <w:tr>
        <w:trPr/>
        <w:tc>
          <w:tcPr>
            <w:tcW w:w="2326"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CHF thousands</w:t>
            </w:r>
          </w:p>
        </w:tc>
        <w:tc>
          <w:tcPr>
            <w:tcW w:w="154"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br/>
              <w:t>2022</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one year</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Over</w:t>
              <w:br/>
              <w:t>one year</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br/>
              <w:t>2021</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one year</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Over</w:t>
              <w:br/>
              <w:t>one year</w:t>
            </w:r>
          </w:p>
        </w:tc>
        <w:tc>
          <w:tcPr>
            <w:tcW w:w="69" w:type="dxa"/>
            <w:tcBorders/>
            <w:vAlign w:val="bottom"/>
          </w:tcPr>
          <w:p>
            <w:pPr>
              <w:pStyle w:val="TableContents"/>
              <w:bidi w:val="0"/>
              <w:spacing w:before="0" w:after="283"/>
              <w:jc w:val="left"/>
              <w:rPr/>
            </w:pPr>
            <w:r>
              <w:rPr/>
              <w:t> </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payables</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3,867</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3,867</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824</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824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payables</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8,011</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8,011</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3,045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3,045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financial debt</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170,988</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170,988</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167,113</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167,113</w:t>
            </w:r>
          </w:p>
        </w:tc>
        <w:tc>
          <w:tcPr>
            <w:tcW w:w="69" w:type="dxa"/>
            <w:tcBorders/>
            <w:shd w:fill="CCEEFF" w:val="clear"/>
            <w:vAlign w:val="bottom"/>
          </w:tcPr>
          <w:p>
            <w:pPr>
              <w:pStyle w:val="TableContents"/>
              <w:bidi w:val="0"/>
              <w:spacing w:before="0" w:after="283"/>
              <w:jc w:val="left"/>
              <w:rPr/>
            </w:pPr>
            <w:r>
              <w:rPr/>
              <w:t> </w:t>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743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594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845</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199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646</w:t>
            </w:r>
          </w:p>
        </w:tc>
        <w:tc>
          <w:tcPr>
            <w:tcW w:w="69" w:type="dxa"/>
            <w:tcBorders/>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9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183,609</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b/>
              </w:rPr>
            </w:pPr>
            <w:r>
              <w:rPr>
                <w:b/>
              </w:rPr>
              <w:t>12,027</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171,582</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b/>
              </w:rPr>
            </w:pPr>
            <w:r>
              <w:rPr>
                <w:b/>
              </w:rPr>
              <w:t>171,827</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b/>
              </w:rPr>
            </w:pPr>
            <w:r>
              <w:rPr>
                <w:b/>
              </w:rPr>
              <w:t>4,068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b/>
              </w:rPr>
            </w:pPr>
            <w:r>
              <w:rPr>
                <w:b/>
              </w:rPr>
              <w:t>167,759</w:t>
            </w:r>
          </w:p>
        </w:tc>
        <w:tc>
          <w:tcPr>
            <w:tcW w:w="69" w:type="dxa"/>
            <w:tcBorders/>
            <w:shd w:fill="CCEEFF" w:val="clear"/>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91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Long-term financial liabilities result from the issuance of preferred shares as indicated in Note 18. They might become due in the case of certain liquidation or exit events within the next year. </w:t>
      </w:r>
    </w:p>
    <w:p>
      <w:pPr>
        <w:pStyle w:val="TextBody"/>
        <w:bidi w:val="0"/>
        <w:spacing w:before="360" w:after="0"/>
        <w:jc w:val="left"/>
        <w:rPr>
          <w:rFonts w:ascii="Times New Roman" w:hAnsi="Times New Roman"/>
          <w:b/>
          <w:sz w:val="20"/>
        </w:rPr>
      </w:pPr>
      <w:r>
        <w:rPr>
          <w:rFonts w:ascii="Times New Roman" w:hAnsi="Times New Roman"/>
          <w:b/>
          <w:sz w:val="20"/>
        </w:rPr>
        <w:t xml:space="preserve">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Since its incorporation, the Group has primarily funded its operations through capital increases, and at the current development stage, the Group frequently raises new funds to finance its projects. Refer to Notes 14 and 15 for further details.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LOSS PER SHARE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042"/>
        <w:gridCol w:w="180"/>
        <w:gridCol w:w="60"/>
        <w:gridCol w:w="1113"/>
        <w:gridCol w:w="155"/>
        <w:gridCol w:w="180"/>
        <w:gridCol w:w="60"/>
        <w:gridCol w:w="1113"/>
        <w:gridCol w:w="155"/>
        <w:gridCol w:w="180"/>
        <w:gridCol w:w="60"/>
        <w:gridCol w:w="1112"/>
        <w:gridCol w:w="162"/>
      </w:tblGrid>
      <w:tr>
        <w:trPr/>
        <w:tc>
          <w:tcPr>
            <w:tcW w:w="4042"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4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41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162" w:type="dxa"/>
            <w:tcBorders/>
            <w:vAlign w:val="bottom"/>
          </w:tcPr>
          <w:p>
            <w:pPr>
              <w:pStyle w:val="TableContents"/>
              <w:bidi w:val="0"/>
              <w:spacing w:before="0" w:after="283"/>
              <w:jc w:val="left"/>
              <w:rPr/>
            </w:pPr>
            <w:r>
              <w:rPr/>
              <w:t> </w:t>
            </w:r>
          </w:p>
        </w:tc>
      </w:tr>
      <w:tr>
        <w:trPr/>
        <w:tc>
          <w:tcPr>
            <w:tcW w:w="4042"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162" w:type="dxa"/>
            <w:tcBorders/>
            <w:vAlign w:val="bottom"/>
          </w:tcPr>
          <w:p>
            <w:pPr>
              <w:pStyle w:val="TableContents"/>
              <w:bidi w:val="0"/>
              <w:spacing w:before="0" w:after="283"/>
              <w:jc w:val="left"/>
              <w:rPr/>
            </w:pPr>
            <w:r>
              <w:rPr/>
              <w:t> </w:t>
            </w:r>
          </w:p>
        </w:tc>
      </w:tr>
      <w:tr>
        <w:trPr/>
        <w:tc>
          <w:tcPr>
            <w:tcW w:w="4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for the period attributable to Oculis shareholders - in CHF thousands</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(38,698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(18,552</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(14,873</w:t>
            </w:r>
          </w:p>
        </w:tc>
        <w:tc>
          <w:tcPr>
            <w:tcW w:w="162" w:type="dxa"/>
            <w:tcBorders/>
            <w:shd w:fill="CCEEFF" w:val="clear"/>
            <w:vAlign w:val="bottom"/>
          </w:tcPr>
          <w:p>
            <w:pPr>
              <w:pStyle w:val="TableContents"/>
              <w:bidi w:val="0"/>
              <w:spacing w:before="0" w:after="283"/>
              <w:jc w:val="left"/>
              <w:rPr/>
            </w:pPr>
            <w:r>
              <w:rPr/>
              <w:t>) </w:t>
            </w:r>
          </w:p>
        </w:tc>
      </w:tr>
      <w:tr>
        <w:trPr/>
        <w:tc>
          <w:tcPr>
            <w:tcW w:w="404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per share</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1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loss for the period attributable to equity holders - in CHF</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(12.94</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(6.68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(5.77</w:t>
            </w:r>
          </w:p>
        </w:tc>
        <w:tc>
          <w:tcPr>
            <w:tcW w:w="162" w:type="dxa"/>
            <w:tcBorders/>
            <w:shd w:fill="CCEEFF" w:val="clear"/>
            <w:vAlign w:val="bottom"/>
          </w:tcPr>
          <w:p>
            <w:pPr>
              <w:pStyle w:val="TableContents"/>
              <w:bidi w:val="0"/>
              <w:spacing w:before="0" w:after="283"/>
              <w:jc w:val="left"/>
              <w:rPr/>
            </w:pPr>
            <w:r>
              <w:rPr/>
              <w:t>) </w:t>
            </w:r>
          </w:p>
        </w:tc>
      </w:tr>
      <w:tr>
        <w:trPr/>
        <w:tc>
          <w:tcPr>
            <w:tcW w:w="404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used to compute loss per share basic and diluted</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2,989,434</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2,777,589</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2,579,385</w:t>
            </w:r>
          </w:p>
        </w:tc>
        <w:tc>
          <w:tcPr>
            <w:tcW w:w="162" w:type="dxa"/>
            <w:tcBorders/>
            <w:vAlign w:val="bottom"/>
          </w:tcPr>
          <w:p>
            <w:pPr>
              <w:pStyle w:val="TableContents"/>
              <w:bidi w:val="0"/>
              <w:spacing w:before="0" w:after="283"/>
              <w:jc w:val="left"/>
              <w:rPr/>
            </w:pPr>
            <w:r>
              <w:rPr/>
              <w:t> </w:t>
            </w:r>
          </w:p>
        </w:tc>
      </w:tr>
      <w:tr>
        <w:trPr/>
        <w:tc>
          <w:tcPr>
            <w:tcW w:w="4042"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Since the Company has a loss for all periods presented, basic net loss per share is the same as diluted net loss per share. We have excluded from our calculation of diluted loss per share all potentially dilutive securities, including (i) share options and (ii) restricted stock awards subject to repurchase, as the inclusion of these awards would have been anti-dilutive. </w:t>
      </w:r>
    </w:p>
    <w:p>
      <w:pPr>
        <w:pStyle w:val="TextBody"/>
        <w:bidi w:val="0"/>
        <w:spacing w:before="240" w:after="0"/>
        <w:jc w:val="left"/>
        <w:rPr>
          <w:rFonts w:ascii="Times New Roman" w:hAnsi="Times New Roman"/>
          <w:sz w:val="20"/>
        </w:rPr>
      </w:pPr>
      <w:r>
        <w:rPr>
          <w:rFonts w:ascii="Times New Roman" w:hAnsi="Times New Roman"/>
          <w:sz w:val="20"/>
        </w:rPr>
        <w:t xml:space="preserve">Potentially dilutive securities that were not included in the diluted per share calculations because they would be anti-dilutive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84"/>
        <w:gridCol w:w="184"/>
        <w:gridCol w:w="60"/>
        <w:gridCol w:w="990"/>
        <w:gridCol w:w="60"/>
        <w:gridCol w:w="184"/>
        <w:gridCol w:w="60"/>
        <w:gridCol w:w="990"/>
        <w:gridCol w:w="60"/>
        <w:gridCol w:w="184"/>
        <w:gridCol w:w="60"/>
        <w:gridCol w:w="990"/>
        <w:gridCol w:w="66"/>
      </w:tblGrid>
      <w:tr>
        <w:trPr/>
        <w:tc>
          <w:tcPr>
            <w:tcW w:w="468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63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Years Ended December 31,</w:t>
            </w:r>
          </w:p>
        </w:tc>
        <w:tc>
          <w:tcPr>
            <w:tcW w:w="66" w:type="dxa"/>
            <w:tcBorders/>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2020</w:t>
            </w:r>
          </w:p>
        </w:tc>
        <w:tc>
          <w:tcPr>
            <w:tcW w:w="66"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options issued and outstanding</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1,542,108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1,127,585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976,220</w:t>
            </w:r>
          </w:p>
        </w:tc>
        <w:tc>
          <w:tcPr>
            <w:tcW w:w="66"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subject to repurchase</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221,204</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416,883</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179,608</w:t>
            </w:r>
          </w:p>
        </w:tc>
        <w:tc>
          <w:tcPr>
            <w:tcW w:w="66" w:type="dxa"/>
            <w:tcBorders/>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b/>
              </w:rPr>
            </w:pPr>
            <w:r>
              <w:rPr>
                <w:b/>
              </w:rPr>
              <w:t>1,763,312</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b/>
              </w:rPr>
            </w:pPr>
            <w:r>
              <w:rPr>
                <w:b/>
              </w:rPr>
              <w:t>1,544,468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b/>
              </w:rPr>
            </w:pPr>
            <w:r>
              <w:rPr>
                <w:b/>
              </w:rPr>
              <w:t>1,155,828</w:t>
            </w:r>
          </w:p>
        </w:tc>
        <w:tc>
          <w:tcPr>
            <w:tcW w:w="66" w:type="dxa"/>
            <w:tcBorders/>
            <w:shd w:fill="CCEEFF" w:val="clear"/>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2, 2023, the Company completed its BCA with EBAC, a special purpose acquisition company. Under the BCA and in accordance with applicable law, EBAC transferred into Oculis Holding AG, a public liability company incorporated and existing under the laws of Switzerland.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the Companys outstanding common and preferred shares converted into common shares of Oculis Holding AG at the effective exchange ratio. Similarly, the 2018 option plan is replaced by a new 2023 ESOP plan and outstanding options are converted to Oculis Holding AG options at the effective exchange ratio. In addition, existing equityholders of the Company were entitled to receive additional consideration in the form of an aggregate of 4,000,000 newly issued restricted shares of Oculis Holding AG, subject to predefined price targets of Oculis Holding AG shares. </w:t>
      </w:r>
    </w:p>
    <w:p>
      <w:pPr>
        <w:pStyle w:val="TextBody"/>
        <w:bidi w:val="0"/>
        <w:spacing w:before="240" w:after="0"/>
        <w:jc w:val="left"/>
        <w:rPr>
          <w:rFonts w:ascii="Times New Roman" w:hAnsi="Times New Roman"/>
          <w:sz w:val="20"/>
        </w:rPr>
      </w:pPr>
      <w:r>
        <w:rPr>
          <w:rFonts w:ascii="Times New Roman" w:hAnsi="Times New Roman"/>
          <w:sz w:val="20"/>
        </w:rPr>
        <w:t xml:space="preserve">Oculis Holding AG received gross proceeds of approximately CHF 97.4 million ($103.7 million) comprising CHF 12.0 million ($12.8 million) of cash held in EBACs trust account, CHF 85.4 million ($90.9 million) from PIPE investments and conversion of CLAs into common shares of Oculis Holding AG. The CLAs provided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same economic terms as the other PIPE investors considering a deemed value of CHF 9.39 ($10.00) per Oculis Holding AG share. EBAC public shareholders exercised their right to redeem their shares of EBAC Class A Common Stock for an amount of CHF 110.4 million ($117.5 million).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BCA, Oculis Holding AG was listed in NASDAQ with the ticker symbol for its Class A common shares OCS.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further material subsequent events to report and no events out of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fin394147_201"/>
      <w:bookmarkEnd w:id="35"/>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European Biotech Acquisition Corp. </w:t>
      </w:r>
    </w:p>
    <w:p>
      <w:pPr>
        <w:pStyle w:val="TextBody"/>
        <w:bidi w:val="0"/>
        <w:spacing w:before="360" w:after="0"/>
        <w:jc w:val="left"/>
        <w:rPr>
          <w:rFonts w:ascii="Times New Roman" w:hAnsi="Times New Roman"/>
          <w:sz w:val="20"/>
        </w:rPr>
      </w:pPr>
      <w:r>
        <w:rPr>
          <w:rFonts w:ascii="Times New Roman" w:hAnsi="Times New Roman"/>
          <w:b/>
          <w:sz w:val="20"/>
        </w:rPr>
        <w:t>Opinion on the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consolidated balance sheets of European Biotech Acquisition Corp. (the Company) as of December 31, 2022 and 2021, the related consolidated statements of operations</w:t>
      </w:r>
      <w:r>
        <w:rPr>
          <w:rFonts w:ascii="Times New Roman" w:hAnsi="Times New Roman"/>
          <w:b/>
          <w:sz w:val="20"/>
        </w:rPr>
        <w:t>,</w:t>
      </w:r>
      <w:r>
        <w:rPr>
          <w:rFonts w:ascii="Times New Roman" w:hAnsi="Times New Roman"/>
          <w:sz w:val="20"/>
        </w:rPr>
        <w:t xml:space="preserve"> changes in shareholders deficit and cash flows for the year ended December 31, 2022 and for the period from January 8, 2021 (inception) through December 31, 2021,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 ended December 31, 2022 and for the period from January 8, 2021 (inception) through December 31, 2021, in conformity with accounting principles generally accepted in the United States of America. </w:t>
      </w:r>
    </w:p>
    <w:p>
      <w:pPr>
        <w:pStyle w:val="TextBody"/>
        <w:bidi w:val="0"/>
        <w:spacing w:before="360" w:after="0"/>
        <w:jc w:val="left"/>
        <w:rPr>
          <w:rFonts w:ascii="Times New Roman" w:hAnsi="Times New Roman"/>
          <w:sz w:val="20"/>
        </w:rPr>
      </w:pPr>
      <w:r>
        <w:rPr>
          <w:rFonts w:ascii="Times New Roman" w:hAnsi="Times New Roman"/>
          <w:b/>
          <w:sz w:val="20"/>
        </w:rPr>
        <w:t>Explanatory Paragraph</w:t>
      </w:r>
      <w:r>
        <w:rPr>
          <w:rFonts w:ascii="Times New Roman" w:hAnsi="Times New Roman"/>
          <w:sz w:val="20"/>
        </w:rPr>
        <w:t xml:space="preserve"> </w:t>
      </w:r>
      <w:r>
        <w:rPr>
          <w:rFonts w:ascii="Times New Roman" w:hAnsi="Times New Roman"/>
          <w:b/>
          <w:sz w:val="20"/>
        </w:rPr>
        <w:t> Going Concern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more fully described in Note 1 to the consolidated financial statements, the Companys business plan is dependent on the completion of a business combination and the Company currently has a mandatory liquidation date of March 18, 2023. The Company has also determined that it will not have sufficient cash to cover obligations that come due within one year after issuance.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sz w:val="20"/>
        </w:rPr>
      </w:pPr>
      <w:r>
        <w:rPr>
          <w:rFonts w:ascii="Times New Roman" w:hAnsi="Times New Roman"/>
          <w:b/>
          <w:sz w:val="20"/>
        </w:rPr>
        <w:t>Basis for Opinion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Marcum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February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EUROPEAN BIOTECH ACQUISITION CORP. </w:t>
      </w:r>
    </w:p>
    <w:p>
      <w:pPr>
        <w:pStyle w:val="TextBody"/>
        <w:bidi w:val="0"/>
        <w:spacing w:before="0" w:after="0"/>
        <w:jc w:val="center"/>
        <w:rPr>
          <w:rFonts w:ascii="Times New Roman" w:hAnsi="Times New Roman"/>
          <w:b/>
          <w:sz w:val="20"/>
        </w:rPr>
      </w:pPr>
      <w:bookmarkStart w:id="36" w:name="fin394147_202"/>
      <w:bookmarkEnd w:id="36"/>
      <w:r>
        <w:rPr>
          <w:rFonts w:ascii="Times New Roman" w:hAnsi="Times New Roman"/>
          <w:b/>
          <w:sz w:val="20"/>
        </w:rPr>
        <w:t xml:space="preserve">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94"/>
        <w:gridCol w:w="222"/>
        <w:gridCol w:w="148"/>
        <w:gridCol w:w="1241"/>
        <w:gridCol w:w="156"/>
        <w:gridCol w:w="193"/>
        <w:gridCol w:w="148"/>
        <w:gridCol w:w="1241"/>
        <w:gridCol w:w="162"/>
      </w:tblGrid>
      <w:tr>
        <w:trPr/>
        <w:tc>
          <w:tcPr>
            <w:tcW w:w="6694"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9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1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2" w:type="dxa"/>
            <w:tcBorders/>
            <w:vAlign w:val="bottom"/>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308,488</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868,280</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48,149</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48,190</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356,637</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916,470</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129,396,138</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127,556,289</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129,752,775</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128,472,759</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Class A Ordinary Shares Subject to Possible Redemption and Shareholders Deficit:</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24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359,537</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241" w:type="dxa"/>
            <w:tcBorders/>
            <w:vAlign w:val="bottom"/>
          </w:tcPr>
          <w:p>
            <w:pPr>
              <w:pStyle w:val="TableContents"/>
              <w:bidi w:val="0"/>
              <w:spacing w:before="0" w:after="283"/>
              <w:jc w:val="right"/>
              <w:rPr/>
            </w:pPr>
            <w:r>
              <w:rPr/>
              <w:t>57,906</w:t>
            </w:r>
          </w:p>
        </w:tc>
        <w:tc>
          <w:tcPr>
            <w:tcW w:w="162" w:type="dxa"/>
            <w:tcBorders/>
            <w:vAlign w:val="bottom"/>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403,088</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447,295</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Capital tax payable</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32,943</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795,568</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505,201</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1,320,990</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2,641,980</w:t>
            </w:r>
          </w:p>
        </w:tc>
        <w:tc>
          <w:tcPr>
            <w:tcW w:w="162" w:type="dxa"/>
            <w:tcBorders/>
            <w:vAlign w:val="bottom"/>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legal fees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1,967,744</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4,464,174</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4,464,174</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8,548,476</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7,611,355</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$0.0001 par value; 12,754,784 shares at redemption value of $10.13 and $10.00 per share as of December 31, 2022 and 2021, respectively</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129,263,195</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127,547,840</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sz w:val="4"/>
                <w:szCs w:val="4"/>
              </w:rPr>
            </w:pPr>
            <w:r>
              <w:rPr>
                <w:sz w:val="4"/>
                <w:szCs w:val="4"/>
              </w:rPr>
            </w:r>
          </w:p>
        </w:tc>
        <w:tc>
          <w:tcPr>
            <w:tcW w:w="124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Preference shares, $0.0001 par value; 1,000,000 shares authorized; none issued and outstanding as of December 31, 2022 and 2021</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Class A ordinary shares, $0.0001 par value; 200,000,000 shares authorized; 455,096 shares issued and outstanding (excluding 12,754,784 shares subject to possible redemption) as of December 31, 2022 and 2021</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46</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46</w:t>
            </w:r>
          </w:p>
        </w:tc>
        <w:tc>
          <w:tcPr>
            <w:tcW w:w="162" w:type="dxa"/>
            <w:tcBorders/>
            <w:vAlign w:val="bottom"/>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ordinary shares, $0.0001 par value; 20,000,000 shares authorized; 3,188,696 shares issued and outstanding as of December 31, 2022 and 2021</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319</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319</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66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(8,059,261</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(6,686,801</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w:t>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(8,058,896</w:t>
            </w:r>
          </w:p>
        </w:tc>
        <w:tc>
          <w:tcPr>
            <w:tcW w:w="156"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(6,686,436</w:t>
            </w:r>
          </w:p>
        </w:tc>
        <w:tc>
          <w:tcPr>
            <w:tcW w:w="162" w:type="dxa"/>
            <w:tcBorders/>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2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66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Class A Ordinary Shares Subject to Possible Redemption and Shareholders Deficit</w:t>
            </w:r>
          </w:p>
        </w:tc>
        <w:tc>
          <w:tcPr>
            <w:tcW w:w="222"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129,752,775</w:t>
            </w:r>
          </w:p>
        </w:tc>
        <w:tc>
          <w:tcPr>
            <w:tcW w:w="156"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241" w:type="dxa"/>
            <w:tcBorders/>
            <w:shd w:fill="CCEEFF" w:val="clear"/>
            <w:vAlign w:val="bottom"/>
          </w:tcPr>
          <w:p>
            <w:pPr>
              <w:pStyle w:val="TableContents"/>
              <w:bidi w:val="0"/>
              <w:spacing w:before="0" w:after="283"/>
              <w:jc w:val="right"/>
              <w:rPr>
                <w:b/>
              </w:rPr>
            </w:pPr>
            <w:r>
              <w:rPr>
                <w:b/>
              </w:rPr>
              <w:t>128,472,759</w:t>
            </w:r>
          </w:p>
        </w:tc>
        <w:tc>
          <w:tcPr>
            <w:tcW w:w="162" w:type="dxa"/>
            <w:tcBorders/>
            <w:shd w:fill="CCEEFF" w:val="clear"/>
            <w:vAlign w:val="bottom"/>
          </w:tcPr>
          <w:p>
            <w:pPr>
              <w:pStyle w:val="TableContents"/>
              <w:bidi w:val="0"/>
              <w:spacing w:before="0" w:after="283"/>
              <w:jc w:val="left"/>
              <w:rPr/>
            </w:pPr>
            <w:r>
              <w:rPr/>
              <w:t> </w:t>
            </w:r>
          </w:p>
        </w:tc>
      </w:tr>
      <w:tr>
        <w:trPr/>
        <w:tc>
          <w:tcPr>
            <w:tcW w:w="6694"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2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EUROPEAN BIOTECH ACQUISITION CORP. </w:t>
      </w:r>
    </w:p>
    <w:p>
      <w:pPr>
        <w:pStyle w:val="TextBody"/>
        <w:bidi w:val="0"/>
        <w:spacing w:before="0" w:after="0"/>
        <w:jc w:val="center"/>
        <w:rPr>
          <w:rFonts w:ascii="Times New Roman" w:hAnsi="Times New Roman"/>
          <w:b/>
          <w:sz w:val="20"/>
        </w:rPr>
      </w:pPr>
      <w:bookmarkStart w:id="37" w:name="fin394147_203"/>
      <w:bookmarkEnd w:id="37"/>
      <w:r>
        <w:rPr>
          <w:rFonts w:ascii="Times New Roman" w:hAnsi="Times New Roman"/>
          <w:b/>
          <w:sz w:val="20"/>
        </w:rPr>
        <w:t xml:space="preserve">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83"/>
        <w:gridCol w:w="411"/>
        <w:gridCol w:w="159"/>
        <w:gridCol w:w="1288"/>
        <w:gridCol w:w="155"/>
        <w:gridCol w:w="368"/>
        <w:gridCol w:w="222"/>
        <w:gridCol w:w="1760"/>
        <w:gridCol w:w="159"/>
      </w:tblGrid>
      <w:tr>
        <w:trPr/>
        <w:tc>
          <w:tcPr>
            <w:tcW w:w="5683"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83" w:type="dxa"/>
            <w:tcBorders/>
            <w:vAlign w:val="bottom"/>
          </w:tcPr>
          <w:p>
            <w:pPr>
              <w:pStyle w:val="TableContents"/>
              <w:bidi w:val="0"/>
              <w:spacing w:before="0" w:after="283"/>
              <w:jc w:val="left"/>
              <w:rPr/>
            </w:pPr>
            <w:r>
              <w:rPr/>
              <w:t> </w:t>
            </w:r>
          </w:p>
        </w:tc>
        <w:tc>
          <w:tcPr>
            <w:tcW w:w="411"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2022</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Period</w:t>
              <w:br/>
              <w:t>From January 8,</w:t>
              <w:br/>
              <w:t>2021 (Inception)</w:t>
              <w:br/>
              <w:t>Through</w:t>
              <w:br/>
              <w:t>December 31, 2021</w:t>
            </w:r>
          </w:p>
        </w:tc>
        <w:tc>
          <w:tcPr>
            <w:tcW w:w="159"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2,594,033</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912,095</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expensesrelated party</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190,968</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187,742</w:t>
            </w:r>
          </w:p>
        </w:tc>
        <w:tc>
          <w:tcPr>
            <w:tcW w:w="159"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tax expense</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32,943</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(2,817,944</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(1,099,837</w:t>
            </w:r>
          </w:p>
        </w:tc>
        <w:tc>
          <w:tcPr>
            <w:tcW w:w="159"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(expenses):</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sz w:val="4"/>
                <w:szCs w:val="4"/>
              </w:rPr>
            </w:pPr>
            <w:r>
              <w:rPr>
                <w:sz w:val="4"/>
                <w:szCs w:val="4"/>
              </w:rPr>
            </w:r>
          </w:p>
        </w:tc>
        <w:tc>
          <w:tcPr>
            <w:tcW w:w="176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1,320,990</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2,884,910</w:t>
            </w:r>
          </w:p>
        </w:tc>
        <w:tc>
          <w:tcPr>
            <w:tcW w:w="159" w:type="dxa"/>
            <w:tcBorders/>
            <w:vAlign w:val="bottom"/>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from investments held in Trust Account</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1,839,849</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760" w:type="dxa"/>
            <w:tcBorders/>
            <w:shd w:fill="CCEEFF" w:val="clear"/>
            <w:vAlign w:val="bottom"/>
          </w:tcPr>
          <w:p>
            <w:pPr>
              <w:pStyle w:val="TableContents"/>
              <w:bidi w:val="0"/>
              <w:spacing w:before="0" w:after="283"/>
              <w:jc w:val="right"/>
              <w:rPr/>
            </w:pPr>
            <w:r>
              <w:rPr/>
              <w:t>8,445</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associated with derivative warrant liabilities</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(314,846</w:t>
            </w:r>
          </w:p>
        </w:tc>
        <w:tc>
          <w:tcPr>
            <w:tcW w:w="159"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176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342,895</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1,478,672</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of Class A ordinary shares subject to possible redemption, basic and diluted</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12,754,784</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10,199,476</w:t>
            </w:r>
          </w:p>
        </w:tc>
        <w:tc>
          <w:tcPr>
            <w:tcW w:w="159"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 Class A ordinary shares subject to possible redemption</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of non-redeemable Class A ordinary shares and Class B ordinary shares, basic</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3,643,792</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3,409,725</w:t>
            </w:r>
          </w:p>
        </w:tc>
        <w:tc>
          <w:tcPr>
            <w:tcW w:w="159"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net income per share, non-redeemable Class A ordinary shares and Class B ordinary shares</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of non-redeemable Class A ordinary shares and Class B ordinary shares, diluted</w:t>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3,643,792</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right"/>
              <w:rPr/>
            </w:pPr>
            <w:r>
              <w:rPr/>
              <w:t>3,465,069</w:t>
            </w:r>
          </w:p>
        </w:tc>
        <w:tc>
          <w:tcPr>
            <w:tcW w:w="159" w:type="dxa"/>
            <w:tcBorders/>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8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Diluted net income per share, non-redeemable Class A ordinary shares and Class B ordinary shares</w:t>
            </w:r>
          </w:p>
        </w:tc>
        <w:tc>
          <w:tcPr>
            <w:tcW w:w="41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0.02</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1760" w:type="dxa"/>
            <w:tcBorders/>
            <w:shd w:fill="CCEEFF" w:val="clear"/>
            <w:vAlign w:val="bottom"/>
          </w:tcPr>
          <w:p>
            <w:pPr>
              <w:pStyle w:val="TableContents"/>
              <w:bidi w:val="0"/>
              <w:spacing w:before="0" w:after="283"/>
              <w:jc w:val="right"/>
              <w:rPr/>
            </w:pPr>
            <w:r>
              <w:rPr/>
              <w:t>0.11</w:t>
            </w:r>
          </w:p>
        </w:tc>
        <w:tc>
          <w:tcPr>
            <w:tcW w:w="159" w:type="dxa"/>
            <w:tcBorders/>
            <w:shd w:fill="CCEEFF" w:val="clear"/>
            <w:vAlign w:val="bottom"/>
          </w:tcPr>
          <w:p>
            <w:pPr>
              <w:pStyle w:val="TableContents"/>
              <w:bidi w:val="0"/>
              <w:spacing w:before="0" w:after="283"/>
              <w:jc w:val="left"/>
              <w:rPr/>
            </w:pPr>
            <w:r>
              <w:rPr/>
              <w:t> </w:t>
            </w:r>
          </w:p>
        </w:tc>
      </w:tr>
      <w:tr>
        <w:trPr/>
        <w:tc>
          <w:tcPr>
            <w:tcW w:w="5683" w:type="dxa"/>
            <w:tcBorders/>
            <w:vAlign w:val="bottom"/>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176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EUROPEAN BIOTECH ACQUISITION CORP. </w:t>
      </w:r>
    </w:p>
    <w:p>
      <w:pPr>
        <w:pStyle w:val="TextBody"/>
        <w:bidi w:val="0"/>
        <w:spacing w:before="0" w:after="0"/>
        <w:jc w:val="center"/>
        <w:rPr>
          <w:rFonts w:ascii="Times New Roman" w:hAnsi="Times New Roman"/>
          <w:b/>
          <w:sz w:val="20"/>
        </w:rPr>
      </w:pPr>
      <w:bookmarkStart w:id="38" w:name="fin394147_204"/>
      <w:bookmarkEnd w:id="38"/>
      <w:r>
        <w:rPr>
          <w:rFonts w:ascii="Times New Roman" w:hAnsi="Times New Roman"/>
          <w:b/>
          <w:sz w:val="20"/>
        </w:rPr>
        <w:t xml:space="preserve">CONSOLIDATED STATEMENTS OF CHANGES IN SHAREHOLDERS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AND FOR THE PERIOD FROM JANUARY 8, 2021 (INCEPTION) THROUGH DECEMBER 31, 2021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3"/>
        <w:gridCol w:w="60"/>
        <w:gridCol w:w="60"/>
        <w:gridCol w:w="800"/>
        <w:gridCol w:w="60"/>
        <w:gridCol w:w="60"/>
        <w:gridCol w:w="301"/>
        <w:gridCol w:w="559"/>
        <w:gridCol w:w="60"/>
        <w:gridCol w:w="60"/>
        <w:gridCol w:w="60"/>
        <w:gridCol w:w="980"/>
        <w:gridCol w:w="155"/>
        <w:gridCol w:w="60"/>
        <w:gridCol w:w="230"/>
        <w:gridCol w:w="629"/>
        <w:gridCol w:w="155"/>
        <w:gridCol w:w="60"/>
        <w:gridCol w:w="140"/>
        <w:gridCol w:w="1055"/>
        <w:gridCol w:w="155"/>
        <w:gridCol w:w="60"/>
        <w:gridCol w:w="160"/>
        <w:gridCol w:w="1210"/>
        <w:gridCol w:w="155"/>
        <w:gridCol w:w="60"/>
        <w:gridCol w:w="145"/>
        <w:gridCol w:w="1225"/>
        <w:gridCol w:w="168"/>
      </w:tblGrid>
      <w:tr>
        <w:trPr/>
        <w:tc>
          <w:tcPr>
            <w:tcW w:w="132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7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Ordinary Shares</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9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Shareholders</w:t>
            </w:r>
            <w:r>
              <w:rPr/>
              <w:br/>
            </w:r>
            <w:r>
              <w:rPr>
                <w:b/>
              </w:rPr>
              <w:t>Deficit</w:t>
            </w:r>
          </w:p>
        </w:tc>
        <w:tc>
          <w:tcPr>
            <w:tcW w:w="168" w:type="dxa"/>
            <w:vMerge w:val="restart"/>
            <w:tcBorders/>
            <w:vAlign w:val="bottom"/>
          </w:tcPr>
          <w:p>
            <w:pPr>
              <w:pStyle w:val="TableContents"/>
              <w:bidi w:val="0"/>
              <w:spacing w:before="0" w:after="283"/>
              <w:jc w:val="left"/>
              <w:rPr/>
            </w:pPr>
            <w:r>
              <w:rPr/>
              <w:t> </w:t>
            </w:r>
          </w:p>
        </w:tc>
      </w:tr>
      <w:tr>
        <w:trPr/>
        <w:tc>
          <w:tcPr>
            <w:tcW w:w="1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9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68" w:type="dxa"/>
            <w:vMerge w:val="continue"/>
            <w:tcBorders/>
            <w:vAlign w:val="bottom"/>
          </w:tcPr>
          <w:p>
            <w:pPr>
              <w:pStyle w:val="Normal"/>
              <w:bidi w:val="0"/>
              <w:jc w:val="left"/>
              <w:rPr/>
            </w:pPr>
            <w:r>
              <w:rPr/>
            </w:r>
          </w:p>
        </w:tc>
      </w:tr>
      <w:tr>
        <w:trPr/>
        <w:tc>
          <w:tcPr>
            <w:tcW w:w="13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9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70" w:type="dxa"/>
            <w:gridSpan w:val="2"/>
            <w:vMerge w:val="continue"/>
            <w:tcBorders>
              <w:bottom w:val="single" w:sz="8" w:space="0" w:color="000000"/>
            </w:tcBorders>
            <w:tcMar>
              <w:bottom w:w="28" w:type="dxa"/>
            </w:tcMar>
            <w:vAlign w:val="bottom"/>
          </w:tcPr>
          <w:p>
            <w:pPr>
              <w:pStyle w:val="Normal"/>
              <w:bidi w:val="0"/>
              <w:jc w:val="left"/>
              <w:rPr/>
            </w:pPr>
            <w:r>
              <w:rPr/>
            </w:r>
          </w:p>
        </w:tc>
        <w:tc>
          <w:tcPr>
            <w:tcW w:w="168" w:type="dxa"/>
            <w:vMerge w:val="continue"/>
            <w:tcBorders/>
            <w:vAlign w:val="bottom"/>
          </w:tcPr>
          <w:p>
            <w:pPr>
              <w:pStyle w:val="Normal"/>
              <w:bidi w:val="0"/>
              <w:jc w:val="left"/>
              <w:rPr/>
            </w:pPr>
            <w:r>
              <w:rPr/>
            </w:r>
          </w:p>
        </w:tc>
      </w:tr>
      <w:tr>
        <w:trPr/>
        <w:tc>
          <w:tcPr>
            <w:tcW w:w="1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BalanceJanuary 8, 2021 (inception)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  </w:t>
            </w:r>
          </w:p>
        </w:tc>
        <w:tc>
          <w:tcPr>
            <w:tcW w:w="168" w:type="dxa"/>
            <w:tcBorders/>
            <w:shd w:fill="CCEEFF" w:val="clear"/>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Class B ordinary shares to Sponsor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3,450,000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345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24,655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25,000</w:t>
            </w:r>
          </w:p>
        </w:tc>
        <w:tc>
          <w:tcPr>
            <w:tcW w:w="168" w:type="dxa"/>
            <w:tcBorders/>
            <w:vAlign w:val="bottom"/>
          </w:tcPr>
          <w:p>
            <w:pPr>
              <w:pStyle w:val="TableContents"/>
              <w:bidi w:val="0"/>
              <w:spacing w:before="0" w:after="283"/>
              <w:jc w:val="left"/>
              <w:rPr/>
            </w:pPr>
            <w:r>
              <w:rPr/>
              <w:t> </w:t>
            </w:r>
          </w:p>
        </w:tc>
      </w:tr>
      <w:tr>
        <w:trPr/>
        <w:tc>
          <w:tcPr>
            <w:tcW w:w="1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 of units in private placement, less allocation to derivative warrant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4,210,756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4,210,800</w:t>
            </w:r>
          </w:p>
        </w:tc>
        <w:tc>
          <w:tcPr>
            <w:tcW w:w="168" w:type="dxa"/>
            <w:tcBorders/>
            <w:shd w:fill="CCEEFF" w:val="clear"/>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Sale of units in private placement, less allocation to derivative warrant liabilities, gross (over-allotment)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145,119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145,121</w:t>
            </w:r>
          </w:p>
        </w:tc>
        <w:tc>
          <w:tcPr>
            <w:tcW w:w="168" w:type="dxa"/>
            <w:tcBorders/>
            <w:vAlign w:val="bottom"/>
          </w:tcPr>
          <w:p>
            <w:pPr>
              <w:pStyle w:val="TableContents"/>
              <w:bidi w:val="0"/>
              <w:spacing w:before="0" w:after="283"/>
              <w:jc w:val="left"/>
              <w:rPr/>
            </w:pPr>
            <w:r>
              <w:rPr/>
              <w:t> </w:t>
            </w:r>
          </w:p>
        </w:tc>
      </w:tr>
      <w:tr>
        <w:trPr/>
        <w:tc>
          <w:tcPr>
            <w:tcW w:w="1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Forfeiture of Class B ordinary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(261,304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of Class A ordinary shares subject to possible redemption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(4,380,556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(8,165,473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(12,546,029</w:t>
            </w:r>
          </w:p>
        </w:tc>
        <w:tc>
          <w:tcPr>
            <w:tcW w:w="168" w:type="dxa"/>
            <w:tcBorders/>
            <w:vAlign w:val="bottom"/>
          </w:tcPr>
          <w:p>
            <w:pPr>
              <w:pStyle w:val="TableContents"/>
              <w:bidi w:val="0"/>
              <w:spacing w:before="0" w:after="283"/>
              <w:jc w:val="left"/>
              <w:rPr/>
            </w:pPr>
            <w:r>
              <w:rPr/>
              <w:t>) </w:t>
            </w:r>
          </w:p>
        </w:tc>
      </w:tr>
      <w:tr>
        <w:trPr/>
        <w:tc>
          <w:tcPr>
            <w:tcW w:w="1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1,478,672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1,478,672</w:t>
            </w:r>
          </w:p>
        </w:tc>
        <w:tc>
          <w:tcPr>
            <w:tcW w:w="168" w:type="dxa"/>
            <w:tcBorders/>
            <w:shd w:fill="CCEEFF" w:val="clear"/>
            <w:vAlign w:val="bottom"/>
          </w:tcPr>
          <w:p>
            <w:pPr>
              <w:pStyle w:val="TableContents"/>
              <w:bidi w:val="0"/>
              <w:spacing w:before="0" w:after="283"/>
              <w:jc w:val="left"/>
              <w:rPr/>
            </w:pPr>
            <w:r>
              <w:rPr/>
              <w:t> </w:t>
            </w:r>
          </w:p>
        </w:tc>
      </w:tr>
      <w:tr>
        <w:trPr/>
        <w:tc>
          <w:tcPr>
            <w:tcW w:w="1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BalanceDecember 31, 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455,096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b/>
              </w:rPr>
            </w:pPr>
            <w:r>
              <w:rPr>
                <w:b/>
              </w:rPr>
              <w:t>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3,188,696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b/>
              </w:rPr>
            </w:pPr>
            <w:r>
              <w:rPr>
                <w:b/>
              </w:rPr>
              <w:t>319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b/>
              </w:rPr>
            </w:pPr>
            <w:r>
              <w:rPr>
                <w:b/>
              </w:rPr>
              <w:t>(6,686,801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b/>
              </w:rPr>
            </w:pPr>
            <w:r>
              <w:rPr>
                <w:b/>
              </w:rPr>
              <w:t>(6,686,436</w:t>
            </w:r>
          </w:p>
        </w:tc>
        <w:tc>
          <w:tcPr>
            <w:tcW w:w="168" w:type="dxa"/>
            <w:tcBorders/>
            <w:vAlign w:val="bottom"/>
          </w:tcPr>
          <w:p>
            <w:pPr>
              <w:pStyle w:val="TableContents"/>
              <w:bidi w:val="0"/>
              <w:spacing w:before="0" w:after="283"/>
              <w:jc w:val="left"/>
              <w:rPr>
                <w:b/>
              </w:rPr>
            </w:pPr>
            <w:r>
              <w:rPr>
                <w:b/>
              </w:rPr>
              <w:t>) </w:t>
            </w:r>
          </w:p>
        </w:tc>
      </w:tr>
      <w:tr>
        <w:trPr/>
        <w:tc>
          <w:tcPr>
            <w:tcW w:w="13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Subsequent remeasurement of Class A ordinary shares subject to possible redemption amount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(1,715,355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(1,715,355</w:t>
            </w:r>
          </w:p>
        </w:tc>
        <w:tc>
          <w:tcPr>
            <w:tcW w:w="168" w:type="dxa"/>
            <w:tcBorders/>
            <w:shd w:fill="CCEEFF" w:val="clear"/>
            <w:vAlign w:val="bottom"/>
          </w:tcPr>
          <w:p>
            <w:pPr>
              <w:pStyle w:val="TableContents"/>
              <w:bidi w:val="0"/>
              <w:spacing w:before="0" w:after="283"/>
              <w:jc w:val="left"/>
              <w:rPr/>
            </w:pPr>
            <w:r>
              <w:rPr/>
              <w:t>) </w:t>
            </w:r>
          </w:p>
        </w:tc>
      </w:tr>
      <w:tr>
        <w:trPr/>
        <w:tc>
          <w:tcPr>
            <w:tcW w:w="132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342,895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342,895</w:t>
            </w:r>
          </w:p>
        </w:tc>
        <w:tc>
          <w:tcPr>
            <w:tcW w:w="168" w:type="dxa"/>
            <w:tcBorders/>
            <w:vAlign w:val="bottom"/>
          </w:tcPr>
          <w:p>
            <w:pPr>
              <w:pStyle w:val="TableContents"/>
              <w:bidi w:val="0"/>
              <w:spacing w:before="0" w:after="283"/>
              <w:jc w:val="left"/>
              <w:rPr/>
            </w:pPr>
            <w:r>
              <w:rPr/>
              <w:t> </w:t>
            </w:r>
          </w:p>
        </w:tc>
      </w:tr>
      <w:tr>
        <w:trPr/>
        <w:tc>
          <w:tcPr>
            <w:tcW w:w="1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13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455,096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3,188,696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319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b/>
              </w:rPr>
            </w:pPr>
            <w:r>
              <w:rPr>
                <w:b/>
              </w:rPr>
              <w:t>$</w:t>
            </w:r>
          </w:p>
        </w:tc>
        <w:tc>
          <w:tcPr>
            <w:tcW w:w="1210" w:type="dxa"/>
            <w:tcBorders/>
            <w:shd w:fill="CCEEFF" w:val="clear"/>
            <w:vAlign w:val="bottom"/>
          </w:tcPr>
          <w:p>
            <w:pPr>
              <w:pStyle w:val="TableContents"/>
              <w:bidi w:val="0"/>
              <w:spacing w:before="0" w:after="283"/>
              <w:jc w:val="right"/>
              <w:rPr>
                <w:b/>
              </w:rPr>
            </w:pPr>
            <w:r>
              <w:rPr>
                <w:b/>
              </w:rPr>
              <w:t>(8,059,261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(8,058,896</w:t>
            </w:r>
          </w:p>
        </w:tc>
        <w:tc>
          <w:tcPr>
            <w:tcW w:w="168" w:type="dxa"/>
            <w:tcBorders/>
            <w:shd w:fill="CCEEFF" w:val="clear"/>
            <w:vAlign w:val="bottom"/>
          </w:tcPr>
          <w:p>
            <w:pPr>
              <w:pStyle w:val="TableContents"/>
              <w:bidi w:val="0"/>
              <w:spacing w:before="0" w:after="283"/>
              <w:jc w:val="left"/>
              <w:rPr>
                <w:b/>
              </w:rPr>
            </w:pPr>
            <w:r>
              <w:rPr>
                <w:b/>
              </w:rPr>
              <w:t>) </w:t>
            </w:r>
          </w:p>
        </w:tc>
      </w:tr>
      <w:tr>
        <w:trPr/>
        <w:tc>
          <w:tcPr>
            <w:tcW w:w="13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EUROPEAN BIOTECH ACQUISITION CORP. </w:t>
      </w:r>
    </w:p>
    <w:p>
      <w:pPr>
        <w:pStyle w:val="TextBody"/>
        <w:bidi w:val="0"/>
        <w:spacing w:before="0" w:after="0"/>
        <w:jc w:val="center"/>
        <w:rPr>
          <w:rFonts w:ascii="Times New Roman" w:hAnsi="Times New Roman"/>
          <w:b/>
          <w:sz w:val="20"/>
        </w:rPr>
      </w:pPr>
      <w:bookmarkStart w:id="39" w:name="fin394147_205"/>
      <w:bookmarkEnd w:id="39"/>
      <w:r>
        <w:rPr>
          <w:rFonts w:ascii="Times New Roman" w:hAnsi="Times New Roman"/>
          <w:b/>
          <w:sz w:val="20"/>
        </w:rPr>
        <w:t xml:space="preserve">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5"/>
        <w:gridCol w:w="177"/>
        <w:gridCol w:w="229"/>
        <w:gridCol w:w="1729"/>
        <w:gridCol w:w="155"/>
        <w:gridCol w:w="118"/>
        <w:gridCol w:w="170"/>
        <w:gridCol w:w="1581"/>
        <w:gridCol w:w="155"/>
        <w:gridCol w:w="1158"/>
        <w:gridCol w:w="120"/>
        <w:gridCol w:w="140"/>
        <w:gridCol w:w="801"/>
        <w:gridCol w:w="60"/>
        <w:gridCol w:w="60"/>
        <w:gridCol w:w="140"/>
        <w:gridCol w:w="980"/>
        <w:gridCol w:w="67"/>
      </w:tblGrid>
      <w:tr>
        <w:trPr/>
        <w:tc>
          <w:tcPr>
            <w:tcW w:w="23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2365" w:type="dxa"/>
            <w:vMerge w:val="restart"/>
            <w:tcBorders/>
            <w:vAlign w:val="bottom"/>
          </w:tcPr>
          <w:p>
            <w:pPr>
              <w:pStyle w:val="TableContents"/>
              <w:bidi w:val="0"/>
              <w:spacing w:before="0" w:after="283"/>
              <w:jc w:val="left"/>
              <w:rPr/>
            </w:pPr>
            <w:r>
              <w:rPr/>
              <w:t> </w:t>
            </w:r>
          </w:p>
        </w:tc>
        <w:tc>
          <w:tcPr>
            <w:tcW w:w="177" w:type="dxa"/>
            <w:vMerge w:val="restart"/>
            <w:tcBorders/>
            <w:vAlign w:val="bottom"/>
          </w:tcPr>
          <w:p>
            <w:pPr>
              <w:pStyle w:val="TableContents"/>
              <w:bidi w:val="0"/>
              <w:spacing w:before="0" w:after="283"/>
              <w:jc w:val="left"/>
              <w:rPr/>
            </w:pPr>
            <w:r>
              <w:rPr/>
              <w:t>  </w:t>
            </w:r>
          </w:p>
        </w:tc>
        <w:tc>
          <w:tcPr>
            <w:tcW w:w="195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 2022</w:t>
            </w:r>
          </w:p>
        </w:tc>
        <w:tc>
          <w:tcPr>
            <w:tcW w:w="155" w:type="dxa"/>
            <w:vMerge w:val="restart"/>
            <w:tcBorders/>
            <w:vAlign w:val="bottom"/>
          </w:tcPr>
          <w:p>
            <w:pPr>
              <w:pStyle w:val="TableContents"/>
              <w:bidi w:val="0"/>
              <w:spacing w:before="0" w:after="283"/>
              <w:jc w:val="left"/>
              <w:rPr/>
            </w:pPr>
            <w:r>
              <w:rPr/>
              <w:t> </w:t>
            </w:r>
          </w:p>
        </w:tc>
        <w:tc>
          <w:tcPr>
            <w:tcW w:w="118" w:type="dxa"/>
            <w:vMerge w:val="restart"/>
            <w:tcBorders/>
            <w:vAlign w:val="bottom"/>
          </w:tcPr>
          <w:p>
            <w:pPr>
              <w:pStyle w:val="TableContents"/>
              <w:bidi w:val="0"/>
              <w:spacing w:before="0" w:after="283"/>
              <w:jc w:val="left"/>
              <w:rPr/>
            </w:pPr>
            <w:r>
              <w:rPr/>
              <w:t> </w:t>
            </w:r>
          </w:p>
        </w:tc>
        <w:tc>
          <w:tcPr>
            <w:tcW w:w="175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For The Period</w:t>
              <w:br/>
              <w:t>From January 8,</w:t>
              <w:br/>
              <w:t>2021 (Inception)</w:t>
              <w:br/>
              <w:t>Through</w:t>
              <w:br/>
              <w:t>December 31,</w:t>
              <w:br/>
              <w:t>2021</w:t>
            </w:r>
          </w:p>
        </w:tc>
        <w:tc>
          <w:tcPr>
            <w:tcW w:w="155" w:type="dxa"/>
            <w:vMerge w:val="restart"/>
            <w:tcBorders/>
            <w:vAlign w:val="bottom"/>
          </w:tcPr>
          <w:p>
            <w:pPr>
              <w:pStyle w:val="TableContents"/>
              <w:bidi w:val="0"/>
              <w:spacing w:before="0" w:after="283"/>
              <w:jc w:val="left"/>
              <w:rPr/>
            </w:pPr>
            <w:r>
              <w:rPr/>
              <w:t> </w:t>
            </w:r>
          </w:p>
        </w:tc>
        <w:tc>
          <w:tcPr>
            <w:tcW w:w="1158"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80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4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2365" w:type="dxa"/>
            <w:vMerge w:val="continue"/>
            <w:tcBorders/>
            <w:shd w:fill="CCEEFF" w:val="clear"/>
            <w:vAlign w:val="bottom"/>
          </w:tcPr>
          <w:p>
            <w:pPr>
              <w:pStyle w:val="Normal"/>
              <w:bidi w:val="0"/>
              <w:jc w:val="left"/>
              <w:rPr/>
            </w:pPr>
            <w:r>
              <w:rPr/>
            </w:r>
          </w:p>
        </w:tc>
        <w:tc>
          <w:tcPr>
            <w:tcW w:w="177" w:type="dxa"/>
            <w:vMerge w:val="continue"/>
            <w:tcBorders/>
            <w:shd w:fill="CCEEFF" w:val="clear"/>
            <w:vAlign w:val="bottom"/>
          </w:tcPr>
          <w:p>
            <w:pPr>
              <w:pStyle w:val="Normal"/>
              <w:bidi w:val="0"/>
              <w:jc w:val="left"/>
              <w:rPr/>
            </w:pPr>
            <w:r>
              <w:rPr/>
            </w:r>
          </w:p>
        </w:tc>
        <w:tc>
          <w:tcPr>
            <w:tcW w:w="1958"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18"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751" w:type="dxa"/>
            <w:gridSpan w:val="2"/>
            <w:vMerge w:val="continue"/>
            <w:tcBorders/>
            <w:shd w:fill="CCEEFF" w:val="cle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1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365" w:type="dxa"/>
            <w:vMerge w:val="continue"/>
            <w:tcBorders/>
            <w:vAlign w:val="bottom"/>
          </w:tcPr>
          <w:p>
            <w:pPr>
              <w:pStyle w:val="Normal"/>
              <w:bidi w:val="0"/>
              <w:jc w:val="left"/>
              <w:rPr/>
            </w:pPr>
            <w:r>
              <w:rPr/>
            </w:r>
          </w:p>
        </w:tc>
        <w:tc>
          <w:tcPr>
            <w:tcW w:w="177" w:type="dxa"/>
            <w:vMerge w:val="continue"/>
            <w:tcBorders/>
            <w:vAlign w:val="bottom"/>
          </w:tcPr>
          <w:p>
            <w:pPr>
              <w:pStyle w:val="Normal"/>
              <w:bidi w:val="0"/>
              <w:jc w:val="left"/>
              <w:rPr/>
            </w:pPr>
            <w:r>
              <w:rPr/>
            </w:r>
          </w:p>
        </w:tc>
        <w:tc>
          <w:tcPr>
            <w:tcW w:w="1958"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8" w:type="dxa"/>
            <w:vMerge w:val="continue"/>
            <w:tcBorders>
              <w:bottom w:val="single" w:sz="8" w:space="0" w:color="000000"/>
            </w:tcBorders>
            <w:tcMar>
              <w:bottom w:w="28" w:type="dxa"/>
            </w:tcMar>
            <w:vAlign w:val="bottom"/>
          </w:tcPr>
          <w:p>
            <w:pPr>
              <w:pStyle w:val="Normal"/>
              <w:bidi w:val="0"/>
              <w:jc w:val="left"/>
              <w:rPr/>
            </w:pPr>
            <w:r>
              <w:rPr/>
            </w:r>
          </w:p>
        </w:tc>
        <w:tc>
          <w:tcPr>
            <w:tcW w:w="1751"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342,895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1,478,672</w:t>
            </w:r>
          </w:p>
        </w:tc>
        <w:tc>
          <w:tcPr>
            <w:tcW w:w="67" w:type="dxa"/>
            <w:tcBorders/>
            <w:vAlign w:val="bottom"/>
          </w:tcPr>
          <w:p>
            <w:pPr>
              <w:pStyle w:val="TableContents"/>
              <w:bidi w:val="0"/>
              <w:spacing w:before="0" w:after="283"/>
              <w:jc w:val="left"/>
              <w:rPr/>
            </w:pPr>
            <w:r>
              <w:rPr/>
              <w:t> </w:t>
            </w:r>
          </w:p>
        </w:tc>
      </w:tr>
      <w:tr>
        <w:trPr/>
        <w:tc>
          <w:tcPr>
            <w:tcW w:w="2365" w:type="dxa"/>
            <w:vMerge w:val="continue"/>
            <w:tcBorders/>
            <w:shd w:fill="CCEEFF" w:val="clear"/>
            <w:vAlign w:val="bottom"/>
          </w:tcPr>
          <w:p>
            <w:pPr>
              <w:pStyle w:val="Normal"/>
              <w:bidi w:val="0"/>
              <w:jc w:val="left"/>
              <w:rPr/>
            </w:pPr>
            <w:r>
              <w:rPr/>
            </w:r>
          </w:p>
        </w:tc>
        <w:tc>
          <w:tcPr>
            <w:tcW w:w="177" w:type="dxa"/>
            <w:vMerge w:val="continue"/>
            <w:tcBorders/>
            <w:shd w:fill="CCEEFF" w:val="clear"/>
            <w:vAlign w:val="bottom"/>
          </w:tcPr>
          <w:p>
            <w:pPr>
              <w:pStyle w:val="Normal"/>
              <w:bidi w:val="0"/>
              <w:jc w:val="left"/>
              <w:rPr/>
            </w:pPr>
            <w:r>
              <w:rPr/>
            </w:r>
          </w:p>
        </w:tc>
        <w:tc>
          <w:tcPr>
            <w:tcW w:w="1958"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18" w:type="dxa"/>
            <w:vMerge w:val="continue"/>
            <w:tcBorders>
              <w:bottom w:val="single" w:sz="8" w:space="0" w:color="000000"/>
            </w:tcBorders>
            <w:shd w:fill="CCEEFF" w:val="clear"/>
            <w:tcMar>
              <w:bottom w:w="28" w:type="dxa"/>
            </w:tcMar>
            <w:vAlign w:val="bottom"/>
          </w:tcPr>
          <w:p>
            <w:pPr>
              <w:pStyle w:val="Normal"/>
              <w:bidi w:val="0"/>
              <w:jc w:val="left"/>
              <w:rPr/>
            </w:pPr>
            <w:r>
              <w:rPr/>
            </w:r>
          </w:p>
        </w:tc>
        <w:tc>
          <w:tcPr>
            <w:tcW w:w="1751" w:type="dxa"/>
            <w:gridSpan w:val="2"/>
            <w:vMerge w:val="continue"/>
            <w:tcBorders/>
            <w:shd w:fill="CCEEFF" w:val="clear"/>
            <w:vAlign w:val="bottom"/>
          </w:tcPr>
          <w:p>
            <w:pPr>
              <w:pStyle w:val="Normal"/>
              <w:bidi w:val="0"/>
              <w:jc w:val="left"/>
              <w:rPr/>
            </w:pPr>
            <w:r>
              <w:rPr/>
            </w:r>
          </w:p>
        </w:tc>
        <w:tc>
          <w:tcPr>
            <w:tcW w:w="155" w:type="dxa"/>
            <w:vMerge w:val="continue"/>
            <w:tcBorders/>
            <w:shd w:fill="CCEEFF" w:val="clear"/>
            <w:vAlign w:val="bottom"/>
          </w:tcPr>
          <w:p>
            <w:pPr>
              <w:pStyle w:val="Normal"/>
              <w:bidi w:val="0"/>
              <w:jc w:val="left"/>
              <w:rPr/>
            </w:pPr>
            <w:r>
              <w:rPr/>
            </w:r>
          </w:p>
        </w:tc>
        <w:tc>
          <w:tcPr>
            <w:tcW w:w="11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associated with derivative warrant liabilities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314,846</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(1,320,990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(2,884,910</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Income from investments held in the Trust Account</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(1,839,849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(8,445</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 paid by Sponsor in exchange for issuance of Class B ordinary shares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25,000</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5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(48,190</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301,631</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57,905</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793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376,291</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Deferred legal fees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1,967,744</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tax payable</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32,943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(514,792</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(688,831</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5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Cash deposited in Trust Account</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(127,547,843</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(127,547,843</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58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received from initial public offering, gross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127,547,840</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Proceeds received from private placement, gross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4,550,960</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note payable to related parties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(37,806</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paid</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(45,000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(2,956,040</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(45,000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129,104,954</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 in cash</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(559,792</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81" w:type="dxa"/>
            <w:tcBorders/>
            <w:vAlign w:val="bottom"/>
          </w:tcPr>
          <w:p>
            <w:pPr>
              <w:pStyle w:val="TableContents"/>
              <w:bidi w:val="0"/>
              <w:spacing w:before="0" w:after="283"/>
              <w:jc w:val="right"/>
              <w:rPr/>
            </w:pPr>
            <w:r>
              <w:rPr/>
              <w:t>868,280</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Cashbeginning of the period</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868,280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15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Cashend of the period</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1729" w:type="dxa"/>
            <w:tcBorders/>
            <w:vAlign w:val="bottom"/>
          </w:tcPr>
          <w:p>
            <w:pPr>
              <w:pStyle w:val="TableContents"/>
              <w:bidi w:val="0"/>
              <w:spacing w:before="0" w:after="283"/>
              <w:jc w:val="right"/>
              <w:rPr>
                <w:b/>
              </w:rPr>
            </w:pPr>
            <w:r>
              <w:rPr>
                <w:b/>
              </w:rPr>
              <w:t>308,488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b/>
              </w:rPr>
            </w:pPr>
            <w:r>
              <w:rPr>
                <w:b/>
              </w:rPr>
              <w:t>$</w:t>
            </w:r>
          </w:p>
        </w:tc>
        <w:tc>
          <w:tcPr>
            <w:tcW w:w="1581" w:type="dxa"/>
            <w:tcBorders/>
            <w:vAlign w:val="bottom"/>
          </w:tcPr>
          <w:p>
            <w:pPr>
              <w:pStyle w:val="TableContents"/>
              <w:bidi w:val="0"/>
              <w:spacing w:before="0" w:after="283"/>
              <w:jc w:val="right"/>
              <w:rPr>
                <w:b/>
              </w:rPr>
            </w:pPr>
            <w:r>
              <w:rPr>
                <w:b/>
              </w:rPr>
              <w:t>868,280</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15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activities:</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58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included in accrued expenses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581" w:type="dxa"/>
            <w:tcBorders/>
            <w:vAlign w:val="bottom"/>
          </w:tcPr>
          <w:p>
            <w:pPr>
              <w:pStyle w:val="TableContents"/>
              <w:bidi w:val="0"/>
              <w:spacing w:before="0" w:after="283"/>
              <w:jc w:val="right"/>
              <w:rPr/>
            </w:pPr>
            <w:r>
              <w:rPr/>
              <w:t>71,003</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costs paid by Sponsor under promissory note</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581" w:type="dxa"/>
            <w:tcBorders/>
            <w:shd w:fill="CCEEFF" w:val="clear"/>
            <w:vAlign w:val="bottom"/>
          </w:tcPr>
          <w:p>
            <w:pPr>
              <w:pStyle w:val="TableContents"/>
              <w:bidi w:val="0"/>
              <w:spacing w:before="0" w:after="283"/>
              <w:jc w:val="right"/>
              <w:rPr/>
            </w:pPr>
            <w:r>
              <w:rPr/>
              <w:t>37,806</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r>
        <w:trPr/>
        <w:tc>
          <w:tcPr>
            <w:tcW w:w="2365"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17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1581" w:type="dxa"/>
            <w:tcBorders/>
            <w:vAlign w:val="bottom"/>
          </w:tcPr>
          <w:p>
            <w:pPr>
              <w:pStyle w:val="TableContents"/>
              <w:bidi w:val="0"/>
              <w:spacing w:before="0" w:after="283"/>
              <w:jc w:val="right"/>
              <w:rPr/>
            </w:pPr>
            <w:r>
              <w:rPr/>
              <w:t>4,464,174</w:t>
            </w:r>
          </w:p>
        </w:tc>
        <w:tc>
          <w:tcPr>
            <w:tcW w:w="155" w:type="dxa"/>
            <w:tcBorders/>
            <w:vAlign w:val="bottom"/>
          </w:tcPr>
          <w:p>
            <w:pPr>
              <w:pStyle w:val="TableContents"/>
              <w:bidi w:val="0"/>
              <w:spacing w:before="0" w:after="283"/>
              <w:jc w:val="left"/>
              <w:rPr/>
            </w:pPr>
            <w:r>
              <w:rPr/>
              <w:t> </w:t>
            </w:r>
          </w:p>
        </w:tc>
        <w:tc>
          <w:tcPr>
            <w:tcW w:w="3526" w:type="dxa"/>
            <w:gridSpan w:val="9"/>
            <w:tcBorders/>
          </w:tcPr>
          <w:p>
            <w:pPr>
              <w:pStyle w:val="TableContents"/>
              <w:bidi w:val="0"/>
              <w:spacing w:before="0" w:after="283"/>
              <w:jc w:val="left"/>
              <w:rPr>
                <w:sz w:val="4"/>
                <w:szCs w:val="4"/>
              </w:rPr>
            </w:pPr>
            <w:r>
              <w:rPr>
                <w:sz w:val="4"/>
                <w:szCs w:val="4"/>
              </w:rPr>
            </w:r>
          </w:p>
        </w:tc>
      </w:tr>
      <w:tr>
        <w:trPr/>
        <w:tc>
          <w:tcPr>
            <w:tcW w:w="23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of Class A ordinary shares subject to possible redemption</w:t>
            </w:r>
          </w:p>
        </w:tc>
        <w:tc>
          <w:tcPr>
            <w:tcW w:w="17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29" w:type="dxa"/>
            <w:tcBorders/>
            <w:shd w:fill="CCEEFF" w:val="clear"/>
            <w:vAlign w:val="bottom"/>
          </w:tcPr>
          <w:p>
            <w:pPr>
              <w:pStyle w:val="TableContents"/>
              <w:bidi w:val="0"/>
              <w:spacing w:before="0" w:after="283"/>
              <w:jc w:val="right"/>
              <w:rPr/>
            </w:pPr>
            <w:r>
              <w:rPr/>
              <w:t>1,715,355</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1581" w:type="dxa"/>
            <w:tcBorders/>
            <w:shd w:fill="CCEEFF" w:val="clear"/>
            <w:vAlign w:val="bottom"/>
          </w:tcPr>
          <w:p>
            <w:pPr>
              <w:pStyle w:val="TableContents"/>
              <w:bidi w:val="0"/>
              <w:spacing w:before="0" w:after="283"/>
              <w:jc w:val="right"/>
              <w:rPr/>
            </w:pPr>
            <w:r>
              <w:rPr/>
              <w:t>12,546,029</w:t>
            </w:r>
          </w:p>
        </w:tc>
        <w:tc>
          <w:tcPr>
            <w:tcW w:w="155" w:type="dxa"/>
            <w:tcBorders/>
            <w:shd w:fill="CCEEFF" w:val="clear"/>
            <w:vAlign w:val="bottom"/>
          </w:tcPr>
          <w:p>
            <w:pPr>
              <w:pStyle w:val="TableContents"/>
              <w:bidi w:val="0"/>
              <w:spacing w:before="0" w:after="283"/>
              <w:jc w:val="left"/>
              <w:rPr/>
            </w:pPr>
            <w:r>
              <w:rPr/>
              <w:t> </w:t>
            </w:r>
          </w:p>
        </w:tc>
        <w:tc>
          <w:tcPr>
            <w:tcW w:w="3526" w:type="dxa"/>
            <w:gridSpan w:val="9"/>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EUROPEAN BIOTECH ACQUISITION CORP. </w:t>
      </w:r>
    </w:p>
    <w:p>
      <w:pPr>
        <w:pStyle w:val="TextBody"/>
        <w:bidi w:val="0"/>
        <w:spacing w:before="0" w:after="0"/>
        <w:jc w:val="center"/>
        <w:rPr>
          <w:rFonts w:ascii="Times New Roman" w:hAnsi="Times New Roman"/>
          <w:b/>
          <w:sz w:val="20"/>
        </w:rPr>
      </w:pPr>
      <w:bookmarkStart w:id="40" w:name="fin394147_206"/>
      <w:bookmarkEnd w:id="40"/>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DECEMBER 31, 2022 </w:t>
      </w:r>
    </w:p>
    <w:p>
      <w:pPr>
        <w:pStyle w:val="TextBody"/>
        <w:bidi w:val="0"/>
        <w:spacing w:before="240" w:after="0"/>
        <w:jc w:val="left"/>
        <w:rPr>
          <w:rFonts w:ascii="Times New Roman" w:hAnsi="Times New Roman"/>
          <w:b/>
          <w:sz w:val="20"/>
        </w:rPr>
      </w:pPr>
      <w:r>
        <w:rPr>
          <w:rFonts w:ascii="Times New Roman" w:hAnsi="Times New Roman"/>
          <w:b/>
          <w:sz w:val="20"/>
        </w:rPr>
        <w:t xml:space="preserve">Note 1Description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European Biotech Acquisition Corp. (the Company) was incorporated as a Cayman Islands exempted company on January 8, 2021.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Company had not commenced any operations. All activity for the period from January 8, 2021 (inception) through December 31, 2022 relates to the Companys formation and the initial public offering (the Initial Public Offering) described below and, subsequent to the Initial Public Offering, identifying a target company for a Business Combination (see below). The Company will not generate any operating revenues until after the completion of its initial Business Combination, at the earliest. The Company will generate non-operating income in the form of income from investments of the proceeds derived from the Initial Public Offering, along with gains and losses from the change in fair value of warrant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LSP Sponsor EBAC B.V., a Dutch limited liability company (the Sponsor). The registration statement for the Companys Initial Public Offering was declared effective on March 15, 2021. On March 18, 2021, the Company consummated its Initial Public Offering of 12,000,000 units (the Units and, with respect to the Class A ordinary shares included in the Units being offered, the Public Shares), at $10.00 per Unit, which generated gross proceeds of $120.0 million, and incurring offering costs of approximately $7.1 million, of which $4.2 million was for deferred underwriting commissions (see Note 3). The Company granted the underwriter a 45-day option to purchase up to an additional 1,800,000 Units at the Initial Public Offering price to cover over-allotments, if any (the Over-Allotment Units). On May 3, 2021, the Company issued 754,784 Over-Allotment Units resulting in total gross proceeds of approximately $7.5 million, and the allotment option for the remaining 1,045,216 Over-Allotment Units expired.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private placement (Private Placement) of 440,000 units (each, a Private Placement Unit and collectively, the Private Placement Units), at a price of $10.00 per Private Placement Unit with the Sponsor, generating gross proceeds of $4.4 million (see Note 4). If the over-allotment option would have been exercised in full, the Sponsor would have purchased an additional 36,000 Private Placement Warrants. On May 3, 2021, simultaneously with the issuance and sale of the Over-Allotment Units, the Company consummated the private placement with the Sponsor of 15,096 units (the Additional Private Placement Units), generating total proceeds of $150,960.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the Initial Public Offering and the Private Placement, approximately $120.0 million ($10.00 per Unit) of the net proceeds of the Initial Public Offering and certain of the proceeds of the Private Placement were placed in a trust account (Trust Account), located in the United States with Continental Stock Transfer &amp; Trust Company acting as trustee, and is being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 In addition, the Sponsor and certain investors have advanced an aggregate amount of approximately $360,000 into the Trust Account to cover for the over-allotment option, if exercised. The over-allotment option was not exercised, so the excess funds were returned to such related parties. Upon partial exercise of the over-allotment, on May 4, 2021, the Company returned excess cash of $209,040 to the related parties and placed the net proceeds of $7.4 million in the Trust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Companys management has broad discretion with respect to the specific application of the net proceeds of the Initial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holders (the Public Shareholders) of its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 </w:t>
      </w:r>
    </w:p>
    <w:p>
      <w:pPr>
        <w:pStyle w:val="TextBody"/>
        <w:bidi w:val="0"/>
        <w:spacing w:before="240" w:after="0"/>
        <w:jc w:val="left"/>
        <w:rPr>
          <w:rFonts w:ascii="Times New Roman" w:hAnsi="Times New Roman"/>
          <w:sz w:val="20"/>
        </w:rPr>
      </w:pPr>
      <w:r>
        <w:rPr>
          <w:rFonts w:ascii="Times New Roman" w:hAnsi="Times New Roman"/>
          <w:sz w:val="20"/>
        </w:rPr>
        <w:t xml:space="preserve">These Public Shares were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agreed to vote their Founder Shares (as defined below in Note 4) and any Public Shares purchased during or after the Initial Public Offering in favor of a Business Combination. Subsequent to the consummation of the Initial Public Offering, the Company adopted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agreed to waive their redemption rights with respect to their Founder Shares, private placement shares (the Private Placement Shares) underlying the Private Placement Units and Public Shares in connection with the completion of a Business Combination. 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Act)), will be restricted from redeeming its shares with respect to more than an aggregate of 15% of the Class A ordinary shares sold in the Initial Public Offering, without the prior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officers and directors (the initial shareholders)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March 18, 2023 (the Combination Period) or with respect to any other provision relating to the rights of Public Shareholders (including extending the deadline for completing the initial Business Combination), unless the Company provides the Public Shareholders with the opportunity to redeem their Class A ordinary shares in conjunction with any such amendment.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consummate a Business Combination within the Combination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initial shareholders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In order to protect the amounts held in the Trust Account, the Sponsor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(excluding the Companys independent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accounting firm), prospective target businesses or other entities with which the Company does business, execute agreements with the Company waiving any right, title, interest or claim of any kind in or to monies held in the Trust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Proposed Business Combination </w:t>
      </w:r>
    </w:p>
    <w:p>
      <w:pPr>
        <w:pStyle w:val="TextBody"/>
        <w:bidi w:val="0"/>
        <w:spacing w:before="120" w:after="0"/>
        <w:jc w:val="left"/>
        <w:rPr>
          <w:rFonts w:ascii="Times New Roman" w:hAnsi="Times New Roman"/>
          <w:sz w:val="20"/>
        </w:rPr>
      </w:pPr>
      <w:r>
        <w:rPr>
          <w:rFonts w:ascii="Times New Roman" w:hAnsi="Times New Roman"/>
          <w:sz w:val="20"/>
        </w:rPr>
        <w:t>On October 17, 2022, the Company (EBAC), entered into a Business Combination Agreement (as it may be amended and/or restated from time to time, the Business Combination Agreement) with Oculis SA, a public limited liability company (</w:t>
      </w:r>
      <w:r>
        <w:rPr>
          <w:rFonts w:ascii="Times New Roman" w:hAnsi="Times New Roman"/>
          <w:i/>
          <w:sz w:val="20"/>
        </w:rPr>
        <w:t>société anonyme</w:t>
      </w:r>
      <w:r>
        <w:rPr>
          <w:rFonts w:ascii="Times New Roman" w:hAnsi="Times New Roman"/>
          <w:sz w:val="20"/>
        </w:rPr>
        <w:t xml:space="preserve">) incorporated and existing under the laws of Switzerland (Oculis). Capitalized terms used in this Annual Report on Form 10-K but not otherwise defined herein have the meanings given to them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Business Combination Agreement and in accordance with applicable law, as soon as practicable following the date of the Business Combination Agreement, EBAC will form, or cause to be formed, (a) Oculis Holding AG, a public limited liability company incorporated and existing under the laws of Switzerland and that will be a direct wholly owned subsidiary of EBAC (New Parent), (b) a new Cayman Islands exempted company that will be a direct wholly owned subsidiary of New Parent (Merger Sub 1), (c) another new Cayman Islands exempted company that will be a direct wholly owned subsidiary of New Parent (Merger Sub 2) and (d) a new limited liability company (Gesellschaft mit beschränkter Haftung) incorporated and existing under the laws of Switzerland that will be a direct wholly owned subsidiary of New Parent (Merger Sub 3).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contemplated by the Business Combination Agreement, among other things, (i) Merger Sub 1 will merge with and into EBAC, with EBAC surviving such merger as a wholly owned subsidiary of New Parent (the First Merger), (ii) as a result of the First Merger, (a) each issued and outstanding share of EBAC Common Stock will automatically convert into one class of ordinary shares of the surviving company in the First Merger (Surviving EBAC Shares), (b) each issued and outstanding warrant issued by EBAC to purchase Class A Common Stock of EBAC will be automatically converted into warrants of the surviving company in the First Merger (Surviving EBAC Warrants), and (c) EBAC will deposit or cause to be deposited with the Exchange Agent the Surviving EBAC Shares and Surviving EBAC Warrants, (iii) following the First Merger Effective Time but prior to the Second Merger Effective Time, the Exchange Agent will contribute the Surviving EBAC Shares and Surviving EBAC Warrants to New Parent in exchange for New Parent Class A ordinary shares, nominal value CHF 0.01 per share (the New Parent Shares) and a right to acquire New Parent Shares (each, a New Parent Warrant), with both New Parent Shares and New Parent Warrants to be held by the Exchange Agent solely on behalf of the holders of Surviving EBAC Shares and Surviving EBAC Warrants (the New Parent Interests Consideration), (iv) prior to the Second Merger Effective Time, the Exchange Agent will undertake to (a) distribute the New Parent Shares as part of the New Parent Interests Consideration to the holders of Surviving EBAC Shares and (b) distribute the New Parent Warrants as part of the New Parent Interests Consideration to the holders of Surviving EBAC Warrants, (v) after the First Merger Effective Time and following the completion of the Exchange Agent Contribution Actions, EBAC will merge with and into Merger Sub 2, with Merger Sub 2 as the surviving company and remaining a wholly owned subsidiary of New Parent, (vi) consenting Oculis shareholders executing the Company Shareholders Support Agreements will contribute their shares of Oculis to New Parent in exchange for New Parent Shares and (vii) approximately 30 days after the Acquisition Closing Date, Oculis will merge with and into Merger Sub 3, with Merger Sub 3 as the surviving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foregoing and concurrently with the execution of the Business Combination Agreement, we entered into subscription agreements with the Initial PIPE Investors (the Initial Subscription Agreements), pursuant to which the Initial PIPE Investors have agreed to purchase from us, severally and not jointly, and we have agreed to issue from treasury and sell to the Initial PIPE Investors, a number of shares of EBAC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equal to (i) the total subscription amount from the Initial PIPE Investors divided by (ii) $10.00 (the Initial PIPE Financing). Subsequent to the Initial PIPE Financing, on January 26, 2023, EBAC entered into subscription agreements (the Subsequent Subscription Agreements, and together with the Initial Subscription Agreements, the Subscription Agreements) with certain subscribers (the Subsequent PIPE Investors, and together with the Initial PIPE Investors, the PIPE Investors), pursuant to which the Subsequent PIPE Investors have agreed to subscribe for, and we have agreed to issue to the Subsequent Subscribers, an aggregate of 788,500 EBAC Class A Common Stock at a price of $10.00 per share, for aggregate gross proceeds of $7,885,000 (the Subsequent PIPE Financing, and together with the Initial PIPE Financing, the PIPE Financing). The aggregate amount of EBAC shares of Class A Common Stock to be issued pursuant to the PIPE Financing is 7,118,891 shares for aggregate gross proceeds of $71,188,910. The shares of EBAC Class A Common Stock to be issued from treasury pursuant to the Subscription Agreements have not been registered under the Securities Act, in reliance upon the exemption provided in Section 4(a)(2) of the Securities Act (as defined below). Upon the Acquisition Closing, New Parent will grant the PIPE Investors certain customary registration rights in connection with the PIPE Financing, including demand and piggyback rights, as set forth in the Non-Redemption Agreements (as defined below). The PIPE Financing is contingent upon, among other things, the Acquisition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Business Combination Agreement, Oculis entered into a convertible loan agreement (the Convertible Loan Agreement) with certain of its existing equity holders (the Lenders). Pursuant to the Convertible Loan Agreement, the Lenders grant Oculis a right to receive a convertible loan with certain conversion rights, in an aggregate amount of $12,670,000. Following the Second Merger Effective Time, it is the intent of the parties thereto that New Parent shall assume the Convertible Loan Agreement, and that immediately after such assumption but before the Company Share Contribution, the Lenders will exercise their conversion rights in exchange for New Parent Shares at $10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certain shareholders of EBAC (the EBAC Voting Shareholders) entered into non-redemption agreements (the Non-Redemption Agreements) with EBAC and Sponsor.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Non-Redemption Agreements, each EBAC Voting Shareholder agreed for the benefit of EBAC to not redeem and to vote all of their EBAC ordinary shares now owned or hereafter acquired (the Subject EBAC Equity Securities), representing 700,789 EBAC ordinary shares in the aggregate, in favor of the transaction proposals. In connection with these commitments from the EBAC Voting Shareholders, Sponsor has agreed to transfer to each Investor one New Parent Share for every ten EBAC ordinary shares owned by such investor (for a total of 70,789 New Parent Shares), on or promptly following the Acquisition Closing Date. The EBAC Voting Shareholders also each agreed to a lock-up to not transfer any Subject EBAC Equity Securities for a period of 90 calendar days after the Acquisition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Oculis Shareholder 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certain equityholders of Oculis (the Oculis Supporting Members) entered into a support agreement (the Oculis Shareholder Support Agreement) in favor of EBAC and Oculis and their respective successors. </w:t>
      </w:r>
    </w:p>
    <w:p>
      <w:pPr>
        <w:pStyle w:val="TextBody"/>
        <w:bidi w:val="0"/>
        <w:spacing w:before="240" w:after="0"/>
        <w:jc w:val="left"/>
        <w:rPr>
          <w:rFonts w:ascii="Times New Roman" w:hAnsi="Times New Roman"/>
          <w:sz w:val="20"/>
        </w:rPr>
      </w:pPr>
      <w:r>
        <w:rPr>
          <w:rFonts w:ascii="Times New Roman" w:hAnsi="Times New Roman"/>
          <w:sz w:val="20"/>
        </w:rPr>
        <w:t xml:space="preserve">In the Oculis Shareholder Support Agreement, the Oculis Supporting Members agreed to, among other things (i) vote to adopt the Business Combination Agreement and approve and consent to the consummation of the Transactions, (ii) waive any rights of appraisal or dissenters rights and (iii) provide a release of claims against Oculis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Sponsor Letter Agreement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Business Combination Agreement, the Sponsor entered into a letter agreement (the Sponsor Letter Agreement) with EBAC and Oculis pursuant to which the Sponsor agreed, among other things, to (i) vote all of the EBAC Common Stock it beneficially owns in favor of the Business Combination and related transactions and to take certain other actions in support of the Business Combination Agreement and related transactions, (ii) not transfer its shares of EBAC Common Stock and EBAC Warrants, in each case until the consummation of the Acquisition Closing (subject to certain customary exceptions), (iii) waive certain anti-dilution adjustments and (iv) waive certain redemption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Registration Rights and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Acquisition Closing Date, the Sponsor and certain shareholders of Oculis (the Holders) and New Parent will enter into an amended and restated registration rights agreement (see Note 5) and lock-up agreement (the Amended and Restated Registration Rights and Lock-Up Agreement) pursuant to which, among other things, certain shareholders of New Parent will be granted certain customary demand and piggy-back registration rights with respect to their respective New Parent Shares.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Registration Rights and Lock-Up Agreement will contain certain restrictions on transfer of New Parent Shares and other Registrable Securities (as defined therein) to be held by the Holders immediately following the Acquisition Closing (the Lock-up Securities). Such restrictions begin on the Acquisition Closing Date and end on the earlier of (x) (i) for the Sponsor the 270 days after the Acquisition Closing Date and (ii) for the rest of the Holders 180 days from the Acquisition Closing Date and (y) the last reported trading price of the New Parent Shares on Nasdaq exceeds $15.00 for 20 trading days within any 30 trading day period commencing at least 150 days after the Acquisition Closing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Statements on Form F-4 </w:t>
      </w:r>
    </w:p>
    <w:p>
      <w:pPr>
        <w:pStyle w:val="TextBody"/>
        <w:bidi w:val="0"/>
        <w:spacing w:before="120" w:after="0"/>
        <w:jc w:val="left"/>
        <w:rPr>
          <w:rFonts w:ascii="Times New Roman" w:hAnsi="Times New Roman"/>
          <w:sz w:val="20"/>
        </w:rPr>
      </w:pPr>
      <w:r>
        <w:rPr>
          <w:rFonts w:ascii="Times New Roman" w:hAnsi="Times New Roman"/>
          <w:sz w:val="20"/>
        </w:rPr>
        <w:t xml:space="preserve">New Parent initially filed a Registration Statement on Form F-4 with the SEC on November 7, 2022, in connection with the registration under the Securities Act of the shares of the New Parents ordinary shares and warrants to be issued in connection with the transactions contemplated in the Business Combination Agreement. The Registration Statement was declared effective by the SEC on February 3, 2023.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the Company had approximately $308,000 in their operating bank account and working capital deficit of approximately $406,000 (not taking into account approximately $33,000 in tax obligations that may be paid using investment income classified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liquidity needs through the consummation of the Initial Public Offering were satisfied through a payment of $25,000 from the Sponsor to purchase Founders Shares, and the loan proceeds from the Sponsor of $300,000 under the Note (see Note 4). We repaid the Note in full on March 22, 2021. Subsequent to the consummation of the Initial Public Offering, our liquidity needs have been satisfied through the net proceeds from the consummation of the Initial Public Offering and the Private Placement held outside of the Trust Account. In addition, in order to finance transaction costs in connection with a Business Combination, the Sponsor or an affiliate of the Sponsor, or certain of our officers and directors may, but are not obligated to, provide us Working Capital Loans (as defined in Note 4). As of December 31, 2022 and 2021, there were no amounts outstanding under Working Capital Loans.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2023, the Company issued an unsecured promissory note (the Note) in the amount of up to $750,000 to MRMJ Holding B.V., an affiliate of the Sponsor. The proceeds of the Note, which may be drawn down from time to time until the Company consummates its initial business combination, will be used for general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working capital purposes. The Note bears no interest and is payable in full in cash upon the earlier to occur of (i) March 18, 2023 or (ii) the consummation of the Companys initial business combination. No portion of the Note is convertible into any securities, including warrants, of the Company or any affiliate thereof. The issuance of the Note was made pursuant to the exemption from registration contained in Section 4(a)(2) of the Securities Act of 1933, as amended. On February 14, 2023, the Company drew $500,000 on the Note.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the Financial Accounting Standards Boards (FASBs) Accounting Standards Update (ASU) 2014-15, Disclosures of Uncertainties about an Entitys Ability to Continue as a Going Concern, the Company does not believe the current cash on hand will be sufficient to cover obligations that come due within one year of the issuance of these consolidated financial statements. Management has determined that the liquidity condition and the mandatory liquidation and subsequent dissolution that will be required if the Company does not complete a business combination before March 18, 2023, raise substantial doubt about the Companys ability to continue as a going concern. Although Management expects that it will be able to raise additional capital to support its planned </w:t>
      </w:r>
    </w:p>
    <w:p>
      <w:pPr>
        <w:pStyle w:val="TextBody"/>
        <w:bidi w:val="0"/>
        <w:spacing w:before="0" w:after="0"/>
        <w:jc w:val="left"/>
        <w:rPr>
          <w:rFonts w:ascii="Times New Roman" w:hAnsi="Times New Roman"/>
          <w:sz w:val="20"/>
        </w:rPr>
      </w:pPr>
      <w:r>
        <w:rPr>
          <w:rFonts w:ascii="Times New Roman" w:hAnsi="Times New Roman"/>
          <w:sz w:val="20"/>
        </w:rPr>
        <w:t xml:space="preserve">activities and complete the proposed business combination on or prior to March 18, 2023, it is uncertain whether it will be able to do so. No adjustments have been made to the carrying amounts of assets or liabilities should we be required to liquidate after March 18, 2023. The consolidated financial statements do not include any adjustments that might be necessary if the Company is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consolidated financial statements. The specific impact on the Companys financial condition, results of operations, and cash flows is also not determinable as of the date of these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2Basis of Presentation and Summary of Significant Accounting Policies </w:t>
      </w:r>
    </w:p>
    <w:p>
      <w:pPr>
        <w:pStyle w:val="TextBody"/>
        <w:bidi w:val="0"/>
        <w:spacing w:before="120" w:after="0"/>
        <w:jc w:val="left"/>
        <w:rPr>
          <w:rFonts w:ascii="Times New Roman" w:hAnsi="Times New Roman"/>
          <w:i/>
          <w:sz w:val="20"/>
        </w:rPr>
      </w:pPr>
      <w:r>
        <w:rPr>
          <w:rFonts w:ascii="Times New Roman" w:hAnsi="Times New Roman"/>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U.S. dollars in conformity with accounting principles generally accepted in the United States of America (GAAP) for financial information and pursuant to the rules and regulations of the SEC. </w:t>
      </w:r>
    </w:p>
    <w:p>
      <w:pPr>
        <w:pStyle w:val="TextBody"/>
        <w:bidi w:val="0"/>
        <w:spacing w:before="360" w:after="0"/>
        <w:jc w:val="left"/>
        <w:rPr>
          <w:rFonts w:ascii="Times New Roman" w:hAnsi="Times New Roman"/>
          <w:i/>
          <w:sz w:val="20"/>
        </w:rPr>
      </w:pPr>
      <w:r>
        <w:rPr>
          <w:rFonts w:ascii="Times New Roman" w:hAnsi="Times New Roman"/>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subsidiaries (see Note 1). All significant intercompany accounts and transactions have been eliminated in consolidation. </w:t>
      </w:r>
    </w:p>
    <w:p>
      <w:pPr>
        <w:pStyle w:val="TextBody"/>
        <w:bidi w:val="0"/>
        <w:spacing w:before="360" w:after="0"/>
        <w:jc w:val="left"/>
        <w:rPr>
          <w:rFonts w:ascii="Times New Roman" w:hAnsi="Times New Roman"/>
          <w:i/>
          <w:sz w:val="20"/>
        </w:rPr>
      </w:pPr>
      <w:r>
        <w:rPr>
          <w:rFonts w:ascii="Times New Roman" w:hAnsi="Times New Roman"/>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JOBS Act, and it may take advantage of certain exemptions from various reporting requirements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w:t>
      </w:r>
    </w:p>
    <w:p>
      <w:pPr>
        <w:pStyle w:val="TextBody"/>
        <w:bidi w:val="0"/>
        <w:spacing w:before="240" w:after="0"/>
        <w:jc w:val="left"/>
        <w:rPr>
          <w:rFonts w:ascii="Times New Roman" w:hAnsi="Times New Roman"/>
          <w:sz w:val="20"/>
        </w:rPr>
      </w:pPr>
      <w:r>
        <w:rPr>
          <w:rFonts w:ascii="Times New Roman" w:hAnsi="Times New Roman"/>
          <w:sz w:val="20"/>
        </w:rPr>
        <w:t xml:space="preserve">This may make comparison of the Companys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i/>
          <w:sz w:val="20"/>
        </w:rPr>
      </w:pPr>
      <w:r>
        <w:rPr>
          <w:rFonts w:ascii="Times New Roman" w:hAnsi="Times New Roman"/>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December 31, 2022 and 2021, the Company did not have any cash equivalents. </w:t>
      </w:r>
    </w:p>
    <w:p>
      <w:pPr>
        <w:pStyle w:val="TextBody"/>
        <w:bidi w:val="0"/>
        <w:spacing w:before="360" w:after="0"/>
        <w:jc w:val="left"/>
        <w:rPr>
          <w:rFonts w:ascii="Times New Roman" w:hAnsi="Times New Roman"/>
          <w:i/>
          <w:sz w:val="20"/>
        </w:rPr>
      </w:pPr>
      <w:r>
        <w:rPr>
          <w:rFonts w:ascii="Times New Roman" w:hAnsi="Times New Roman"/>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reporting currency of the Company is the U.S. Dollar and the accompanying consolidated financial statements have been expressed in U.S. Dollar. The Companys subsidiaries maintains its books and records in its local currency, Euro, which is a functional currency as being the primary currency of the economic environment in which its operation is conducted. In accordance with FASB ASC Topic 830-30, Translation of Financial Statement, assets and liabilities of the Company whose functional currency is not U.S. Dollar are translated into U.S. Dollar, using the exchange rate on the balance sheet date. Expenses are translated at average rates prevailing during the period. Transaction gains and losses that arise from exchange rate fluctuations on transactions and asset and libility balances denominated in a currency other than the functional currency are included in the results of operations as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of cash accounts in a financial institution, which, at times, may exceed the Federal Depository Insurance Corporation coverage limit of $250,000, and cash held in Trust Account. At December 31, 2022 and 2021, the Company has not experienced losses on these accounts. </w:t>
      </w:r>
    </w:p>
    <w:p>
      <w:pPr>
        <w:pStyle w:val="TextBody"/>
        <w:bidi w:val="0"/>
        <w:spacing w:before="360" w:after="0"/>
        <w:jc w:val="left"/>
        <w:rPr>
          <w:rFonts w:ascii="Times New Roman" w:hAnsi="Times New Roman"/>
          <w:i/>
          <w:sz w:val="20"/>
        </w:rPr>
      </w:pPr>
      <w:r>
        <w:rPr>
          <w:rFonts w:ascii="Times New Roman" w:hAnsi="Times New Roman"/>
          <w:i/>
          <w:sz w:val="20"/>
        </w:rPr>
        <w:t xml:space="preserve">Investments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The Companys portfolio of investments, as of December 31, 2022 and 2021 is comprised of investments in money market funds that invest in U.S. government securities and generally have a readily determinable fair value. When the Companys investments held in the Trust Account are comprised of U.S. government securities, the investments are classified as trading securities. When the Companys investments held in the Trust Account are comprised of mutual funds, the investments are recognized at fair value. Trading securities and investments in mutual funds are presented on the consolidated balance sheets at fair value at the end of each reporting period. Gains and losses resulting from the change in fair value of these securities are included in income from investments held in Trust Account in the accompanying consolidated statements of operations. The estimated fair values of investments held in the Trust Account are determined using available market information. Through December 31, 2022, no amounts have been withdrawn from the Trust Account to pay taxes.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the FASB ASC Topic 820, Fair Value Measurement equal or approximate the carrying amounts represented in the consolidated balance sheets. </w:t>
      </w:r>
    </w:p>
    <w:p>
      <w:pPr>
        <w:pStyle w:val="TextBody"/>
        <w:bidi w:val="0"/>
        <w:spacing w:before="360" w:after="0"/>
        <w:jc w:val="left"/>
        <w:rPr>
          <w:rFonts w:ascii="Times New Roman" w:hAnsi="Times New Roman"/>
          <w:i/>
          <w:sz w:val="20"/>
        </w:rPr>
      </w:pPr>
      <w:r>
        <w:rPr>
          <w:rFonts w:ascii="Times New Roman" w:hAnsi="Times New Roman"/>
          <w:i/>
          <w:sz w:val="20"/>
        </w:rPr>
        <w:t xml:space="preserve">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hierarchy gives the highest priority to unadjusted quoted prices in active markets for identical assets or liabilities (Level 1 measurements) and the lowest priority to unobservable inputs (Level 3 measurements). These tiers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defined as observable inputs such as quoted prices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defined as inputs other than quoted prices in active markets that are either directly or indirectly observable such as quoted prices for similar instruments in active markets or quoted prices for identical or similar instruments in markets that are not active;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 </w:t>
      </w:r>
    </w:p>
    <w:p>
      <w:pPr>
        <w:pStyle w:val="TextBody"/>
        <w:bidi w:val="0"/>
        <w:spacing w:before="360" w:after="0"/>
        <w:jc w:val="left"/>
        <w:rPr>
          <w:rFonts w:ascii="Times New Roman" w:hAnsi="Times New Roman"/>
          <w:i/>
          <w:sz w:val="20"/>
        </w:rPr>
      </w:pPr>
      <w:r>
        <w:rPr>
          <w:rFonts w:ascii="Times New Roman" w:hAnsi="Times New Roman"/>
          <w:i/>
          <w:sz w:val="20"/>
        </w:rPr>
        <w:t xml:space="preserve">Derivative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use derivative instruments to hedge exposures to cash flow, market, or foreign currency risks. The Company evaluates all of its financial instruments, including issued stock purchase warrants, to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such instruments are derivatives or contain features that qualify as embedded derivatives, pursuant to ASC 480 and FASB ASC 815-40, Derivatives and Hedging-Contracts in Entitys Own Equity (ASC 815-40).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derivative instruments, including whether such instruments should be recorded as liabilities or as equity, is re-assessed at the end of each reporting period. The 4,251,595 warrants issued in connection with the Initial Public Offering (the Public Warrants) and the 151,699 Private Placement Warrants are recognized as derivative liabilities in accordance with ASC 815-40.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Company recognizes the warrant instruments as liabilities at fair value and adjusts the instruments to fair value at each reporting period. The liabilities are subject to re-measurement at each balance sheet date until exercised, and any change in fair value is recognized in the Companys consolidated statements of operations. The fair value of the Public Warrants issued in connection with the Public Offering and Private Placement Warrants were initially measured at fair value using a Monte Carlo simulation model (see Note 9). For periods subsequent to the detachment of the Public Warrants from the Units, on May 13, 2021, the fair value of the Public Warrants is based on the observable listed price for such warrants. Since the Private Placement Warrants have substantially the same terms as the Public Warrants, the Company determined that the fair value of each Private Placement Warrant is equivalent to that of each Public Warrant. The determination of the fair value of the warrant liability may be subject to change as more current information becomes available and, accordingly, the actual results could differ significantly. Derivative warrant liabilities are classified as non-current liabilities as their liquidation is not reasonably expected to require the use of current assets or require the creation of current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consolidated statements of operations. Offering costs associated with the Class A common stock issued were charged against the carrying value of the shares of Class A ordinary shares upon the completion of the Initial Public Offering. The Company classifies deferred underwriting commissions as non-current liabilities as their liquidation is not reasonably expected to require the use of current assets or require the creation of current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Class A ordinary shares subject to possible redemption in accordance with the guidance in ASC 480. Class A ordinary shares subject to mandatory redemption (if any) are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12,754,784 Class A ordinary shares subject to possible redemption are presented at redemption value as temporary equity, outside of the shareholders equity (deficit) section of the Companys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initially recognize changes in redemption value immediately as they occur and subsequently adjusts (for interest income, net of dissolution expenses) the carrying value of redeemable ordinary shares to equal the redemption value at the end of each reporting period. Increases or decreases in the carrying amount of redeemable ordinary shares are affected by charges against additional paid-in capital (if available) and accumulated deficit. The change in the carrying value of redeemable shares of Class A ordinary shares resulted in charges against additional paid-in capital (to the extent available) and accumulated deficit.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2022 and 2021. The Companys management determined that the Cayman Islands is the Companys only major tax jurisdiction. The Company recognizes accrued interest and penalties related to unrecognized tax benefits as income tax expense. As of December 31, 2022 and 2021, there were no unrecognized tax benefits and no amounts were accrued for the payment of interest and penalties. The Company is currently not aware of any issues under review that could result in significant payments, accruals or material deviation from its position. The Company is subject to income tax examinations by major taxing authorities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taxation imposed on income by the Government of the Cayman Islands. In accordance with Cayman income tax regulations, income taxes are not levied on the Company. Consequently, income taxes are not reflected in the Companys consolidated financial statements. The Companys management does not expect that the total amount of unrecognized tax benefits will materially change over the next twelve months. </w:t>
      </w:r>
    </w:p>
    <w:p>
      <w:pPr>
        <w:pStyle w:val="TextBody"/>
        <w:bidi w:val="0"/>
        <w:spacing w:before="360" w:after="0"/>
        <w:jc w:val="left"/>
        <w:rPr>
          <w:rFonts w:ascii="Times New Roman" w:hAnsi="Times New Roman"/>
          <w:i/>
          <w:sz w:val="20"/>
        </w:rPr>
      </w:pPr>
      <w:r>
        <w:rPr>
          <w:rFonts w:ascii="Times New Roman" w:hAnsi="Times New Roman"/>
          <w:i/>
          <w:sz w:val="20"/>
        </w:rPr>
        <w:t xml:space="preserve">Net Income Per Ordinary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accounting and disclosure requirements of FASB ASC Topic 260, Earnings Per Share. The Company has two classes of shares, which are referred to as Class A ordinary shares subject to possible redemption and non-redeemable Class A ordinary shares and Class B ordinary shares. Income and losses are shared pro rata between the two classes of shares based on weighted average shares for the period. Net income per common share is calculated by dividing the net income by the weighted average number of ordinary shares outstanding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diluted net income (loss) does not consider the effect of the warrants underlying the Units sold in the Initial Public Offering (including the consummation of the Over-allotment) and the private placement warrants to purchase an aggregate of 4,403,294 Class A ordinary shares in the calculation of diluted income (loss) per share, because their inclusion would be anti-dilutive under the treasury stock method. As a result, diluted net income (loss) per share is the same as basic net income (loss) per share, related to the public warrants and private placement warrants, for the year ended December 31, 2022 and for the period from January 8, 2021 (inception) through December 31, 2021. Remeasurement associated with the redeemable Class A ordinary shares is excluded from earnings per share as the redemption value approximates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considered the effect of Class B ordinary shares that were excluded from the weighted average number until the contingency was resolved, as they were contingent on the exercise of over-allotment option by the underwriters. Since the contingency was satisfied, the Company included these shares in the weighted average number as of the beginning of the period to determine the dilutive impact of these shares, resulting in a greater number of Class B ordinary shares being included in weighted average shares for the diluted calculation for the applicable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table below presents a reconciliation of the numerator and denominator used to compute basic and diluted net income per share for each class of ordinary shares: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97"/>
        <w:gridCol w:w="288"/>
        <w:gridCol w:w="140"/>
        <w:gridCol w:w="1122"/>
        <w:gridCol w:w="60"/>
        <w:gridCol w:w="288"/>
        <w:gridCol w:w="212"/>
        <w:gridCol w:w="1489"/>
        <w:gridCol w:w="60"/>
        <w:gridCol w:w="288"/>
        <w:gridCol w:w="145"/>
        <w:gridCol w:w="1197"/>
        <w:gridCol w:w="62"/>
        <w:gridCol w:w="291"/>
        <w:gridCol w:w="210"/>
        <w:gridCol w:w="1490"/>
        <w:gridCol w:w="66"/>
      </w:tblGrid>
      <w:tr>
        <w:trPr/>
        <w:tc>
          <w:tcPr>
            <w:tcW w:w="2797"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79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33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 Ended</w:t>
              <w:br/>
              <w:t>December 31, 2022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33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 January 8,</w:t>
              <w:br/>
              <w:t>2021 (Inception) Through</w:t>
              <w:br/>
              <w:t>December 31, 2021</w:t>
            </w:r>
          </w:p>
        </w:tc>
        <w:tc>
          <w:tcPr>
            <w:tcW w:w="66" w:type="dxa"/>
            <w:tcBorders/>
            <w:vAlign w:val="bottom"/>
          </w:tcPr>
          <w:p>
            <w:pPr>
              <w:pStyle w:val="TableContents"/>
              <w:bidi w:val="0"/>
              <w:spacing w:before="0" w:after="283"/>
              <w:jc w:val="left"/>
              <w:rPr/>
            </w:pPr>
            <w:r>
              <w:rPr/>
              <w:t> </w:t>
            </w:r>
          </w:p>
        </w:tc>
      </w:tr>
      <w:tr>
        <w:trPr/>
        <w:tc>
          <w:tcPr>
            <w:tcW w:w="2797"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Non-redeemable</w:t>
              <w:br/>
              <w:t>and Class B</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Non-redeemable</w:t>
              <w:br/>
              <w:t>and Class B</w:t>
            </w:r>
          </w:p>
        </w:tc>
        <w:tc>
          <w:tcPr>
            <w:tcW w:w="66"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per ordinary share:</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49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797" w:type="dxa"/>
            <w:tcBorders/>
          </w:tcPr>
          <w:p>
            <w:pPr>
              <w:pStyle w:val="TableContents"/>
              <w:bidi w:val="0"/>
              <w:spacing w:before="0" w:after="0"/>
              <w:jc w:val="left"/>
              <w:rPr>
                <w:rFonts w:ascii="Times New Roman" w:hAnsi="Times New Roman"/>
                <w:i/>
                <w:sz w:val="20"/>
              </w:rPr>
            </w:pPr>
            <w:r>
              <w:rPr>
                <w:rFonts w:ascii="Times New Roman" w:hAnsi="Times New Roman"/>
                <w:i/>
                <w:sz w:val="20"/>
              </w:rPr>
              <w:t>Numerator:</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4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basic</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266,703</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76,192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1,108,197</w:t>
            </w:r>
          </w:p>
        </w:tc>
        <w:tc>
          <w:tcPr>
            <w:tcW w:w="6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370,475</w:t>
            </w:r>
          </w:p>
        </w:tc>
        <w:tc>
          <w:tcPr>
            <w:tcW w:w="66" w:type="dxa"/>
            <w:tcBorders/>
            <w:shd w:fill="CCEEFF" w:val="clear"/>
            <w:vAlign w:val="bottom"/>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net income, diluted</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266,703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76,192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1,103,709</w:t>
            </w:r>
          </w:p>
        </w:tc>
        <w:tc>
          <w:tcPr>
            <w:tcW w:w="6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374,963</w:t>
            </w:r>
          </w:p>
        </w:tc>
        <w:tc>
          <w:tcPr>
            <w:tcW w:w="66"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Denominator:</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490"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Basic weighted average ordinary shares outstanding</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12,754,784</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3,643,792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10,199,476</w:t>
            </w:r>
          </w:p>
        </w:tc>
        <w:tc>
          <w:tcPr>
            <w:tcW w:w="6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90" w:type="dxa"/>
            <w:tcBorders/>
            <w:vAlign w:val="bottom"/>
          </w:tcPr>
          <w:p>
            <w:pPr>
              <w:pStyle w:val="TableContents"/>
              <w:bidi w:val="0"/>
              <w:spacing w:before="0" w:after="283"/>
              <w:jc w:val="right"/>
              <w:rPr/>
            </w:pPr>
            <w:r>
              <w:rPr/>
              <w:t>3,409,725</w:t>
            </w:r>
          </w:p>
        </w:tc>
        <w:tc>
          <w:tcPr>
            <w:tcW w:w="66" w:type="dxa"/>
            <w:tcBorders/>
            <w:vAlign w:val="bottom"/>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weighted average ordinary shares outstanding</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12,754,784</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3,643,792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10,199,476</w:t>
            </w:r>
          </w:p>
        </w:tc>
        <w:tc>
          <w:tcPr>
            <w:tcW w:w="6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pPr>
            <w:r>
              <w:rPr/>
              <w:t>3,465,069</w:t>
            </w:r>
          </w:p>
        </w:tc>
        <w:tc>
          <w:tcPr>
            <w:tcW w:w="66" w:type="dxa"/>
            <w:tcBorders/>
            <w:shd w:fill="CCEEFF" w:val="clear"/>
            <w:vAlign w:val="bottom"/>
          </w:tcPr>
          <w:p>
            <w:pPr>
              <w:pStyle w:val="TableContents"/>
              <w:bidi w:val="0"/>
              <w:spacing w:before="0" w:after="283"/>
              <w:jc w:val="left"/>
              <w:rPr/>
            </w:pPr>
            <w:r>
              <w:rPr/>
              <w:t> </w:t>
            </w:r>
          </w:p>
        </w:tc>
      </w:tr>
      <w:tr>
        <w:trPr/>
        <w:tc>
          <w:tcPr>
            <w:tcW w:w="279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49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797"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per ordinary share</w:t>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2"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0.02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0.11</w:t>
            </w:r>
          </w:p>
        </w:tc>
        <w:tc>
          <w:tcPr>
            <w:tcW w:w="62"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490" w:type="dxa"/>
            <w:tcBorders/>
            <w:vAlign w:val="bottom"/>
          </w:tcPr>
          <w:p>
            <w:pPr>
              <w:pStyle w:val="TableContents"/>
              <w:bidi w:val="0"/>
              <w:spacing w:before="0" w:after="283"/>
              <w:jc w:val="right"/>
              <w:rPr/>
            </w:pPr>
            <w:r>
              <w:rPr/>
              <w:t>0.11</w:t>
            </w:r>
          </w:p>
        </w:tc>
        <w:tc>
          <w:tcPr>
            <w:tcW w:w="66" w:type="dxa"/>
            <w:tcBorders/>
            <w:vAlign w:val="bottom"/>
          </w:tcPr>
          <w:p>
            <w:pPr>
              <w:pStyle w:val="TableContents"/>
              <w:bidi w:val="0"/>
              <w:spacing w:before="0" w:after="283"/>
              <w:jc w:val="left"/>
              <w:rPr/>
            </w:pPr>
            <w:r>
              <w:rPr/>
              <w:t> </w:t>
            </w:r>
          </w:p>
        </w:tc>
      </w:tr>
      <w:tr>
        <w:trPr/>
        <w:tc>
          <w:tcPr>
            <w:tcW w:w="279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49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7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per ordinary share</w:t>
            </w:r>
          </w:p>
        </w:tc>
        <w:tc>
          <w:tcPr>
            <w:tcW w:w="2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2"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0.02</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0.11</w:t>
            </w:r>
          </w:p>
        </w:tc>
        <w:tc>
          <w:tcPr>
            <w:tcW w:w="62"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490" w:type="dxa"/>
            <w:tcBorders/>
            <w:shd w:fill="CCEEFF" w:val="clear"/>
            <w:vAlign w:val="bottom"/>
          </w:tcPr>
          <w:p>
            <w:pPr>
              <w:pStyle w:val="TableContents"/>
              <w:bidi w:val="0"/>
              <w:spacing w:before="0" w:after="283"/>
              <w:jc w:val="right"/>
              <w:rPr/>
            </w:pPr>
            <w:r>
              <w:rPr/>
              <w:t>0.11</w:t>
            </w:r>
          </w:p>
        </w:tc>
        <w:tc>
          <w:tcPr>
            <w:tcW w:w="66" w:type="dxa"/>
            <w:tcBorders/>
            <w:shd w:fill="CCEEFF" w:val="clear"/>
            <w:vAlign w:val="bottom"/>
          </w:tcPr>
          <w:p>
            <w:pPr>
              <w:pStyle w:val="TableContents"/>
              <w:bidi w:val="0"/>
              <w:spacing w:before="0" w:after="283"/>
              <w:jc w:val="left"/>
              <w:rPr/>
            </w:pPr>
            <w:r>
              <w:rPr/>
              <w:t> </w:t>
            </w:r>
          </w:p>
        </w:tc>
      </w:tr>
      <w:tr>
        <w:trPr/>
        <w:tc>
          <w:tcPr>
            <w:tcW w:w="2797"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49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June 2022, the FASB issued ASU 2022-03, ASC Subtopic 820, Fair Value Measurement of Equity Securities Subject to Contractual Sale Restrictions. The ASU amends ASC 820 to clarify that a contractual sales restriction is not considered in measuring an equity security at fair value and to introduce new disclosure requirements for equity securities subject to contractual sale restrictions that are measured at fair value. The ASU applies to both holders and issuers of equity and equity-linked securities measured at fair value. The amendments in this ASU are effective for the Company in fiscal years beginning after December 15, 2023, and interim periods within those fiscal years. Early adoption is permitted for both interim and annual financial statements that have not yet been issued or made available for issuance. The Company is still evaluating the impact of this pronouncement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does not believe that any other recently issued, but not yet effective, accounting standards if currently adopted would have a material effect on the accompanying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On March 18, 2021, the Company consummated its Initial Public Offering of 12,000,000 Units, at $10.00 per Unit, generating gross proceeds of $120.0 million, and incurring offering costs of approximately $7.1 million, of which $4.2 million was for deferred underwriting commissions. The Company granted the underwriter a 45-day option to purchase up to an additional 1,800,000 Units at the Initial Public Offering price to cover over-allotments. On May 3, 2021, the Company issued 754,784 Over-Allotment Units resulting in total gross proceeds of approximately $7.5 million, and the allotment option for the remaining 1,045,216 Over-Allotment units expired. </w:t>
      </w:r>
    </w:p>
    <w:p>
      <w:pPr>
        <w:pStyle w:val="TextBody"/>
        <w:bidi w:val="0"/>
        <w:spacing w:before="240" w:after="0"/>
        <w:jc w:val="left"/>
        <w:rPr>
          <w:rFonts w:ascii="Times New Roman" w:hAnsi="Times New Roman"/>
          <w:sz w:val="20"/>
        </w:rPr>
      </w:pPr>
      <w:r>
        <w:rPr>
          <w:rFonts w:ascii="Times New Roman" w:hAnsi="Times New Roman"/>
          <w:sz w:val="20"/>
        </w:rPr>
        <w:t xml:space="preserve">Each Unit consists of one Class A ordinary share, and one-third of one redeemable warrant (each, a Public Warrant). Each whole Public Warrant entitles the holder to purchase one Class A ordinary share at a price of $11.50 per share, subject to adjustment (see Note 8). On April 29, 2021, the Underwriters partially exercised the Over-allotment Option to purchase an additional 754,784 units (the Option Units). Each Option Unit consists of one Class A Ordinary Share and one-third of one Warrant. On May 3, 2021, the Company completed the 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Option Units to Underwriters for net proceeds of $7,396,883 in the aggregate after deducting the underwriter discount (the Option Unit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Note 4Related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January 18, 2021, the Sponsor paid $25,000 to cover certain expenses of the Company in consideration of 2,875,000 Class B ordinary shares, par value $0.0001, (the Founder Shares). On March 15, 2021, the Company effected a 6-for-5 share split, resulting in an aggregate of 3,450,000 Class B ordinary shares outstanding. Prior to the Initial Public Offering, the Sponsor transferred 25,000 Founder Shares to two of the Companys independent directors. These 50,000 shares are not subject to forfeiture in the event the underwriters over-allotment option is not exercised. The Sponsor agreed to forfeit up to 450,000 Founder Shares to the extent that the over-allotment option was not exercised in full by the underwriters, so that the Founder Shares will represent 20.0% of the Companys issued and outstanding ordinary shares (excluding the Private Placement Shares and assuming the initial shareholders do not purchase any Units in the Initial Public Offering) after the Initial Public Offering. On May 3, 2021, the Company issued 754,784 Over-Allotment Units resulting in the forfeiture of 261,304 Class B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sale or transfers of the Founder Shares to members of the Companys board of directors, as described above, is within the scope of FASB ASC Topic 718, Compensation-Stock Compensation (ASC 718). Under ASC 718, stock-based compensation associated with equity-classified awards is measured at fair value upon the grant date. The Founder Shares were effectively sold or transferred subject to a performance condition (i.e., the occurrence of a Business Combination). Compensation expense related to the Founder Shares is recognized only when the performance condition is probable of occurrence under the applicable accounting literature in this circumstance. Stock-based compensation would be recognized at the date a Business Combination is considered probable in an amount equal to the number of Founder Shares times the grant date fair value per share (unless subsequently modified) less the amount initially received for the purchase of the Founder Shares. As of December 31, 2022, the Company determined that a Business Combination is not considered probable until the business combination is completed, and therefore, no stock-based compensation expense has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 </w:t>
      </w:r>
    </w:p>
    <w:p>
      <w:pPr>
        <w:pStyle w:val="TextBody"/>
        <w:bidi w:val="0"/>
        <w:spacing w:before="360" w:after="0"/>
        <w:jc w:val="left"/>
        <w:rPr>
          <w:rFonts w:ascii="Times New Roman" w:hAnsi="Times New Roman"/>
          <w:i/>
          <w:sz w:val="20"/>
        </w:rPr>
      </w:pPr>
      <w:r>
        <w:rPr>
          <w:rFonts w:ascii="Times New Roman" w:hAnsi="Times New Roman"/>
          <w:i/>
          <w:sz w:val="20"/>
        </w:rPr>
        <w:t xml:space="preserve">Private Placement Units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Initial Public Offering, the Company consummated the Private Placement of 440,000 Private Placement Units, at a price of $10.00 per Private Placement Unit with the Sponsor, which generated gross proceeds of $4.4 million. If the over-allotment option is exercised in full, the Sponsor will purchase an additional 36,000 Private Placement Warrants. Simultaneously with the closing of the Over-Allotment on May 3, 2021, the Company consummated the second closing of the Private Placement, resulting in the purchase of an aggregate of an additional 15,096 Private Placement Units at $10.00 per additional Private Placement Unit (the Additional Private Placement Units), generating additional gross proceeds of approximately $151,000. The Private Placement Units (including the Private Placement Shares, the Private Placement Warrants (as defined below) and Class A ordinary shares issuable upon exercise of such warrants) will not be transferable or salable until 30 days after the completion of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Private Placement Unit consists of one non-redeemable Class A ordinary share and one-third of a private placement warrant. Each whole private placement warrant underlying the Private Placement Units (the Private Placement Warrants) is exercisable for one whole Class A ordinary share at a price of $11.50 per share. A portion of the proceeds from the Private Placement Units was added to the proceeds from the Initial Public Offering held in the Trust Account. If the Company does not complete a Business Combination within the Combination Period, the Private Placement Units and the underlying securities will expire worthless. The Private Placement Warrants will be non-redeemable (except as described in Note 6 below under Redemption of warrants for Class A ordinary shares when the price per Class A ordinary share equals or exceeds $10.00) and exercisable on a cashless basis so long as they are held by the Sponsor or its permitted transferees.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Units until 30 days after the completion of the initial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Due to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On January 18, 2021,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approximately $38,000 under the Note. The Company repaid the Note in full on March 22, 2021. Subsequent to the repayment, the facility was no longer available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Sponsor and certain investors have advanced an aggregate amount of approximately $360,000 into the Trust Account to cover for the over-allotment option, if exercised. If the over-allotment option was not exercised, the excess funds would have been returned to such related parties. Upon partial exercise of the over-allotment, on May 4, 2021, the Company returned excess cash of $209,040 to the related parties. </w:t>
      </w:r>
    </w:p>
    <w:p>
      <w:pPr>
        <w:pStyle w:val="TextBody"/>
        <w:bidi w:val="0"/>
        <w:spacing w:before="240" w:after="0"/>
        <w:jc w:val="left"/>
        <w:rPr>
          <w:rFonts w:ascii="Times New Roman" w:hAnsi="Times New Roman"/>
          <w:sz w:val="20"/>
        </w:rPr>
      </w:pPr>
      <w:r>
        <w:rPr>
          <w:rFonts w:ascii="Times New Roman" w:hAnsi="Times New Roman"/>
          <w:sz w:val="20"/>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As of December 31, 2022 and 2021, the Company had no outstanding borrowings under the Working Capital Loans.</w:t>
      </w:r>
    </w:p>
    <w:p>
      <w:pPr>
        <w:pStyle w:val="TextBody"/>
        <w:bidi w:val="0"/>
        <w:spacing w:before="360" w:after="0"/>
        <w:jc w:val="left"/>
        <w:rPr>
          <w:rFonts w:ascii="Times New Roman" w:hAnsi="Times New Roman"/>
          <w:i/>
          <w:sz w:val="20"/>
        </w:rPr>
      </w:pPr>
      <w:r>
        <w:rPr>
          <w:rFonts w:ascii="Times New Roman" w:hAnsi="Times New Roman"/>
          <w:i/>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date that the securities were first listed on the Nasdaq through the earlier of consummation of the initial Business Combination or the Companys liquidation, the Company agreed to reimburse the Sponsor for office space, administrative and support services provided to the Company in the amount of $20,000 per month. Such agreement was terminated as of October 17, 2022. For the year ended December 31, 2022 and for the period from January 8, 2021 (inception) through December 31, 2021, the Company incurred approximately $191,000 and $188,000 of such fees, which are recognized in general and administrative expenses-related party, in the accompanying consolidated statements of operations, respectively. As of December 31, 2022 and 2021, there was $197,000 and $0 of such fees in accounts payable on the consolidated balance sheets,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 </w:t>
      </w:r>
    </w:p>
    <w:p>
      <w:pPr>
        <w:pStyle w:val="TextBody"/>
        <w:bidi w:val="0"/>
        <w:spacing w:before="360" w:after="0"/>
        <w:jc w:val="left"/>
        <w:rPr>
          <w:rFonts w:ascii="Times New Roman" w:hAnsi="Times New Roman"/>
          <w:b/>
          <w:sz w:val="20"/>
        </w:rPr>
      </w:pPr>
      <w:r>
        <w:rPr>
          <w:rFonts w:ascii="Times New Roman" w:hAnsi="Times New Roman"/>
          <w:b/>
          <w:sz w:val="20"/>
        </w:rPr>
        <w:t xml:space="preserve">Note 5Commitments and Contingencies </w:t>
      </w:r>
    </w:p>
    <w:p>
      <w:pPr>
        <w:pStyle w:val="TextBody"/>
        <w:bidi w:val="0"/>
        <w:spacing w:before="120" w:after="0"/>
        <w:jc w:val="left"/>
        <w:rPr>
          <w:rFonts w:ascii="Times New Roman" w:hAnsi="Times New Roman"/>
          <w:i/>
          <w:sz w:val="20"/>
        </w:rPr>
      </w:pPr>
      <w:r>
        <w:rPr>
          <w:rFonts w:ascii="Times New Roman" w:hAnsi="Times New Roman"/>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Private Placement Units, Private Placement Warrants, Class A ordinary shares underlying the Private Placement Warrants and any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signed upon the effective date of the Initial Public Offering. The holders of these securities are entitled to make up to three demands, excluding short form demands, that the Company registered such securities. In addition, the holders have certain piggy-back registration rights with respect to registration statements filed subsequent to the completion of the initial Business Combination. However, the registration and shareholder rights agreement provide that the Company will not permit any registration statement filed under the Securities Act to become effective until termination of the applicable lockup period. The Company will bear the expenses incurred in connection with the filing of any such registration statements. As discussed below, this agreement was modified in connection with the Business Combination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Amended and Restated Registration Rights and 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Acquisition Closing Date, the Sponsor and certain shareholders of Oculis and New Parent will enter into an amended and restated registration rights agreement and lock-up agreement (the Amended and Restated Registration Rights and Lock-Up Agreement) pursuant to which, among other things, certain shareholders of New Parent will be granted certain customary demand and piggy-back registration rights with respect to their respective New Parent Shares. The Amended and Restated Registration Rights and Lock-Up Agreement will contain certain restrictions on transfer of New Parent Shares and other Registrable Securities (as defined therein) to be held by the Holders immediately following the Acquisition Closing (the Lock-up Securities). Such restrictions begin on the Acquisition Closing Date and end on the earlier of (x) (i) for the Sponsor the 270 days after the Acquisition Closing Date and (ii) for the rest of the Holders 180 days from the Acquisition Closing Date and (y) the last reported trading price of the New Parent Shares on Nasdaq exceeds $15.00 for 20 trading days within any 30 trading day period commencing at least 150 days after the Acquisition Closing Date. </w:t>
      </w:r>
    </w:p>
    <w:p>
      <w:pPr>
        <w:pStyle w:val="TextBody"/>
        <w:bidi w:val="0"/>
        <w:spacing w:before="360" w:after="0"/>
        <w:jc w:val="left"/>
        <w:rPr>
          <w:rFonts w:ascii="Times New Roman" w:hAnsi="Times New Roman"/>
          <w:i/>
          <w:sz w:val="20"/>
        </w:rPr>
      </w:pPr>
      <w:r>
        <w:rPr>
          <w:rFonts w:ascii="Times New Roman" w:hAnsi="Times New Roman"/>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were entitled to an underwriting discount of $0.20 per Unit, or $2.6 million in the aggregate, paid upon the closing of the Initial Public Offering. In addition, $0.35 per unit, or $4.5 million in the aggregate will be payable to the underwriters for deferred underwriting commissions. On May 3, 2021, the underwriters partially exercised their over-allotment option. As a result, the underwriters were entitled to an underwriting discount of approximately $151,000, which was paid upon closing of the over-allotment. In addition, $264,000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the accounting for this arrangement is outside the scope of ASC 842, Leases, due to its short-term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14, 2022, the Company executed a lease agreement with Oculis SA, subleasing office space of approximately 12 square meter space in Lausanne, Switzerland. The lease calls for monthly minimum lease payments and other charges of approximately CHF 535 during the term of the sublease, which ends on June 30, 2023. For the year ended December 31, 2022 and for the period from January 8, 2021 (inception) through December 31, 2021, the Company incurred approximately $2,100 and $0, respectively, in rental lease expenses. The Company has determined that the accounting for this arrangement is outside the scope of ASC 842. Leases, due to its short term nature. </w:t>
      </w:r>
    </w:p>
    <w:p>
      <w:pPr>
        <w:pStyle w:val="TextBody"/>
        <w:bidi w:val="0"/>
        <w:spacing w:before="360" w:after="0"/>
        <w:jc w:val="left"/>
        <w:rPr>
          <w:rFonts w:ascii="Times New Roman" w:hAnsi="Times New Roman"/>
          <w:b/>
          <w:sz w:val="20"/>
        </w:rPr>
      </w:pPr>
      <w:r>
        <w:rPr>
          <w:rFonts w:ascii="Times New Roman" w:hAnsi="Times New Roman"/>
          <w:b/>
          <w:sz w:val="20"/>
        </w:rPr>
        <w:t xml:space="preserve">Note 6Class A Ordinary Shares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Class A ordinary shares feature certain redemption rights that are considered to be outside of the Companys control and subject to the occurrence of future events. The Company is authorized to issue 200,000,000 Class A ordinary shares with a par value of $0.0001 per share. Holder of the Companys Class A ordinary shares are entitled to one vote for each share. As of December 31, 2022 and 2021, there were 12,754,784 Class A ordinary shares were subject to possible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Class A ordinary shares subject to possible redemption reflected on the consolidated balance sheets is reconciled on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4"/>
        <w:gridCol w:w="434"/>
        <w:gridCol w:w="144"/>
        <w:gridCol w:w="1428"/>
        <w:gridCol w:w="159"/>
      </w:tblGrid>
      <w:tr>
        <w:trPr/>
        <w:tc>
          <w:tcPr>
            <w:tcW w:w="4774"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 from Initial Public Offering</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127,547,840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Public Warrants at issuance</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(5,331,850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Offering costs allocated to Class A ordinary shares subject to possible redemption</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(7,214,179</w:t>
            </w:r>
          </w:p>
        </w:tc>
        <w:tc>
          <w:tcPr>
            <w:tcW w:w="159" w:type="dxa"/>
            <w:tcBorders/>
            <w:vAlign w:val="bottom"/>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of Class A ordinary shares subject to possible redemption amount</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12,546,029</w:t>
            </w:r>
          </w:p>
        </w:tc>
        <w:tc>
          <w:tcPr>
            <w:tcW w:w="159"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2021</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127,547,840</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tcPr>
          <w:p>
            <w:pPr>
              <w:pStyle w:val="TableContents"/>
              <w:bidi w:val="0"/>
              <w:spacing w:before="0" w:after="0"/>
              <w:jc w:val="left"/>
              <w:rPr>
                <w:rFonts w:ascii="Times New Roman" w:hAnsi="Times New Roman"/>
                <w:sz w:val="20"/>
              </w:rPr>
            </w:pPr>
            <w:r>
              <w:rPr>
                <w:rFonts w:ascii="Times New Roman" w:hAnsi="Times New Roman"/>
                <w:sz w:val="20"/>
              </w:rPr>
              <w:t>Subsequent remeasurement of Class A ordinary shares subject to possible redemption amount</w:t>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1,715,355</w:t>
            </w:r>
          </w:p>
        </w:tc>
        <w:tc>
          <w:tcPr>
            <w:tcW w:w="159" w:type="dxa"/>
            <w:tcBorders/>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14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 December 31, 2022</w:t>
            </w:r>
          </w:p>
        </w:tc>
        <w:tc>
          <w:tcPr>
            <w:tcW w:w="43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129,263,195</w:t>
            </w:r>
          </w:p>
        </w:tc>
        <w:tc>
          <w:tcPr>
            <w:tcW w:w="159" w:type="dxa"/>
            <w:tcBorders/>
            <w:shd w:fill="CCEEFF" w:val="clear"/>
            <w:vAlign w:val="bottom"/>
          </w:tcPr>
          <w:p>
            <w:pPr>
              <w:pStyle w:val="TableContents"/>
              <w:bidi w:val="0"/>
              <w:spacing w:before="0" w:after="283"/>
              <w:jc w:val="left"/>
              <w:rPr/>
            </w:pPr>
            <w:r>
              <w:rPr/>
              <w:t> </w:t>
            </w:r>
          </w:p>
        </w:tc>
      </w:tr>
      <w:tr>
        <w:trPr/>
        <w:tc>
          <w:tcPr>
            <w:tcW w:w="4774" w:type="dxa"/>
            <w:tcBorders/>
            <w:vAlign w:val="bottom"/>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14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7Shareholders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Preference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preference shares with a par value of $0.0001 per share with such designations, voting and other rights and preferences as may be determined from time to time by the Companys board of directors. As of December 31, 2022 and 2021, there were no preference shares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200,000,000 Class A ordinary shares with a par value of $0.0001 per share. As of December 31, 2022 and 2021, there were 13,209,880 Class A ordinary shares issued and outstanding, of which 12,754,784 shares were subject to possible redemption and are classified as temporary equity (see Note 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Class B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Class B ordinary shares with a par value of $0.0001 per share. As of December 31, 2022 and 2021, the Company had 3,188,696 Class B ordinary shares issued and outstanding (See Note 4). 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 The Class B ordinary shares will automatically convert into Class A ordinary shares at the time of the initial Business Combination or earlier at the option of the holders thereof at a ratio such that the number of Class A ordinary shares issuable upon conversion of all Founder Shares will equal, in the aggregate, on an as converted basis, 20% of the sum of (i) the total number of ordinary shares issued and outstanding (excluding the Private Placement Shares underlying the Private Placement Units) upon completion of the Initial Public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Companys Sponsor, its affiliates or any member of the Companys management team upon conversion of Working Capital Loans. In no event will the Class B ordinary shares convert into Class A ordinary shares at a rate of less than one-to-one. However, in connection with the Sponsor Support Agreement entered into with EBAC, the Sponsor and Oculis in connection with the Business Combination Agreement, the Sponsor has agreed to waive certain of these anti-dilution adjustments, contingent upon and effective as of the Acquisition Closing. </w:t>
      </w:r>
    </w:p>
    <w:p>
      <w:pPr>
        <w:pStyle w:val="TextBody"/>
        <w:bidi w:val="0"/>
        <w:spacing w:before="360" w:after="0"/>
        <w:jc w:val="left"/>
        <w:rPr>
          <w:rFonts w:ascii="Times New Roman" w:hAnsi="Times New Roman"/>
          <w:b/>
          <w:sz w:val="20"/>
        </w:rPr>
      </w:pPr>
      <w:r>
        <w:rPr>
          <w:rFonts w:ascii="Times New Roman" w:hAnsi="Times New Roman"/>
          <w:b/>
          <w:sz w:val="20"/>
        </w:rPr>
        <w:t xml:space="preserve">Note 8Derivative 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and 2021, the Company had 4,251,595 Public Warrants and 151,699 Private Placement Warrants outstanding. Public Warrants may only be exercised for a whole number of shares. The Public Warrants will become exercisable on the later of (a) 30 days after the completion of a Business Combination or (b) 12 months from the closing of the Initial Public Offering. The Company agreed that as soon as practicable, but in no event later than 20 business days after the closing of the initial Business Combination, the Company will use its commercially reasonable efforts to file with the SEC a registration statement covering the Class A ordinary shares issuable upon exercise of the warrants, and the Company will use its commercially reasonable efforts to cause the same to become effective within 60 business days after the closing of the initial Business Combination, and to maintain the effectiveness of such registration statement and a current prospectus relating to those Class A ordinary shares until the warrants expire or are redeemed, as specified in the warrant agreement; provided that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but the Company will use its best efforts to register or qualify the shares under applicable blue sky laws to the extent an exemption is not available. </w:t>
      </w:r>
    </w:p>
    <w:p>
      <w:pPr>
        <w:pStyle w:val="TextBody"/>
        <w:bidi w:val="0"/>
        <w:spacing w:before="240" w:after="0"/>
        <w:jc w:val="left"/>
        <w:rPr>
          <w:rFonts w:ascii="Times New Roman" w:hAnsi="Times New Roman"/>
          <w:sz w:val="20"/>
        </w:rPr>
      </w:pPr>
      <w:r>
        <w:rPr>
          <w:rFonts w:ascii="Times New Roman" w:hAnsi="Times New Roman"/>
          <w:sz w:val="20"/>
        </w:rPr>
        <w:t xml:space="preserve">The warrant has an exercise price of $11.50, subject to adjustments as described herein,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$9.20 per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Class A ordinary shares during the 20 trading day period starting on the trading day prior to the day on which the Company consummates the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under Redemption of warrants when the price per Class A ordinary share equals or exceeds $10.00 will be adjusted (to the nearest cent) to be equal to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Placement Warrants have terms and provisions that are identical to those of the Public Warrants, except as described below. The Private Placement Warrants (including the Class A ordinary shares issuable upon exercise of the Private Placement Warrants) will not be transferable, assignable or salable until 30 days after the completion of the initial Business Combination (except pursuant to limited exceptions to the officers and directors and other persons or entities affiliated with the initial purchasers of the Private Placement Warrants) and they will not be redeemable by the Company (except as described under Redemption of warrants when the price per Class A ordinary share equals or exceeds $10.00) so long as they are held by the Sponsor or its permitted transferees (except as otherwise set forth herein). The Sponsor, or its permitted transferees, has the option to exercise the Private Placement Warrants on a cashless basis. If the private Placement Warrants are held by holders other than the Sponsor or its permitted transferees, the Private Placement Warrants will be redeemable by the Company in all redemption scenarios and exercisable by the holders on the same basis as the Public Warrants. </w:t>
      </w:r>
    </w:p>
    <w:p>
      <w:pPr>
        <w:pStyle w:val="TextBody"/>
        <w:bidi w:val="0"/>
        <w:spacing w:before="360" w:after="0"/>
        <w:jc w:val="left"/>
        <w:rPr>
          <w:rFonts w:ascii="Times New Roman" w:hAnsi="Times New Roman"/>
          <w:i/>
          <w:sz w:val="20"/>
        </w:rPr>
      </w:pPr>
      <w:r>
        <w:rPr>
          <w:rFonts w:ascii="Times New Roman" w:hAnsi="Times New Roman"/>
          <w:i/>
          <w:sz w:val="20"/>
        </w:rPr>
        <w:t xml:space="preserve">Redemption of warrants when the price per Class A ordinary share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(except with respect to the Private Placement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at a price of $0.01 per warrant;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a minimum of 30 days prior written notice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last reported sales price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not redeem the warrants as described above unless an effective registration statement under the Securities Act covering the Class A ordinary shares issuable upon exercise of the warrants is effective and a current prospectus relating to those Class A ordinary shares is available throughout the 30-day redemption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Redemption of warrants when the price per Class A ordinary share equals or exceeds $10.00. </w:t>
      </w:r>
    </w:p>
    <w:p>
      <w:pPr>
        <w:pStyle w:val="TextBody"/>
        <w:bidi w:val="0"/>
        <w:spacing w:before="12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$0.10 per warrant upon a minimum of 30 days prior written notice of redemption </w:t>
            </w:r>
            <w:r>
              <w:rPr>
                <w:rFonts w:ascii="Times New Roman" w:hAnsi="Times New Roman"/>
                <w:i/>
                <w:sz w:val="20"/>
              </w:rPr>
              <w:t>provided</w:t>
            </w:r>
            <w:r>
              <w:rPr>
                <w:rFonts w:ascii="Times New Roman" w:hAnsi="Times New Roman"/>
                <w:sz w:val="20"/>
              </w:rPr>
              <w:t xml:space="preserve"> that holders will be able to exercise their warrants on a cashless basis prior to redemption and receive that number of shares determined by reference to an agreed table based on the redemption date and the fair market value of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closing price of Class A ordinary shares equals or exceeds $10.00 per Public Share (as adjusted) for any 20 trading days within the 30-trading day period ending three trading days before the Company sends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market value of Class A ordinary shares for the above purpose shall mean the volume weighted average price of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has not completed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 </w:t>
      </w:r>
    </w:p>
    <w:p>
      <w:pPr>
        <w:pStyle w:val="TextBody"/>
        <w:bidi w:val="0"/>
        <w:spacing w:before="360" w:after="0"/>
        <w:jc w:val="left"/>
        <w:rPr>
          <w:rFonts w:ascii="Times New Roman" w:hAnsi="Times New Roman"/>
          <w:b/>
          <w:sz w:val="20"/>
        </w:rPr>
      </w:pPr>
      <w:r>
        <w:rPr>
          <w:rFonts w:ascii="Times New Roman" w:hAnsi="Times New Roman"/>
          <w:b/>
          <w:sz w:val="20"/>
        </w:rPr>
        <w:t xml:space="preserve">Note 9Fair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and liabilities that are measured at fair value on a recurring basis as of December 31, 2022 and 2021 and indicates the fair value hierarchy of the valuation techniques that the Company utilized to determine such fair value. </w:t>
      </w:r>
    </w:p>
    <w:p>
      <w:pPr>
        <w:pStyle w:val="TextBody"/>
        <w:bidi w:val="0"/>
        <w:spacing w:before="240" w:after="0"/>
        <w:jc w:val="left"/>
        <w:rPr>
          <w:rFonts w:ascii="Times New Roman" w:hAnsi="Times New Roman"/>
          <w:b/>
          <w:sz w:val="20"/>
        </w:rPr>
      </w:pPr>
      <w:r>
        <w:rPr>
          <w:rFonts w:ascii="Times New Roman" w:hAnsi="Times New Roman"/>
          <w:b/>
          <w:sz w:val="20"/>
        </w:rPr>
        <w:t xml:space="preserve">December 31,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6"/>
        <w:gridCol w:w="373"/>
        <w:gridCol w:w="148"/>
        <w:gridCol w:w="1325"/>
        <w:gridCol w:w="60"/>
        <w:gridCol w:w="373"/>
        <w:gridCol w:w="201"/>
        <w:gridCol w:w="985"/>
        <w:gridCol w:w="60"/>
        <w:gridCol w:w="373"/>
        <w:gridCol w:w="736"/>
        <w:gridCol w:w="736"/>
        <w:gridCol w:w="66"/>
      </w:tblGrid>
      <w:tr>
        <w:trPr/>
        <w:tc>
          <w:tcPr>
            <w:tcW w:w="3136"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bottom"/>
          </w:tcPr>
          <w:p>
            <w:pPr>
              <w:pStyle w:val="TableContents"/>
              <w:bidi w:val="0"/>
              <w:spacing w:before="0" w:after="283"/>
              <w:jc w:val="left"/>
              <w:rPr>
                <w:b/>
              </w:rPr>
            </w:pPr>
            <w:r>
              <w:rPr>
                <w:b/>
              </w:rPr>
              <w:t>Description</w:t>
            </w:r>
          </w:p>
        </w:tc>
        <w:tc>
          <w:tcPr>
            <w:tcW w:w="373"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pPr>
            <w:r>
              <w:rPr>
                <w:b/>
              </w:rPr>
              <w:t>Quoted Prices</w:t>
              <w:br/>
              <w:t>in Active</w:t>
              <w:br/>
              <w:t>Markets</w:t>
            </w:r>
            <w:r>
              <w:rPr/>
              <w:br/>
            </w:r>
            <w:r>
              <w:rPr>
                <w:b/>
              </w:rPr>
              <w:t>(Level 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Observable</w:t>
              <w:br/>
              <w:t>Inputs</w:t>
              <w:br/>
              <w:t>(Level 2)</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br/>
              <w:t>Other</w:t>
              <w:br/>
              <w:t>Unobservable</w:t>
              <w:br/>
              <w:t>Inputs</w:t>
            </w:r>
            <w:r>
              <w:rPr/>
              <w:br/>
            </w:r>
            <w:r>
              <w:rPr>
                <w:b/>
              </w:rPr>
              <w:t>(Level 3)</w:t>
            </w:r>
          </w:p>
        </w:tc>
        <w:tc>
          <w:tcPr>
            <w:tcW w:w="66"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  Money Market Funds</w:t>
            </w:r>
          </w:p>
        </w:tc>
        <w:tc>
          <w:tcPr>
            <w:tcW w:w="3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129,396,138</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w:t>
            </w:r>
          </w:p>
        </w:tc>
        <w:tc>
          <w:tcPr>
            <w:tcW w:w="73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3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136"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  Public warrants</w:t>
            </w:r>
          </w:p>
        </w:tc>
        <w:tc>
          <w:tcPr>
            <w:tcW w:w="37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325" w:type="dxa"/>
            <w:tcBorders/>
            <w:vAlign w:val="bottom"/>
          </w:tcPr>
          <w:p>
            <w:pPr>
              <w:pStyle w:val="TableContents"/>
              <w:bidi w:val="0"/>
              <w:spacing w:before="0" w:after="283"/>
              <w:jc w:val="right"/>
              <w:rPr/>
            </w:pPr>
            <w:r>
              <w:rPr/>
              <w:t>1,275,480</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left"/>
              <w:rPr/>
            </w:pPr>
            <w:r>
              <w:rPr/>
              <w:t>$</w:t>
            </w:r>
          </w:p>
        </w:tc>
        <w:tc>
          <w:tcPr>
            <w:tcW w:w="736"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warrant liabilities  Private placement warrants</w:t>
            </w:r>
          </w:p>
        </w:tc>
        <w:tc>
          <w:tcPr>
            <w:tcW w:w="37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45,510</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December 31, 2021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70"/>
        <w:gridCol w:w="422"/>
        <w:gridCol w:w="140"/>
        <w:gridCol w:w="1260"/>
        <w:gridCol w:w="60"/>
        <w:gridCol w:w="422"/>
        <w:gridCol w:w="200"/>
        <w:gridCol w:w="983"/>
        <w:gridCol w:w="60"/>
        <w:gridCol w:w="422"/>
        <w:gridCol w:w="734"/>
        <w:gridCol w:w="734"/>
        <w:gridCol w:w="65"/>
      </w:tblGrid>
      <w:tr>
        <w:trPr/>
        <w:tc>
          <w:tcPr>
            <w:tcW w:w="3070"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070" w:type="dxa"/>
            <w:tcBorders/>
            <w:vAlign w:val="bottom"/>
          </w:tcPr>
          <w:p>
            <w:pPr>
              <w:pStyle w:val="TableContents"/>
              <w:bidi w:val="0"/>
              <w:spacing w:before="0" w:after="283"/>
              <w:jc w:val="left"/>
              <w:rPr>
                <w:b/>
              </w:rPr>
            </w:pPr>
            <w:r>
              <w:rPr>
                <w:b/>
              </w:rPr>
              <w:t>Description</w:t>
            </w:r>
          </w:p>
        </w:tc>
        <w:tc>
          <w:tcPr>
            <w:tcW w:w="422"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Quoted Prices</w:t>
              <w:br/>
              <w:t>in Active</w:t>
              <w:br/>
              <w:t>Markets</w:t>
              <w:br/>
              <w:t>(Level 1)</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Observable</w:t>
              <w:br/>
              <w:t>Inputs</w:t>
              <w:br/>
              <w:t>(Level 2)</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Unobservable</w:t>
              <w:br/>
              <w:t>Inputs</w:t>
              <w:br/>
              <w:t>(Level 3)</w:t>
            </w:r>
          </w:p>
        </w:tc>
        <w:tc>
          <w:tcPr>
            <w:tcW w:w="65" w:type="dxa"/>
            <w:tcBorders/>
            <w:vAlign w:val="bottom"/>
          </w:tcPr>
          <w:p>
            <w:pPr>
              <w:pStyle w:val="TableContents"/>
              <w:bidi w:val="0"/>
              <w:spacing w:before="0" w:after="283"/>
              <w:jc w:val="left"/>
              <w:rPr/>
            </w:pPr>
            <w:r>
              <w:rPr/>
              <w:t> </w:t>
            </w:r>
          </w:p>
        </w:tc>
      </w:tr>
      <w:tr>
        <w:trPr/>
        <w:tc>
          <w:tcPr>
            <w:tcW w:w="3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0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  Money Market Funds</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127,556,289</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0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73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070"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  Public warrants</w:t>
            </w:r>
          </w:p>
        </w:tc>
        <w:tc>
          <w:tcPr>
            <w:tcW w:w="4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2,550,960</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warrant liabilities  Private placement warrants</w:t>
            </w:r>
          </w:p>
        </w:tc>
        <w:tc>
          <w:tcPr>
            <w:tcW w:w="4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91,020</w:t>
            </w:r>
          </w:p>
        </w:tc>
        <w:tc>
          <w:tcPr>
            <w:tcW w:w="60"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Transfers to/from Levels 1, 2, and 3 are recognized at the beginning of the reporting period. The estimated fair value of the Public Warrants was transferred from a Level 3 measurement to a Level 1 measurement in May 2021, when the Public Warrants were separately listed and traded in an active market. The estimated fair value of the Private Placement Warrants was transferred from a Level 3 measurement to a Level 2 measurement in May 2021, as the transfer of Private Placement Warrants to anyone who is not a permitted transferee would result in the Private Placement Warrants having substantially the same terms as the Public Warrants, so the Company determined that the fair value of each Private Placement Warrant is equivalent to that of each Public Warrant. </w:t>
      </w:r>
    </w:p>
    <w:p>
      <w:pPr>
        <w:pStyle w:val="TextBody"/>
        <w:bidi w:val="0"/>
        <w:spacing w:before="240" w:after="0"/>
        <w:jc w:val="left"/>
        <w:rPr>
          <w:rFonts w:ascii="Times New Roman" w:hAnsi="Times New Roman"/>
          <w:sz w:val="20"/>
        </w:rPr>
      </w:pPr>
      <w:r>
        <w:rPr>
          <w:rFonts w:ascii="Times New Roman" w:hAnsi="Times New Roman"/>
          <w:sz w:val="20"/>
        </w:rPr>
        <w:t xml:space="preserve">Level 1 assets include investments in mutual funds that invest solely in U.S. government securities. The Company uses inputs such as actual trade data, quoted market prices from dealers or brokers, and other similar sources to determine the fair value of its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quantitative information regarding Level 3 fair value measurements inputs at their measurement dates: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76"/>
        <w:gridCol w:w="505"/>
        <w:gridCol w:w="214"/>
        <w:gridCol w:w="865"/>
        <w:gridCol w:w="279"/>
        <w:gridCol w:w="404"/>
        <w:gridCol w:w="145"/>
        <w:gridCol w:w="584"/>
        <w:gridCol w:w="283"/>
      </w:tblGrid>
      <w:tr>
        <w:trPr/>
        <w:tc>
          <w:tcPr>
            <w:tcW w:w="4476"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47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18,</w:t>
              <w:br/>
              <w:t>2021</w:t>
            </w:r>
          </w:p>
        </w:tc>
        <w:tc>
          <w:tcPr>
            <w:tcW w:w="27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May 3,</w:t>
              <w:br/>
              <w:t>2021</w:t>
            </w:r>
          </w:p>
        </w:tc>
        <w:tc>
          <w:tcPr>
            <w:tcW w:w="283"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price</w:t>
            </w:r>
          </w:p>
        </w:tc>
        <w:tc>
          <w:tcPr>
            <w:tcW w:w="50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11.50</w:t>
            </w:r>
          </w:p>
        </w:tc>
        <w:tc>
          <w:tcPr>
            <w:tcW w:w="279"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11.50</w:t>
            </w:r>
          </w:p>
        </w:tc>
        <w:tc>
          <w:tcPr>
            <w:tcW w:w="283"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50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9.58</w:t>
            </w:r>
          </w:p>
        </w:tc>
        <w:tc>
          <w:tcPr>
            <w:tcW w:w="27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9.59</w:t>
            </w:r>
          </w:p>
        </w:tc>
        <w:tc>
          <w:tcPr>
            <w:tcW w:w="283"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50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21.7</w:t>
            </w:r>
          </w:p>
        </w:tc>
        <w:tc>
          <w:tcPr>
            <w:tcW w:w="279"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18.6</w:t>
            </w:r>
          </w:p>
        </w:tc>
        <w:tc>
          <w:tcPr>
            <w:tcW w:w="283" w:type="dxa"/>
            <w:tcBorders/>
            <w:shd w:fill="CCEEFF" w:val="clear"/>
            <w:vAlign w:val="bottom"/>
          </w:tcPr>
          <w:p>
            <w:pPr>
              <w:pStyle w:val="TableContents"/>
              <w:bidi w:val="0"/>
              <w:spacing w:before="0" w:after="283"/>
              <w:jc w:val="left"/>
              <w:rPr/>
            </w:pPr>
            <w:r>
              <w:rPr/>
              <w:t>% </w:t>
            </w:r>
          </w:p>
        </w:tc>
      </w:tr>
      <w:tr>
        <w:trPr/>
        <w:tc>
          <w:tcPr>
            <w:tcW w:w="4476" w:type="dxa"/>
            <w:tcBorders/>
          </w:tcPr>
          <w:p>
            <w:pPr>
              <w:pStyle w:val="TableContents"/>
              <w:bidi w:val="0"/>
              <w:spacing w:before="0" w:after="0"/>
              <w:jc w:val="left"/>
              <w:rPr>
                <w:rFonts w:ascii="Times New Roman" w:hAnsi="Times New Roman"/>
                <w:sz w:val="20"/>
              </w:rPr>
            </w:pPr>
            <w:r>
              <w:rPr>
                <w:rFonts w:ascii="Times New Roman" w:hAnsi="Times New Roman"/>
                <w:sz w:val="20"/>
              </w:rPr>
              <w:t>Term</w:t>
            </w:r>
          </w:p>
        </w:tc>
        <w:tc>
          <w:tcPr>
            <w:tcW w:w="50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5.5</w:t>
            </w:r>
          </w:p>
        </w:tc>
        <w:tc>
          <w:tcPr>
            <w:tcW w:w="27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5.5</w:t>
            </w:r>
          </w:p>
        </w:tc>
        <w:tc>
          <w:tcPr>
            <w:tcW w:w="283" w:type="dxa"/>
            <w:tcBorders/>
            <w:vAlign w:val="bottom"/>
          </w:tcPr>
          <w:p>
            <w:pPr>
              <w:pStyle w:val="TableContents"/>
              <w:bidi w:val="0"/>
              <w:spacing w:before="0" w:after="283"/>
              <w:jc w:val="left"/>
              <w:rPr/>
            </w:pPr>
            <w:r>
              <w:rPr/>
              <w:t> </w:t>
            </w:r>
          </w:p>
        </w:tc>
      </w:tr>
      <w:tr>
        <w:trPr/>
        <w:tc>
          <w:tcPr>
            <w:tcW w:w="4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0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0.95</w:t>
            </w:r>
          </w:p>
        </w:tc>
        <w:tc>
          <w:tcPr>
            <w:tcW w:w="279"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0.95</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utilized a Monte-Carlo simulation to estimate the fair value of the Public and Private Placement Warrants at the issuance dates, and as of March 31, 2021, when the Public and Private Placement Warrants were held at Level 3. For the year ended December 31, 2022 and for the period from January 8, 2021 (inception) through December 31, 2021, the Company recognized a gain/(loss) resulting from changes in the fair value of derivative warrant liabilities of approximately $1.3 million and $2.9 million, respectively, which is presented in the accompanying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change in the fair value of the derivative warrant liabilities, measured using Level 3 inputs, for the period from January 8, 2021 (inception) through December 31, 2021 is summarized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37"/>
        <w:gridCol w:w="838"/>
        <w:gridCol w:w="140"/>
        <w:gridCol w:w="1066"/>
        <w:gridCol w:w="158"/>
      </w:tblGrid>
      <w:tr>
        <w:trPr/>
        <w:tc>
          <w:tcPr>
            <w:tcW w:w="4737" w:type="dxa"/>
            <w:tcBorders/>
            <w:vAlign w:val="center"/>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warrant liabilities at January 8, 2021 (inception)</w:t>
            </w:r>
          </w:p>
        </w:tc>
        <w:tc>
          <w:tcPr>
            <w:tcW w:w="8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73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Public and Private Placement Warrants</w:t>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5,229,200</w:t>
            </w:r>
          </w:p>
        </w:tc>
        <w:tc>
          <w:tcPr>
            <w:tcW w:w="158" w:type="dxa"/>
            <w:tcBorders/>
            <w:vAlign w:val="bottom"/>
          </w:tcPr>
          <w:p>
            <w:pPr>
              <w:pStyle w:val="TableContents"/>
              <w:bidi w:val="0"/>
              <w:spacing w:before="0" w:after="283"/>
              <w:jc w:val="left"/>
              <w:rPr/>
            </w:pPr>
            <w:r>
              <w:rPr/>
              <w:t> </w:t>
            </w:r>
          </w:p>
        </w:tc>
      </w:tr>
      <w:tr>
        <w:trPr/>
        <w:tc>
          <w:tcPr>
            <w:tcW w:w="4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Public Warrantsover-allotment</w:t>
            </w:r>
          </w:p>
        </w:tc>
        <w:tc>
          <w:tcPr>
            <w:tcW w:w="8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291,850</w:t>
            </w:r>
          </w:p>
        </w:tc>
        <w:tc>
          <w:tcPr>
            <w:tcW w:w="158" w:type="dxa"/>
            <w:tcBorders/>
            <w:shd w:fill="CCEEFF" w:val="clear"/>
            <w:vAlign w:val="bottom"/>
          </w:tcPr>
          <w:p>
            <w:pPr>
              <w:pStyle w:val="TableContents"/>
              <w:bidi w:val="0"/>
              <w:spacing w:before="0" w:after="283"/>
              <w:jc w:val="left"/>
              <w:rPr/>
            </w:pPr>
            <w:r>
              <w:rPr/>
              <w:t> </w:t>
            </w:r>
          </w:p>
        </w:tc>
      </w:tr>
      <w:tr>
        <w:trPr/>
        <w:tc>
          <w:tcPr>
            <w:tcW w:w="4737"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Private Placement Warrantsover-allotment</w:t>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5,840</w:t>
            </w:r>
          </w:p>
        </w:tc>
        <w:tc>
          <w:tcPr>
            <w:tcW w:w="158" w:type="dxa"/>
            <w:tcBorders/>
            <w:vAlign w:val="bottom"/>
          </w:tcPr>
          <w:p>
            <w:pPr>
              <w:pStyle w:val="TableContents"/>
              <w:bidi w:val="0"/>
              <w:spacing w:before="0" w:after="283"/>
              <w:jc w:val="left"/>
              <w:rPr/>
            </w:pPr>
            <w:r>
              <w:rPr/>
              <w:t> </w:t>
            </w:r>
          </w:p>
        </w:tc>
      </w:tr>
      <w:tr>
        <w:trPr/>
        <w:tc>
          <w:tcPr>
            <w:tcW w:w="4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of Public Warrants to Level 1</w:t>
            </w:r>
          </w:p>
        </w:tc>
        <w:tc>
          <w:tcPr>
            <w:tcW w:w="8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(4,691,850</w:t>
            </w:r>
          </w:p>
        </w:tc>
        <w:tc>
          <w:tcPr>
            <w:tcW w:w="158" w:type="dxa"/>
            <w:tcBorders/>
            <w:shd w:fill="CCEEFF" w:val="clear"/>
            <w:vAlign w:val="bottom"/>
          </w:tcPr>
          <w:p>
            <w:pPr>
              <w:pStyle w:val="TableContents"/>
              <w:bidi w:val="0"/>
              <w:spacing w:before="0" w:after="283"/>
              <w:jc w:val="left"/>
              <w:rPr/>
            </w:pPr>
            <w:r>
              <w:rPr/>
              <w:t>) </w:t>
            </w:r>
          </w:p>
        </w:tc>
      </w:tr>
      <w:tr>
        <w:trPr/>
        <w:tc>
          <w:tcPr>
            <w:tcW w:w="4737" w:type="dxa"/>
            <w:tcBorders/>
          </w:tcPr>
          <w:p>
            <w:pPr>
              <w:pStyle w:val="TableContents"/>
              <w:bidi w:val="0"/>
              <w:spacing w:before="0" w:after="0"/>
              <w:jc w:val="left"/>
              <w:rPr>
                <w:rFonts w:ascii="Times New Roman" w:hAnsi="Times New Roman"/>
                <w:sz w:val="20"/>
              </w:rPr>
            </w:pPr>
            <w:r>
              <w:rPr>
                <w:rFonts w:ascii="Times New Roman" w:hAnsi="Times New Roman"/>
                <w:sz w:val="20"/>
              </w:rPr>
              <w:t>Transfer of Private Placement Warrants to Level 2</w:t>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(171,570</w:t>
            </w:r>
          </w:p>
        </w:tc>
        <w:tc>
          <w:tcPr>
            <w:tcW w:w="158" w:type="dxa"/>
            <w:tcBorders/>
            <w:vAlign w:val="bottom"/>
          </w:tcPr>
          <w:p>
            <w:pPr>
              <w:pStyle w:val="TableContents"/>
              <w:bidi w:val="0"/>
              <w:spacing w:before="0" w:after="283"/>
              <w:jc w:val="left"/>
              <w:rPr/>
            </w:pPr>
            <w:r>
              <w:rPr/>
              <w:t>) </w:t>
            </w:r>
          </w:p>
        </w:tc>
      </w:tr>
      <w:tr>
        <w:trPr/>
        <w:tc>
          <w:tcPr>
            <w:tcW w:w="47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warrant liabilities</w:t>
            </w:r>
          </w:p>
        </w:tc>
        <w:tc>
          <w:tcPr>
            <w:tcW w:w="8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(663,470</w:t>
            </w:r>
          </w:p>
        </w:tc>
        <w:tc>
          <w:tcPr>
            <w:tcW w:w="158" w:type="dxa"/>
            <w:tcBorders/>
            <w:shd w:fill="CCEEFF" w:val="clear"/>
            <w:vAlign w:val="bottom"/>
          </w:tcPr>
          <w:p>
            <w:pPr>
              <w:pStyle w:val="TableContents"/>
              <w:bidi w:val="0"/>
              <w:spacing w:before="0" w:after="283"/>
              <w:jc w:val="left"/>
              <w:rPr/>
            </w:pPr>
            <w:r>
              <w:rPr/>
              <w:t>) </w:t>
            </w:r>
          </w:p>
        </w:tc>
      </w:tr>
      <w:tr>
        <w:trPr/>
        <w:tc>
          <w:tcPr>
            <w:tcW w:w="4737"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37" w:type="dxa"/>
            <w:tcBorders/>
          </w:tcPr>
          <w:p>
            <w:pPr>
              <w:pStyle w:val="TableContents"/>
              <w:bidi w:val="0"/>
              <w:spacing w:before="0" w:after="0"/>
              <w:jc w:val="left"/>
              <w:rPr>
                <w:rFonts w:ascii="Times New Roman" w:hAnsi="Times New Roman"/>
                <w:sz w:val="20"/>
              </w:rPr>
            </w:pPr>
            <w:r>
              <w:rPr>
                <w:rFonts w:ascii="Times New Roman" w:hAnsi="Times New Roman"/>
                <w:sz w:val="20"/>
              </w:rPr>
              <w:t>Derivative warrant liabilities at December 31, 2021</w:t>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737" w:type="dxa"/>
            <w:tcBorders/>
            <w:vAlign w:val="bottom"/>
          </w:tcPr>
          <w:p>
            <w:pPr>
              <w:pStyle w:val="TableContents"/>
              <w:bidi w:val="0"/>
              <w:spacing w:before="0" w:after="283"/>
              <w:jc w:val="left"/>
              <w:rPr>
                <w:sz w:val="4"/>
                <w:szCs w:val="4"/>
              </w:rPr>
            </w:pPr>
            <w:r>
              <w:rPr>
                <w:sz w:val="4"/>
                <w:szCs w:val="4"/>
              </w:rPr>
            </w:r>
          </w:p>
        </w:tc>
        <w:tc>
          <w:tcPr>
            <w:tcW w:w="8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10Revision of Previously Reported Unaudited Condensed Financial Statements Subsequent to the Filing of Form 10-Q for the Quarterly Period Ended September 30, 2022 </w:t>
      </w:r>
    </w:p>
    <w:p>
      <w:pPr>
        <w:pStyle w:val="TextBody"/>
        <w:bidi w:val="0"/>
        <w:spacing w:before="120" w:after="0"/>
        <w:jc w:val="left"/>
        <w:rPr>
          <w:rFonts w:ascii="Times New Roman" w:hAnsi="Times New Roman"/>
          <w:sz w:val="20"/>
        </w:rPr>
      </w:pPr>
      <w:r>
        <w:rPr>
          <w:rFonts w:ascii="Times New Roman" w:hAnsi="Times New Roman"/>
          <w:sz w:val="20"/>
        </w:rPr>
        <w:t xml:space="preserve">Subsequent to the filing of Form 10-Q for the quarterly period ended September 30, 2022, the Company identified an immaterial error in the reported weighted average shares outstanding and the allocation of net income (loss) for each class of share in the unaudited condensed financial statements included in the September 30, 2022 quarterly report in the Companys Form 10-Q filed with the SEC on November 14, 2022. The Company incorrectly included 455,096 and 347,500 non-redeemable Class A ordinary shares in the weighted average shares outstanding of Class A ordinary shares subject to possible redemption for the periods discussed below. This error impacted the weighted average shares outstanding presented in the statements of operations for the three months ended September 30, 2021, the nine months ended September 30, 2022 and for the period from January 8, 2021 (inception) through September 30, 2021, and the net income (loss) per ordinary share disclosure in Note 2 of the Form 10-Q for these periods. The error also impacted the income (loss) allocable to each class of equity presented in the disclosure for these periods, but it did not impact the reported income (loss) per share amounts for any of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identified certain typographical errors in previously reported (1) Weighted average shares outstanding of non-redeemable Class A ordinary shares and Class B ordinary shares, basic, and the corresponding diluted weighted average shares amounts for the period from January 8, 2021 (inception) through September 30, 2021, and (2) Allocation of net income (loss), basic, Class A non-redeemable and Class B ordinary shares, and the corresponding diluted allocation of net income (loss) amounts for the nine months ended September 30,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condensed financial statements for the periods described above will be revised to correct these immaterial errors. The impact of these revisions is presented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54"/>
        <w:gridCol w:w="353"/>
        <w:gridCol w:w="140"/>
        <w:gridCol w:w="1150"/>
        <w:gridCol w:w="60"/>
        <w:gridCol w:w="353"/>
        <w:gridCol w:w="172"/>
        <w:gridCol w:w="1070"/>
        <w:gridCol w:w="155"/>
        <w:gridCol w:w="353"/>
        <w:gridCol w:w="140"/>
        <w:gridCol w:w="1107"/>
        <w:gridCol w:w="65"/>
      </w:tblGrid>
      <w:tr>
        <w:trPr/>
        <w:tc>
          <w:tcPr>
            <w:tcW w:w="3454"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45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47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September 30, 2021</w:t>
            </w:r>
          </w:p>
        </w:tc>
        <w:tc>
          <w:tcPr>
            <w:tcW w:w="65" w:type="dxa"/>
            <w:tcBorders/>
            <w:vAlign w:val="bottom"/>
          </w:tcPr>
          <w:p>
            <w:pPr>
              <w:pStyle w:val="TableContents"/>
              <w:bidi w:val="0"/>
              <w:spacing w:before="0" w:after="283"/>
              <w:jc w:val="left"/>
              <w:rPr/>
            </w:pPr>
            <w:r>
              <w:rPr/>
              <w:t> </w:t>
            </w:r>
          </w:p>
        </w:tc>
      </w:tr>
      <w:tr>
        <w:trPr/>
        <w:tc>
          <w:tcPr>
            <w:tcW w:w="3454"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65" w:type="dxa"/>
            <w:tcBorders/>
            <w:vAlign w:val="bottom"/>
          </w:tcPr>
          <w:p>
            <w:pPr>
              <w:pStyle w:val="TableContents"/>
              <w:bidi w:val="0"/>
              <w:spacing w:before="0" w:after="283"/>
              <w:jc w:val="left"/>
              <w:rPr/>
            </w:pPr>
            <w:r>
              <w:rPr/>
              <w:t> </w:t>
            </w:r>
          </w:p>
        </w:tc>
      </w:tr>
      <w:tr>
        <w:trPr/>
        <w:tc>
          <w:tcPr>
            <w:tcW w:w="3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 basic, Class A ordinary shares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967,783</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(33,339</w:t>
            </w:r>
          </w:p>
        </w:tc>
        <w:tc>
          <w:tcPr>
            <w:tcW w:w="155"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934,444</w:t>
            </w:r>
          </w:p>
        </w:tc>
        <w:tc>
          <w:tcPr>
            <w:tcW w:w="65" w:type="dxa"/>
            <w:tcBorders/>
            <w:shd w:fill="CCEEFF" w:val="clear"/>
            <w:vAlign w:val="bottom"/>
          </w:tcPr>
          <w:p>
            <w:pPr>
              <w:pStyle w:val="TableContents"/>
              <w:bidi w:val="0"/>
              <w:spacing w:before="0" w:after="283"/>
              <w:jc w:val="left"/>
              <w:rPr/>
            </w:pPr>
            <w:r>
              <w:rPr/>
              <w:t> </w:t>
            </w:r>
          </w:p>
        </w:tc>
      </w:tr>
      <w:tr>
        <w:trPr/>
        <w:tc>
          <w:tcPr>
            <w:tcW w:w="3454"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net income (loss), diluted, Class A ordinary shares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967,783</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(33,339</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934,444</w:t>
            </w:r>
          </w:p>
        </w:tc>
        <w:tc>
          <w:tcPr>
            <w:tcW w:w="65" w:type="dxa"/>
            <w:tcBorders/>
            <w:vAlign w:val="bottom"/>
          </w:tcPr>
          <w:p>
            <w:pPr>
              <w:pStyle w:val="TableContents"/>
              <w:bidi w:val="0"/>
              <w:spacing w:before="0" w:after="283"/>
              <w:jc w:val="left"/>
              <w:rPr/>
            </w:pPr>
            <w:r>
              <w:rPr/>
              <w:t> </w:t>
            </w:r>
          </w:p>
        </w:tc>
      </w:tr>
      <w:tr>
        <w:trPr/>
        <w:tc>
          <w:tcPr>
            <w:tcW w:w="3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 basic, Class A non-redeemable and Class B ordinary shares</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233,611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33,339</w:t>
            </w:r>
          </w:p>
        </w:tc>
        <w:tc>
          <w:tcPr>
            <w:tcW w:w="155"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266,950</w:t>
            </w:r>
          </w:p>
        </w:tc>
        <w:tc>
          <w:tcPr>
            <w:tcW w:w="65" w:type="dxa"/>
            <w:tcBorders/>
            <w:shd w:fill="CCEEFF" w:val="clear"/>
            <w:vAlign w:val="bottom"/>
          </w:tcPr>
          <w:p>
            <w:pPr>
              <w:pStyle w:val="TableContents"/>
              <w:bidi w:val="0"/>
              <w:spacing w:before="0" w:after="283"/>
              <w:jc w:val="left"/>
              <w:rPr/>
            </w:pPr>
            <w:r>
              <w:rPr/>
              <w:t> </w:t>
            </w:r>
          </w:p>
        </w:tc>
      </w:tr>
      <w:tr>
        <w:trPr/>
        <w:tc>
          <w:tcPr>
            <w:tcW w:w="3454"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net income (loss), diluted, Class A non-redeemable and Class B ordinary shares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233,611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33,339</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266,950</w:t>
            </w:r>
          </w:p>
        </w:tc>
        <w:tc>
          <w:tcPr>
            <w:tcW w:w="65" w:type="dxa"/>
            <w:tcBorders/>
            <w:vAlign w:val="bottom"/>
          </w:tcPr>
          <w:p>
            <w:pPr>
              <w:pStyle w:val="TableContents"/>
              <w:bidi w:val="0"/>
              <w:spacing w:before="0" w:after="283"/>
              <w:jc w:val="left"/>
              <w:rPr/>
            </w:pPr>
            <w:r>
              <w:rPr/>
              <w:t> </w:t>
            </w:r>
          </w:p>
        </w:tc>
      </w:tr>
      <w:tr>
        <w:trPr/>
        <w:tc>
          <w:tcPr>
            <w:tcW w:w="3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 subject to possible redemption, basic and diluted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13,209,880</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(455,096</w:t>
            </w:r>
          </w:p>
        </w:tc>
        <w:tc>
          <w:tcPr>
            <w:tcW w:w="155"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12,754,784</w:t>
            </w:r>
          </w:p>
        </w:tc>
        <w:tc>
          <w:tcPr>
            <w:tcW w:w="65" w:type="dxa"/>
            <w:tcBorders/>
            <w:shd w:fill="CCEEFF" w:val="clear"/>
            <w:vAlign w:val="bottom"/>
          </w:tcPr>
          <w:p>
            <w:pPr>
              <w:pStyle w:val="TableContents"/>
              <w:bidi w:val="0"/>
              <w:spacing w:before="0" w:after="283"/>
              <w:jc w:val="left"/>
              <w:rPr/>
            </w:pPr>
            <w:r>
              <w:rPr/>
              <w:t> </w:t>
            </w:r>
          </w:p>
        </w:tc>
      </w:tr>
      <w:tr>
        <w:trPr/>
        <w:tc>
          <w:tcPr>
            <w:tcW w:w="3454" w:type="dxa"/>
            <w:tcBorders/>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 Class A ordinary shares subject to possible redemption</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0.07</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r>
        <w:trPr/>
        <w:tc>
          <w:tcPr>
            <w:tcW w:w="3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ordinary shares and Class B ordinary shares, basic</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3,188,696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455,096</w:t>
            </w:r>
          </w:p>
        </w:tc>
        <w:tc>
          <w:tcPr>
            <w:tcW w:w="155"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3,643,792</w:t>
            </w:r>
          </w:p>
        </w:tc>
        <w:tc>
          <w:tcPr>
            <w:tcW w:w="65" w:type="dxa"/>
            <w:tcBorders/>
            <w:shd w:fill="CCEEFF" w:val="clear"/>
            <w:vAlign w:val="bottom"/>
          </w:tcPr>
          <w:p>
            <w:pPr>
              <w:pStyle w:val="TableContents"/>
              <w:bidi w:val="0"/>
              <w:spacing w:before="0" w:after="283"/>
              <w:jc w:val="left"/>
              <w:rPr/>
            </w:pPr>
            <w:r>
              <w:rPr/>
              <w:t> </w:t>
            </w:r>
          </w:p>
        </w:tc>
      </w:tr>
      <w:tr>
        <w:trPr/>
        <w:tc>
          <w:tcPr>
            <w:tcW w:w="3454" w:type="dxa"/>
            <w:tcBorders/>
          </w:tcPr>
          <w:p>
            <w:pPr>
              <w:pStyle w:val="TableContents"/>
              <w:bidi w:val="0"/>
              <w:spacing w:before="0" w:after="0"/>
              <w:jc w:val="left"/>
              <w:rPr>
                <w:rFonts w:ascii="Times New Roman" w:hAnsi="Times New Roman"/>
                <w:sz w:val="20"/>
              </w:rPr>
            </w:pPr>
            <w:r>
              <w:rPr>
                <w:rFonts w:ascii="Times New Roman" w:hAnsi="Times New Roman"/>
                <w:sz w:val="20"/>
              </w:rPr>
              <w:t>Basic net income (loss) per share, non-redeemable Class A ordinary shares and Class B ordinary shares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0.07</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r>
        <w:trPr/>
        <w:tc>
          <w:tcPr>
            <w:tcW w:w="34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ordinary shares and Class B ordinary shares, diluted</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3,188,696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455,096</w:t>
            </w:r>
          </w:p>
        </w:tc>
        <w:tc>
          <w:tcPr>
            <w:tcW w:w="155"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3,643,792</w:t>
            </w:r>
          </w:p>
        </w:tc>
        <w:tc>
          <w:tcPr>
            <w:tcW w:w="65" w:type="dxa"/>
            <w:tcBorders/>
            <w:shd w:fill="CCEEFF" w:val="clear"/>
            <w:vAlign w:val="bottom"/>
          </w:tcPr>
          <w:p>
            <w:pPr>
              <w:pStyle w:val="TableContents"/>
              <w:bidi w:val="0"/>
              <w:spacing w:before="0" w:after="283"/>
              <w:jc w:val="left"/>
              <w:rPr/>
            </w:pPr>
            <w:r>
              <w:rPr/>
              <w:t> </w:t>
            </w:r>
          </w:p>
        </w:tc>
      </w:tr>
      <w:tr>
        <w:trPr/>
        <w:tc>
          <w:tcPr>
            <w:tcW w:w="3454" w:type="dxa"/>
            <w:tcBorders/>
          </w:tcPr>
          <w:p>
            <w:pPr>
              <w:pStyle w:val="TableContents"/>
              <w:bidi w:val="0"/>
              <w:spacing w:before="0" w:after="0"/>
              <w:jc w:val="left"/>
              <w:rPr>
                <w:rFonts w:ascii="Times New Roman" w:hAnsi="Times New Roman"/>
                <w:sz w:val="20"/>
              </w:rPr>
            </w:pPr>
            <w:r>
              <w:rPr>
                <w:rFonts w:ascii="Times New Roman" w:hAnsi="Times New Roman"/>
                <w:sz w:val="20"/>
              </w:rPr>
              <w:t>Diluted net income (loss) per share, non-redeemable Class A ordinary shares and Class B ordinary shares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50" w:type="dxa"/>
            <w:tcBorders/>
            <w:vAlign w:val="bottom"/>
          </w:tcPr>
          <w:p>
            <w:pPr>
              <w:pStyle w:val="TableContents"/>
              <w:bidi w:val="0"/>
              <w:spacing w:before="0" w:after="283"/>
              <w:jc w:val="right"/>
              <w:rPr/>
            </w:pPr>
            <w:r>
              <w:rPr/>
              <w:t>0.07</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7"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10617" w:type="dxa"/>
        <w:jc w:val="center"/>
        <w:tblInd w:w="0" w:type="dxa"/>
        <w:tblLayout w:type="fixed"/>
        <w:tblCellMar>
          <w:top w:w="0" w:type="dxa"/>
          <w:left w:w="0" w:type="dxa"/>
          <w:bottom w:w="0" w:type="dxa"/>
          <w:right w:w="0" w:type="dxa"/>
        </w:tblCellMar>
      </w:tblPr>
      <w:tblGrid>
        <w:gridCol w:w="1325"/>
        <w:gridCol w:w="120"/>
        <w:gridCol w:w="176"/>
        <w:gridCol w:w="1239"/>
        <w:gridCol w:w="350"/>
        <w:gridCol w:w="60"/>
        <w:gridCol w:w="168"/>
        <w:gridCol w:w="1052"/>
        <w:gridCol w:w="155"/>
        <w:gridCol w:w="60"/>
        <w:gridCol w:w="140"/>
        <w:gridCol w:w="980"/>
        <w:gridCol w:w="60"/>
        <w:gridCol w:w="120"/>
        <w:gridCol w:w="176"/>
        <w:gridCol w:w="1239"/>
        <w:gridCol w:w="60"/>
        <w:gridCol w:w="120"/>
        <w:gridCol w:w="190"/>
        <w:gridCol w:w="1030"/>
        <w:gridCol w:w="201"/>
        <w:gridCol w:w="78"/>
        <w:gridCol w:w="182"/>
        <w:gridCol w:w="1276"/>
        <w:gridCol w:w="60"/>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Nine Months Ended September 30, 2022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January 8, 2021 (inception)</w:t>
              <w:br/>
              <w:t>through September 30, 2021</w:t>
            </w:r>
          </w:p>
        </w:tc>
        <w:tc>
          <w:tcPr>
            <w:tcW w:w="60"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20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 basic, Class A ordinary shares</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1,156,531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(136,397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1,020,134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1,472,772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(51,041</w:t>
            </w:r>
          </w:p>
        </w:tc>
        <w:tc>
          <w:tcPr>
            <w:tcW w:w="20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1,421,731</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net income (loss), diluted, Class A ordinary shares</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1,156,531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2" w:type="dxa"/>
            <w:tcBorders/>
            <w:vAlign w:val="bottom"/>
          </w:tcPr>
          <w:p>
            <w:pPr>
              <w:pStyle w:val="TableContents"/>
              <w:bidi w:val="0"/>
              <w:spacing w:before="0" w:after="283"/>
              <w:jc w:val="right"/>
              <w:rPr/>
            </w:pPr>
            <w:r>
              <w:rPr/>
              <w:t>(136,397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1,020,134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1,464,147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30" w:type="dxa"/>
            <w:tcBorders/>
            <w:vAlign w:val="bottom"/>
          </w:tcPr>
          <w:p>
            <w:pPr>
              <w:pStyle w:val="TableContents"/>
              <w:bidi w:val="0"/>
              <w:spacing w:before="0" w:after="283"/>
              <w:jc w:val="right"/>
              <w:rPr/>
            </w:pPr>
            <w:r>
              <w:rPr/>
              <w:t>(50,742</w:t>
            </w:r>
          </w:p>
        </w:tc>
        <w:tc>
          <w:tcPr>
            <w:tcW w:w="20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1,413,405</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 basic, Class A non-redeemable and Class B ordinary shares</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2,550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288,880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291,430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456,986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51,041</w:t>
            </w:r>
          </w:p>
        </w:tc>
        <w:tc>
          <w:tcPr>
            <w:tcW w:w="20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508,027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10910" w:type="dxa"/>
        <w:jc w:val="center"/>
        <w:tblInd w:w="0" w:type="dxa"/>
        <w:tblLayout w:type="fixed"/>
        <w:tblCellMar>
          <w:top w:w="0" w:type="dxa"/>
          <w:left w:w="0" w:type="dxa"/>
          <w:bottom w:w="0" w:type="dxa"/>
          <w:right w:w="0" w:type="dxa"/>
        </w:tblCellMar>
      </w:tblPr>
      <w:tblGrid>
        <w:gridCol w:w="1325"/>
        <w:gridCol w:w="120"/>
        <w:gridCol w:w="159"/>
        <w:gridCol w:w="1256"/>
        <w:gridCol w:w="350"/>
        <w:gridCol w:w="60"/>
        <w:gridCol w:w="168"/>
        <w:gridCol w:w="1052"/>
        <w:gridCol w:w="155"/>
        <w:gridCol w:w="60"/>
        <w:gridCol w:w="140"/>
        <w:gridCol w:w="1100"/>
        <w:gridCol w:w="60"/>
        <w:gridCol w:w="120"/>
        <w:gridCol w:w="159"/>
        <w:gridCol w:w="1256"/>
        <w:gridCol w:w="350"/>
        <w:gridCol w:w="60"/>
        <w:gridCol w:w="153"/>
        <w:gridCol w:w="1285"/>
        <w:gridCol w:w="169"/>
        <w:gridCol w:w="65"/>
        <w:gridCol w:w="153"/>
        <w:gridCol w:w="1075"/>
        <w:gridCol w:w="60"/>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9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For The Nine Months Ended September 30, 2022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Period From</w:t>
              <w:br/>
              <w:t>January 8, 2021 (inception)</w:t>
              <w:br/>
              <w:t>through September 30, 2021</w:t>
            </w:r>
          </w:p>
        </w:tc>
        <w:tc>
          <w:tcPr>
            <w:tcW w:w="60" w:type="dxa"/>
            <w:tcBorders/>
            <w:vAlign w:val="bottom"/>
          </w:tcPr>
          <w:p>
            <w:pPr>
              <w:pStyle w:val="TableContents"/>
              <w:bidi w:val="0"/>
              <w:spacing w:before="0" w:after="283"/>
              <w:jc w:val="left"/>
              <w:rPr/>
            </w:pPr>
            <w:r>
              <w:rPr/>
              <w:t> </w:t>
            </w:r>
          </w:p>
        </w:tc>
      </w:tr>
      <w:tr>
        <w:trPr/>
        <w:tc>
          <w:tcPr>
            <w:tcW w:w="132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w:t>
            </w:r>
          </w:p>
        </w:tc>
        <w:tc>
          <w:tcPr>
            <w:tcW w:w="16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Revised</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 (loss), diluted, Class A non-redeemable and Class B ordinary shares</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2,550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288,880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291,430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465,611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50,742</w:t>
            </w:r>
          </w:p>
        </w:tc>
        <w:tc>
          <w:tcPr>
            <w:tcW w:w="16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516,353</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ordinary shares subject to possible redemption, basic and diluted</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13,209,880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(455,096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12,754,784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10,027,078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(347,500</w:t>
            </w:r>
          </w:p>
        </w:tc>
        <w:tc>
          <w:tcPr>
            <w:tcW w:w="16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9,679,578</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 net income (loss) per share, Class A ordinary shares subject to possible redemption</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0.08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0.15</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ordinary shares and Class B ordinary shares, basic</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3,188,696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455,096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3,643,792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33,111,301</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(29,652,502</w:t>
            </w:r>
          </w:p>
        </w:tc>
        <w:tc>
          <w:tcPr>
            <w:tcW w:w="16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3,458,799</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net income (loss) per share, non-redeemable Class A ordinary shares and Class B ordinary shares</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0.08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0.15</w:t>
            </w:r>
          </w:p>
        </w:tc>
        <w:tc>
          <w:tcPr>
            <w:tcW w:w="60" w:type="dxa"/>
            <w:tcBorders/>
            <w:shd w:fill="CCEEFF" w:val="clear"/>
            <w:vAlign w:val="bottom"/>
          </w:tcPr>
          <w:p>
            <w:pPr>
              <w:pStyle w:val="TableContents"/>
              <w:bidi w:val="0"/>
              <w:spacing w:before="0" w:after="283"/>
              <w:jc w:val="left"/>
              <w:rPr/>
            </w:pPr>
            <w:r>
              <w:rPr/>
              <w:t> </w:t>
            </w:r>
          </w:p>
        </w:tc>
      </w:tr>
      <w:tr>
        <w:trPr/>
        <w:tc>
          <w:tcPr>
            <w:tcW w:w="132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ordinary shares and Class B ordinary shares, diluted</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3,188,696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455,096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3,643,792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33,188,696</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(29,652,502</w:t>
            </w:r>
          </w:p>
        </w:tc>
        <w:tc>
          <w:tcPr>
            <w:tcW w:w="16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3,536,194</w:t>
            </w:r>
          </w:p>
        </w:tc>
        <w:tc>
          <w:tcPr>
            <w:tcW w:w="60" w:type="dxa"/>
            <w:tcBorders/>
            <w:vAlign w:val="bottom"/>
          </w:tcPr>
          <w:p>
            <w:pPr>
              <w:pStyle w:val="TableContents"/>
              <w:bidi w:val="0"/>
              <w:spacing w:before="0" w:after="283"/>
              <w:jc w:val="left"/>
              <w:rPr/>
            </w:pPr>
            <w:r>
              <w:rPr/>
              <w:t> </w:t>
            </w:r>
          </w:p>
        </w:tc>
      </w:tr>
      <w:tr>
        <w:trPr/>
        <w:tc>
          <w:tcPr>
            <w:tcW w:w="13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net income (loss) per share, non-redeemable Class A ordinary shares and Class B ordinary shares</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0.08</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0.15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285"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075" w:type="dxa"/>
            <w:tcBorders/>
            <w:shd w:fill="CCEEFF" w:val="clear"/>
            <w:vAlign w:val="bottom"/>
          </w:tcPr>
          <w:p>
            <w:pPr>
              <w:pStyle w:val="TableContents"/>
              <w:bidi w:val="0"/>
              <w:spacing w:before="0" w:after="283"/>
              <w:jc w:val="right"/>
              <w:rPr/>
            </w:pPr>
            <w:r>
              <w:rPr/>
              <w:t>0.15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Typographical errors being corrected in relation to the weighted average shares outstanding of non-redeemable Class A ordinary shares and Class B ordinary shares, basic, and the corresponding diluted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Typographical errors being corrected in relation to the allocation of net income (loss), basic, Class A non-redeemable and Class B ordinary shares, and the corresponding diluted allocation of net income (loss)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11Subsequent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and transactions that occurred up to the date the consolidated financial statements were issued. Based upon this review, except for as noted below, the Company did not identify any subsequent events that would have required adjustment or disclosure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execution of the Business Combination Agreement, we entered into subscription agreements with the Initial PIPE Investors (the Initial Subscription Agreements), pursuant to which the Initial PIPE Investors have agreed to purchase from us, severally and not jointly, and we have agreed to issue from treasury and sell to the Initial PIPE Investors, a number of EBAC Class A Common Stock equal to (i) the total subscription amount from the Initial PIPE Investors divided by (ii) $10.00 (the Initial PIPE Financing). Subsequent to the Initial PIPE Financing, on January 26, 2023, EBAC entered into subscription agreements (the Subsequent Subscription Agreements, and together with the Initial Subscription Agreements, the Subscription Agreements) with certain subscribers (the Subsequent PIPE Investors, and together with the Initial PIPE Investors, the PIPE Investors), pursuant to which the Subsequent PIPE Investors have agreed to subscribe for, and we have agreed to issue to the Subsequent Subscribers, an aggregate of 788,500 EBAC Class A Common Stock at a price of $10.00 per share, for aggregate gross proceeds of $7,885,000 (the Subsequent PIPE Financing, and together with the Initial PIPE Financing, the PIPE Financing). The aggregate amount of EBAC Class A Common Stock to be issued pursuant to the PIPE Financing is 7,118,891 shares for aggregate gross proceeds of $71,188,910 (See Note 1).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2023, the Company filed with the SEC its definitive proxy statement on Schedule 14A to announce its intention to hold a special meeting of shareholders to be held on February 28, 2023 to approve the transactions contemplated by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2023, the Company issued an unsecured promissory note (the Note) in the amount of up to $750,000 to MRMJ Holding B.V., an affiliate of the Sponsor. The proceeds of the Note, which may be drawn down from time to time until the Company consummates its initial business combination, will be used for general working capital purposes. The Note bears no interest and is payable in full in cash upon the earlier to occur of (i) March 18, 2023 or (ii) the consummation of the Companys initial business combination. No portion of the Note is convertible into any securities, including warrants, of the Company or any affiliate thereof. The issuance of the Note was made pursuant to the exemption from registration contained in Section 4(a)(2) of the Securities Act of 1933, as amended. On February 14, 2023, the Company drew $500,000 on the Note. </w:t>
      </w:r>
    </w:p>
    <w:p>
      <w:pPr>
        <w:pStyle w:val="TextBody"/>
        <w:bidi w:val="0"/>
        <w:spacing w:before="240" w:after="0"/>
        <w:jc w:val="left"/>
        <w:rPr>
          <w:rFonts w:ascii="Times New Roman" w:hAnsi="Times New Roman"/>
          <w:sz w:val="20"/>
        </w:rPr>
      </w:pPr>
      <w:r>
        <w:rPr>
          <w:rFonts w:ascii="Times New Roman" w:hAnsi="Times New Roman"/>
          <w:sz w:val="20"/>
        </w:rPr>
        <w:t xml:space="preserve">On February 15, 2023, the Company entered into (i) a loan agreement (Loan 1) with Oculis in the amount of CHF 100,000.00 (Loan Amount 1) and (ii) a loan agreement (Loan 2, and together with Loan 1, the Loan) with Oculis in the amount of CHF 256,921.68 (Loan Amount 2, and together with Loan Amount 1, the Loan Amount), pursuant to which Oculis agreed to pay the Loan Amount on behalf of EBAC for the purpose of increasing the initial share capital of Oculis Holding AG in connection with the Companys previously announced initial business combination. The Loan bears no interest if repaid prior to March 31, 2023 and otherwise will bear interest equal to the minimal interest published as a safe harbor rule by the Swiss Federal Tax Authorities. The Loan is payable in full in cash on March 31, 2023, unless the Company elects to repay at an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0" w:after="0"/>
        <w:jc w:val="center"/>
        <w:rPr>
          <w:rFonts w:ascii="Times New Roman" w:hAnsi="Times New Roman"/>
          <w:b/>
          <w:sz w:val="32"/>
        </w:rPr>
      </w:pPr>
      <w:r>
        <w:rPr>
          <w:rFonts w:ascii="Times New Roman" w:hAnsi="Times New Roman"/>
          <w:b/>
          <w:sz w:val="32"/>
        </w:rPr>
        <w:t xml:space="preserve">3,500,000 Ordinary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951230" cy="24066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51230" cy="2406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640" w:after="0"/>
        <w:jc w:val="center"/>
        <w:rPr>
          <w:rFonts w:ascii="Times New Roman" w:hAnsi="Times New Roman"/>
          <w:b/>
          <w:sz w:val="20"/>
        </w:rPr>
      </w:pPr>
      <w:r>
        <w:rPr>
          <w:rFonts w:ascii="Times New Roman" w:hAnsi="Times New Roman"/>
          <w:b/>
          <w:sz w:val="20"/>
        </w:rPr>
        <w:t xml:space="preserve">MAY 31,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310</Pages>
  <Words>178012</Words>
  <Characters>958282</Characters>
  <CharactersWithSpaces>1147130</CharactersWithSpaces>
  <Paragraphs>24791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