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313055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9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-148590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60"/>
        <w:spacing w:after="0" w:line="235"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(Commission File No. 001-41636)</w:t>
      </w:r>
    </w:p>
    <w:p>
      <w:pPr>
        <w:spacing w:after="0" w:line="200" w:lineRule="exact"/>
        <w:rPr>
          <w:sz w:val="24"/>
          <w:szCs w:val="24"/>
          <w:color w:val="auto"/>
        </w:rPr>
      </w:pPr>
    </w:p>
    <w:p>
      <w:pPr>
        <w:spacing w:after="0" w:line="27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43"/>
          <w:szCs w:val="43"/>
          <w:b w:val="1"/>
          <w:bCs w:val="1"/>
          <w:color w:val="auto"/>
        </w:rPr>
        <w:t>Oculis Holding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(Translation of registrant’s name into English)</w:t>
      </w:r>
    </w:p>
    <w:p>
      <w:pPr>
        <w:spacing w:after="0" w:line="200" w:lineRule="exact"/>
        <w:rPr>
          <w:sz w:val="24"/>
          <w:szCs w:val="24"/>
          <w:color w:val="auto"/>
        </w:rPr>
      </w:pPr>
    </w:p>
    <w:p>
      <w:pPr>
        <w:spacing w:after="0" w:line="26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Bahnhofstrasse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CH-6300</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Zug, Switzerland</w:t>
      </w:r>
    </w:p>
    <w:p>
      <w:pPr>
        <w:spacing w:after="0" w:line="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4"/>
          <w:szCs w:val="24"/>
          <w:color w:val="auto"/>
        </w:rPr>
      </w:pPr>
    </w:p>
    <w:p>
      <w:pPr>
        <w:ind w:left="43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1247775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34"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11, 2026, Oculis Holding AG (the “Registrant”) announced its unaudited results for the three month-period ended March 31, 2026, which are further described in the Registrant’s Unaudited Condensed Consolidated Interim Financial Statements, Management’s Discussion and Analysis of Financial Condition and Results of Operations and press release, copies of which are attached hereto as Exhibits 99.1, 99.2 and 99.3, respectively, and are incorporated by reference 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Form 6-K, including Exhibits 99.1 and 99.2 but excluding Exhibit 99.3, is hereby incorporated by reference into the Registrant’s Registration Statements on Form S-8 (File No. 333-271938 and 333-287806) and Form F-3 (File Nos. 333-271063, 333-278409, 333-281798, 333-291426 and 333-294011).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600" w:type="dxa"/>
            <w:vAlign w:val="bottom"/>
            <w:gridSpan w:val="4"/>
          </w:tcPr>
          <w:p>
            <w:pPr>
              <w:ind w:left="1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8"/>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12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99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Unaudited Condensed Consolidated Interim Financial Statements for the Three Months Ended March 31, 2026</w:t>
            </w:r>
          </w:p>
        </w:tc>
        <w:tc>
          <w:tcPr>
            <w:tcW w:w="1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55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0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for the Three Months Ended March 31, 2026</w:t>
            </w:r>
          </w:p>
        </w:tc>
      </w:tr>
      <w:tr>
        <w:trPr>
          <w:trHeight w:val="196"/>
        </w:trPr>
        <w:tc>
          <w:tcPr>
            <w:tcW w:w="1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974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11, 2026</w:t>
            </w:r>
          </w:p>
        </w:tc>
        <w:tc>
          <w:tcPr>
            <w:tcW w:w="280" w:type="dxa"/>
            <w:vAlign w:val="bottom"/>
            <w:gridSpan w:val="2"/>
          </w:tcPr>
          <w:p>
            <w:pPr>
              <w:spacing w:after="0"/>
              <w:rPr>
                <w:sz w:val="17"/>
                <w:szCs w:val="17"/>
                <w:color w:val="auto"/>
              </w:rPr>
            </w:pPr>
          </w:p>
        </w:tc>
      </w:tr>
      <w:tr>
        <w:trPr>
          <w:trHeight w:val="1243"/>
        </w:trPr>
        <w:tc>
          <w:tcPr>
            <w:tcW w:w="1220" w:type="dxa"/>
            <w:vAlign w:val="bottom"/>
            <w:tcBorders>
              <w:bottom w:val="single" w:sz="8" w:color="9A9A9A"/>
            </w:tcBorders>
          </w:tcPr>
          <w:p>
            <w:pPr>
              <w:spacing w:after="0"/>
              <w:rPr>
                <w:sz w:val="24"/>
                <w:szCs w:val="24"/>
                <w:color w:val="auto"/>
              </w:rPr>
            </w:pPr>
          </w:p>
        </w:tc>
        <w:tc>
          <w:tcPr>
            <w:tcW w:w="2420" w:type="dxa"/>
            <w:vAlign w:val="bottom"/>
            <w:tcBorders>
              <w:top w:val="single" w:sz="8" w:color="0000FF"/>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ind w:left="50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229" w:lineRule="exact"/>
        <w:rPr>
          <w:sz w:val="20"/>
          <w:szCs w:val="20"/>
          <w:color w:val="auto"/>
        </w:rPr>
      </w:pPr>
    </w:p>
    <w:p>
      <w:pPr>
        <w:spacing w:after="0"/>
        <w:tabs>
          <w:tab w:leader="none" w:pos="5220" w:val="left"/>
          <w:tab w:leader="none" w:pos="614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231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Sylvia Cheung</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765"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844550</wp:posOffset>
            </wp:positionV>
            <wp:extent cx="1277620" cy="316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762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Oculis Holding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Unaudited Condensed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1730375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20" w:type="dxa"/>
            <w:vAlign w:val="bottom"/>
          </w:tcPr>
          <w:p>
            <w:pPr>
              <w:spacing w:after="0"/>
              <w:rPr>
                <w:sz w:val="20"/>
                <w:szCs w:val="20"/>
                <w:color w:val="auto"/>
              </w:rPr>
            </w:pPr>
          </w:p>
        </w:tc>
      </w:tr>
      <w:tr>
        <w:trPr>
          <w:trHeight w:val="630"/>
        </w:trPr>
        <w:tc>
          <w:tcPr>
            <w:tcW w:w="6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Unaudited Condensed Consolidated Interim:</w:t>
            </w:r>
          </w:p>
        </w:tc>
        <w:tc>
          <w:tcPr>
            <w:tcW w:w="4820" w:type="dxa"/>
            <w:vAlign w:val="bottom"/>
          </w:tcPr>
          <w:p>
            <w:pPr>
              <w:spacing w:after="0"/>
              <w:rPr>
                <w:sz w:val="24"/>
                <w:szCs w:val="24"/>
                <w:color w:val="auto"/>
              </w:rPr>
            </w:pPr>
          </w:p>
        </w:tc>
      </w:tr>
      <w:tr>
        <w:trPr>
          <w:trHeight w:val="194"/>
        </w:trPr>
        <w:tc>
          <w:tcPr>
            <w:tcW w:w="64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Statements of Financial Position as of March 31, 2026 and December 31, 2025</w:t>
            </w:r>
          </w:p>
        </w:tc>
        <w:tc>
          <w:tcPr>
            <w:tcW w:w="4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68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Statements of Loss for the three months ended March 31, 2026 and 2025</w:t>
            </w:r>
          </w:p>
        </w:tc>
        <w:tc>
          <w:tcPr>
            <w:tcW w:w="740" w:type="dxa"/>
            <w:vAlign w:val="bottom"/>
            <w:gridSpan w:val="3"/>
          </w:tcPr>
          <w:p>
            <w:pPr>
              <w:spacing w:after="0"/>
              <w:rPr>
                <w:sz w:val="17"/>
                <w:szCs w:val="17"/>
                <w:color w:val="auto"/>
              </w:rPr>
            </w:pPr>
          </w:p>
        </w:tc>
        <w:tc>
          <w:tcPr>
            <w:tcW w:w="4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196"/>
        </w:trPr>
        <w:tc>
          <w:tcPr>
            <w:tcW w:w="64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Comprehensive Loss for the three months ended March 31, 2026 and 2025</w:t>
            </w:r>
          </w:p>
        </w:tc>
        <w:tc>
          <w:tcPr>
            <w:tcW w:w="4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62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Changes in Equity for the three months ended March 31, 2026 and 2025</w:t>
            </w:r>
          </w:p>
        </w:tc>
        <w:tc>
          <w:tcPr>
            <w:tcW w:w="180" w:type="dxa"/>
            <w:vAlign w:val="bottom"/>
          </w:tcPr>
          <w:p>
            <w:pPr>
              <w:spacing w:after="0"/>
              <w:rPr>
                <w:sz w:val="17"/>
                <w:szCs w:val="17"/>
                <w:color w:val="auto"/>
              </w:rPr>
            </w:pPr>
          </w:p>
        </w:tc>
        <w:tc>
          <w:tcPr>
            <w:tcW w:w="4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7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Cash Flows for the three months ended March 31, 2026 and 2025</w:t>
            </w:r>
          </w:p>
        </w:tc>
        <w:tc>
          <w:tcPr>
            <w:tcW w:w="660" w:type="dxa"/>
            <w:vAlign w:val="bottom"/>
            <w:gridSpan w:val="2"/>
          </w:tcPr>
          <w:p>
            <w:pPr>
              <w:spacing w:after="0"/>
              <w:rPr>
                <w:sz w:val="17"/>
                <w:szCs w:val="17"/>
                <w:color w:val="auto"/>
              </w:rPr>
            </w:pPr>
          </w:p>
        </w:tc>
        <w:tc>
          <w:tcPr>
            <w:tcW w:w="4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6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Unaudited Condensed Consolidated Interim Financial Statements</w:t>
            </w:r>
          </w:p>
        </w:tc>
        <w:tc>
          <w:tcPr>
            <w:tcW w:w="780" w:type="dxa"/>
            <w:vAlign w:val="bottom"/>
            <w:gridSpan w:val="4"/>
          </w:tcPr>
          <w:p>
            <w:pPr>
              <w:spacing w:after="0"/>
              <w:rPr>
                <w:sz w:val="17"/>
                <w:szCs w:val="17"/>
                <w:color w:val="auto"/>
              </w:rPr>
            </w:pPr>
          </w:p>
        </w:tc>
        <w:tc>
          <w:tcPr>
            <w:tcW w:w="4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884"/>
        </w:trPr>
        <w:tc>
          <w:tcPr>
            <w:tcW w:w="5680" w:type="dxa"/>
            <w:vAlign w:val="bottom"/>
            <w:gridSpan w:val="3"/>
          </w:tcPr>
          <w:p>
            <w:pPr>
              <w:ind w:left="5580"/>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763"/>
        </w:trPr>
        <w:tc>
          <w:tcPr>
            <w:tcW w:w="5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Oculis Holding AG</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Interim Statements of Financial Position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CHF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80" w:type="dxa"/>
            <w:vAlign w:val="bottom"/>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02"/>
        </w:trPr>
        <w:tc>
          <w:tcPr>
            <w:tcW w:w="5040" w:type="dxa"/>
            <w:vAlign w:val="bottom"/>
          </w:tcPr>
          <w:p>
            <w:pPr>
              <w:spacing w:after="0"/>
              <w:rPr>
                <w:sz w:val="17"/>
                <w:szCs w:val="17"/>
                <w:color w:val="auto"/>
              </w:rPr>
            </w:pPr>
          </w:p>
        </w:tc>
        <w:tc>
          <w:tcPr>
            <w:tcW w:w="2200" w:type="dxa"/>
            <w:vAlign w:val="bottom"/>
          </w:tcPr>
          <w:p>
            <w:pPr>
              <w:ind w:left="150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90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7"/>
                <w:szCs w:val="17"/>
                <w:color w:val="auto"/>
              </w:rPr>
            </w:pPr>
          </w:p>
        </w:tc>
        <w:tc>
          <w:tcPr>
            <w:tcW w:w="19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20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503</w:t>
            </w:r>
          </w:p>
        </w:tc>
        <w:tc>
          <w:tcPr>
            <w:tcW w:w="2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200" w:type="dxa"/>
            <w:vAlign w:val="bottom"/>
          </w:tcPr>
          <w:p>
            <w:pPr>
              <w:spacing w:after="0"/>
              <w:rPr>
                <w:sz w:val="17"/>
                <w:szCs w:val="17"/>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13,292</w:t>
            </w:r>
          </w:p>
        </w:tc>
        <w:tc>
          <w:tcPr>
            <w:tcW w:w="2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13,292</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20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2,365</w:t>
            </w:r>
          </w:p>
        </w:tc>
        <w:tc>
          <w:tcPr>
            <w:tcW w:w="2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2,463</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0" w:type="dxa"/>
            <w:vAlign w:val="bottom"/>
          </w:tcPr>
          <w:p>
            <w:pPr>
              <w:spacing w:after="0"/>
              <w:rPr>
                <w:sz w:val="17"/>
                <w:szCs w:val="17"/>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796</w:t>
            </w:r>
          </w:p>
        </w:tc>
        <w:tc>
          <w:tcPr>
            <w:tcW w:w="2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196"/>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2200" w:type="dxa"/>
            <w:vAlign w:val="bottom"/>
            <w:tcBorders>
              <w:top w:val="single" w:sz="8" w:color="CFF0FC"/>
              <w:bottom w:val="single" w:sz="8" w:color="CFF0FC"/>
            </w:tcBorders>
            <w:shd w:val="clear" w:color="auto" w:fill="CFF0FC"/>
          </w:tcPr>
          <w:p>
            <w:pPr>
              <w:spacing w:after="0"/>
              <w:rPr>
                <w:sz w:val="17"/>
                <w:szCs w:val="17"/>
                <w:color w:val="auto"/>
              </w:rPr>
            </w:pPr>
          </w:p>
        </w:tc>
        <w:tc>
          <w:tcPr>
            <w:tcW w:w="19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16,956</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9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17,074</w:t>
            </w:r>
          </w:p>
        </w:tc>
        <w:tc>
          <w:tcPr>
            <w:tcW w:w="0" w:type="dxa"/>
            <w:vAlign w:val="bottom"/>
          </w:tcPr>
          <w:p>
            <w:pPr>
              <w:spacing w:after="0"/>
              <w:rPr>
                <w:sz w:val="1"/>
                <w:szCs w:val="1"/>
                <w:color w:val="auto"/>
              </w:rPr>
            </w:pPr>
          </w:p>
        </w:tc>
      </w:tr>
      <w:tr>
        <w:trPr>
          <w:trHeight w:val="396"/>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200" w:type="dxa"/>
            <w:vAlign w:val="bottom"/>
            <w:shd w:val="clear" w:color="auto" w:fill="CFF0FC"/>
          </w:tcPr>
          <w:p>
            <w:pPr>
              <w:jc w:val="center"/>
              <w:ind w:left="1039"/>
              <w:spacing w:after="0"/>
              <w:rPr>
                <w:sz w:val="20"/>
                <w:szCs w:val="20"/>
                <w:color w:val="auto"/>
              </w:rPr>
            </w:pPr>
            <w:r>
              <w:rPr>
                <w:rFonts w:ascii="Times New Roman" w:cs="Times New Roman" w:eastAsia="Times New Roman" w:hAnsi="Times New Roman"/>
                <w:sz w:val="16"/>
                <w:szCs w:val="16"/>
                <w:color w:val="auto"/>
                <w:w w:val="99"/>
              </w:rPr>
              <w:t>6</w:t>
            </w:r>
          </w:p>
        </w:tc>
        <w:tc>
          <w:tcPr>
            <w:tcW w:w="1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3,801</w:t>
            </w:r>
          </w:p>
        </w:tc>
        <w:tc>
          <w:tcPr>
            <w:tcW w:w="2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4,883</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Accrued income</w:t>
            </w:r>
          </w:p>
        </w:tc>
        <w:tc>
          <w:tcPr>
            <w:tcW w:w="220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w w:val="99"/>
              </w:rPr>
              <w:t>6</w:t>
            </w: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1,202</w:t>
            </w:r>
          </w:p>
        </w:tc>
        <w:tc>
          <w:tcPr>
            <w:tcW w:w="2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Short-term financial assets</w:t>
            </w:r>
          </w:p>
        </w:tc>
        <w:tc>
          <w:tcPr>
            <w:tcW w:w="2200" w:type="dxa"/>
            <w:vAlign w:val="bottom"/>
            <w:shd w:val="clear" w:color="auto" w:fill="CFF0FC"/>
          </w:tcPr>
          <w:p>
            <w:pPr>
              <w:jc w:val="center"/>
              <w:ind w:left="1039"/>
              <w:spacing w:after="0"/>
              <w:rPr>
                <w:sz w:val="20"/>
                <w:szCs w:val="20"/>
                <w:color w:val="auto"/>
              </w:rPr>
            </w:pPr>
            <w:r>
              <w:rPr>
                <w:rFonts w:ascii="Times New Roman" w:cs="Times New Roman" w:eastAsia="Times New Roman" w:hAnsi="Times New Roman"/>
                <w:sz w:val="16"/>
                <w:szCs w:val="16"/>
                <w:color w:val="auto"/>
                <w:w w:val="99"/>
              </w:rPr>
              <w:t>8</w:t>
            </w:r>
          </w:p>
        </w:tc>
        <w:tc>
          <w:tcPr>
            <w:tcW w:w="1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157,470</w:t>
            </w:r>
          </w:p>
        </w:tc>
        <w:tc>
          <w:tcPr>
            <w:tcW w:w="2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131,684</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w w:val="99"/>
              </w:rPr>
              <w:t>8</w:t>
            </w:r>
          </w:p>
        </w:tc>
        <w:tc>
          <w:tcPr>
            <w:tcW w:w="1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64,564</w:t>
            </w:r>
          </w:p>
        </w:tc>
        <w:tc>
          <w:tcPr>
            <w:tcW w:w="180" w:type="dxa"/>
            <w:vAlign w:val="bottom"/>
          </w:tcPr>
          <w:p>
            <w:pPr>
              <w:spacing w:after="0"/>
              <w:rPr>
                <w:sz w:val="17"/>
                <w:szCs w:val="17"/>
                <w:color w:val="auto"/>
              </w:rPr>
            </w:pPr>
          </w:p>
        </w:tc>
        <w:tc>
          <w:tcPr>
            <w:tcW w:w="1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81,329</w:t>
            </w: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227,037</w:t>
            </w:r>
          </w:p>
        </w:tc>
        <w:tc>
          <w:tcPr>
            <w:tcW w:w="2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218,889</w:t>
            </w:r>
          </w:p>
        </w:tc>
        <w:tc>
          <w:tcPr>
            <w:tcW w:w="0" w:type="dxa"/>
            <w:vAlign w:val="bottom"/>
          </w:tcPr>
          <w:p>
            <w:pPr>
              <w:spacing w:after="0"/>
              <w:rPr>
                <w:sz w:val="1"/>
                <w:szCs w:val="1"/>
                <w:color w:val="auto"/>
              </w:rPr>
            </w:pPr>
          </w:p>
        </w:tc>
      </w:tr>
      <w:tr>
        <w:trPr>
          <w:trHeight w:val="196"/>
        </w:trPr>
        <w:tc>
          <w:tcPr>
            <w:tcW w:w="50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0" w:type="dxa"/>
            <w:vAlign w:val="bottom"/>
            <w:tcBorders>
              <w:top w:val="single" w:sz="8" w:color="CFF0FC"/>
            </w:tcBorders>
          </w:tcPr>
          <w:p>
            <w:pPr>
              <w:spacing w:after="0"/>
              <w:rPr>
                <w:sz w:val="17"/>
                <w:szCs w:val="17"/>
                <w:color w:val="auto"/>
              </w:rPr>
            </w:pPr>
          </w:p>
        </w:tc>
        <w:tc>
          <w:tcPr>
            <w:tcW w:w="19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FF0FC"/>
              <w:bottom w:val="single" w:sz="8" w:color="CFF0FC"/>
            </w:tcBorders>
            <w:vMerge w:val="restart"/>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1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243,993</w:t>
            </w:r>
          </w:p>
        </w:tc>
        <w:tc>
          <w:tcPr>
            <w:tcW w:w="180" w:type="dxa"/>
            <w:vAlign w:val="bottom"/>
            <w:vMerge w:val="continue"/>
          </w:tcPr>
          <w:p>
            <w:pPr>
              <w:spacing w:after="0"/>
              <w:rPr>
                <w:sz w:val="17"/>
                <w:szCs w:val="17"/>
                <w:color w:val="auto"/>
              </w:rPr>
            </w:pPr>
          </w:p>
        </w:tc>
        <w:tc>
          <w:tcPr>
            <w:tcW w:w="1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235,963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22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220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620</w:t>
            </w:r>
          </w:p>
        </w:tc>
        <w:tc>
          <w:tcPr>
            <w:tcW w:w="2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Share premium</w:t>
            </w:r>
          </w:p>
        </w:tc>
        <w:tc>
          <w:tcPr>
            <w:tcW w:w="2200" w:type="dxa"/>
            <w:vAlign w:val="bottom"/>
          </w:tcPr>
          <w:p>
            <w:pPr>
              <w:spacing w:after="0"/>
              <w:rPr>
                <w:sz w:val="17"/>
                <w:szCs w:val="17"/>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579,217</w:t>
            </w:r>
          </w:p>
        </w:tc>
        <w:tc>
          <w:tcPr>
            <w:tcW w:w="2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551,731</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Reserve for share-based payment</w:t>
            </w:r>
          </w:p>
        </w:tc>
        <w:tc>
          <w:tcPr>
            <w:tcW w:w="2200" w:type="dxa"/>
            <w:vAlign w:val="bottom"/>
            <w:shd w:val="clear" w:color="auto" w:fill="CFF0FC"/>
          </w:tcPr>
          <w:p>
            <w:pPr>
              <w:jc w:val="center"/>
              <w:ind w:left="1039"/>
              <w:spacing w:after="0"/>
              <w:rPr>
                <w:sz w:val="20"/>
                <w:szCs w:val="20"/>
                <w:color w:val="auto"/>
              </w:rPr>
            </w:pPr>
            <w:r>
              <w:rPr>
                <w:rFonts w:ascii="Times New Roman" w:cs="Times New Roman" w:eastAsia="Times New Roman" w:hAnsi="Times New Roman"/>
                <w:sz w:val="16"/>
                <w:szCs w:val="16"/>
                <w:color w:val="auto"/>
                <w:w w:val="99"/>
              </w:rPr>
              <w:t>7</w:t>
            </w:r>
          </w:p>
        </w:tc>
        <w:tc>
          <w:tcPr>
            <w:tcW w:w="1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32,577</w:t>
            </w:r>
          </w:p>
        </w:tc>
        <w:tc>
          <w:tcPr>
            <w:tcW w:w="2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30,387</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Actuarial loss on post-employment benefit obligations</w:t>
            </w:r>
          </w:p>
        </w:tc>
        <w:tc>
          <w:tcPr>
            <w:tcW w:w="2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2200" w:type="dxa"/>
            <w:vAlign w:val="bottom"/>
            <w:shd w:val="clear" w:color="auto" w:fill="CFF0FC"/>
          </w:tcPr>
          <w:p>
            <w:pPr>
              <w:jc w:val="center"/>
              <w:ind w:left="1039"/>
              <w:spacing w:after="0"/>
              <w:rPr>
                <w:sz w:val="20"/>
                <w:szCs w:val="20"/>
                <w:color w:val="auto"/>
              </w:rPr>
            </w:pPr>
            <w:r>
              <w:rPr>
                <w:rFonts w:ascii="Times New Roman" w:cs="Times New Roman" w:eastAsia="Times New Roman" w:hAnsi="Times New Roman"/>
                <w:sz w:val="16"/>
                <w:szCs w:val="16"/>
                <w:color w:val="auto"/>
                <w:w w:val="99"/>
              </w:rPr>
              <w:t>4</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2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losses</w:t>
            </w:r>
          </w:p>
        </w:tc>
        <w:tc>
          <w:tcPr>
            <w:tcW w:w="220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(413,366)</w:t>
            </w:r>
          </w:p>
        </w:tc>
        <w:tc>
          <w:tcPr>
            <w:tcW w:w="18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(384,514)</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200" w:type="dxa"/>
            <w:vAlign w:val="bottom"/>
          </w:tcPr>
          <w:p>
            <w:pPr>
              <w:spacing w:after="0"/>
              <w:rPr>
                <w:sz w:val="17"/>
                <w:szCs w:val="17"/>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196,648</w:t>
            </w:r>
          </w:p>
        </w:tc>
        <w:tc>
          <w:tcPr>
            <w:tcW w:w="2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196,070</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2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200" w:type="dxa"/>
            <w:vAlign w:val="bottom"/>
          </w:tcPr>
          <w:p>
            <w:pPr>
              <w:spacing w:after="0"/>
              <w:rPr>
                <w:sz w:val="17"/>
                <w:szCs w:val="17"/>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1,832</w:t>
            </w:r>
          </w:p>
        </w:tc>
        <w:tc>
          <w:tcPr>
            <w:tcW w:w="2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1,811</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Defined benefit pension liabilities</w:t>
            </w:r>
          </w:p>
        </w:tc>
        <w:tc>
          <w:tcPr>
            <w:tcW w:w="220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1,650</w:t>
            </w:r>
          </w:p>
        </w:tc>
        <w:tc>
          <w:tcPr>
            <w:tcW w:w="2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2200" w:type="dxa"/>
            <w:vAlign w:val="bottom"/>
          </w:tcPr>
          <w:p>
            <w:pPr>
              <w:spacing w:after="0"/>
              <w:rPr>
                <w:sz w:val="17"/>
                <w:szCs w:val="17"/>
                <w:color w:val="auto"/>
              </w:rPr>
            </w:pP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3,482</w:t>
            </w:r>
          </w:p>
        </w:tc>
        <w:tc>
          <w:tcPr>
            <w:tcW w:w="18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3,146</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2200" w:type="dxa"/>
            <w:vAlign w:val="bottom"/>
          </w:tcPr>
          <w:p>
            <w:pPr>
              <w:spacing w:after="0"/>
              <w:rPr>
                <w:sz w:val="17"/>
                <w:szCs w:val="17"/>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4,496</w:t>
            </w:r>
          </w:p>
        </w:tc>
        <w:tc>
          <w:tcPr>
            <w:tcW w:w="2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2200" w:type="dxa"/>
            <w:vAlign w:val="bottom"/>
            <w:shd w:val="clear" w:color="auto" w:fill="CFF0FC"/>
          </w:tcPr>
          <w:p>
            <w:pPr>
              <w:jc w:val="center"/>
              <w:ind w:left="1039"/>
              <w:spacing w:after="0"/>
              <w:rPr>
                <w:sz w:val="20"/>
                <w:szCs w:val="20"/>
                <w:color w:val="auto"/>
              </w:rPr>
            </w:pPr>
            <w:r>
              <w:rPr>
                <w:rFonts w:ascii="Times New Roman" w:cs="Times New Roman" w:eastAsia="Times New Roman" w:hAnsi="Times New Roman"/>
                <w:sz w:val="16"/>
                <w:szCs w:val="16"/>
                <w:color w:val="auto"/>
                <w:w w:val="99"/>
              </w:rPr>
              <w:t>10</w:t>
            </w:r>
          </w:p>
        </w:tc>
        <w:tc>
          <w:tcPr>
            <w:tcW w:w="1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18,410</w:t>
            </w:r>
          </w:p>
        </w:tc>
        <w:tc>
          <w:tcPr>
            <w:tcW w:w="2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19,967</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2200" w:type="dxa"/>
            <w:vAlign w:val="bottom"/>
          </w:tcPr>
          <w:p>
            <w:pPr>
              <w:spacing w:after="0"/>
              <w:rPr>
                <w:sz w:val="17"/>
                <w:szCs w:val="17"/>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w:t>
            </w:r>
          </w:p>
        </w:tc>
        <w:tc>
          <w:tcPr>
            <w:tcW w:w="2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2200" w:type="dxa"/>
            <w:vAlign w:val="bottom"/>
            <w:tcBorders>
              <w:bottom w:val="single" w:sz="8" w:color="CFF0FC"/>
            </w:tcBorders>
            <w:shd w:val="clear" w:color="auto" w:fill="CFF0FC"/>
          </w:tcPr>
          <w:p>
            <w:pPr>
              <w:jc w:val="center"/>
              <w:ind w:left="1039"/>
              <w:spacing w:after="0"/>
              <w:rPr>
                <w:sz w:val="20"/>
                <w:szCs w:val="20"/>
                <w:color w:val="auto"/>
              </w:rPr>
            </w:pPr>
            <w:r>
              <w:rPr>
                <w:rFonts w:ascii="Times New Roman" w:cs="Times New Roman" w:eastAsia="Times New Roman" w:hAnsi="Times New Roman"/>
                <w:sz w:val="16"/>
                <w:szCs w:val="16"/>
                <w:color w:val="auto"/>
                <w:w w:val="99"/>
              </w:rPr>
              <w:t>9</w:t>
            </w:r>
          </w:p>
        </w:tc>
        <w:tc>
          <w:tcPr>
            <w:tcW w:w="1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20,541</w:t>
            </w:r>
          </w:p>
        </w:tc>
        <w:tc>
          <w:tcPr>
            <w:tcW w:w="18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14,478</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0" w:type="dxa"/>
            <w:vAlign w:val="bottom"/>
          </w:tcPr>
          <w:p>
            <w:pPr>
              <w:spacing w:after="0"/>
              <w:rPr>
                <w:sz w:val="17"/>
                <w:szCs w:val="17"/>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43,863</w:t>
            </w:r>
          </w:p>
        </w:tc>
        <w:tc>
          <w:tcPr>
            <w:tcW w:w="2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36,747</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90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47,345</w:t>
            </w:r>
          </w:p>
        </w:tc>
        <w:tc>
          <w:tcPr>
            <w:tcW w:w="2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39,893</w:t>
            </w:r>
          </w:p>
        </w:tc>
        <w:tc>
          <w:tcPr>
            <w:tcW w:w="0" w:type="dxa"/>
            <w:vAlign w:val="bottom"/>
          </w:tcPr>
          <w:p>
            <w:pPr>
              <w:spacing w:after="0"/>
              <w:rPr>
                <w:sz w:val="1"/>
                <w:szCs w:val="1"/>
                <w:color w:val="auto"/>
              </w:rPr>
            </w:pPr>
          </w:p>
        </w:tc>
      </w:tr>
      <w:tr>
        <w:trPr>
          <w:trHeight w:val="196"/>
        </w:trPr>
        <w:tc>
          <w:tcPr>
            <w:tcW w:w="50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2200" w:type="dxa"/>
            <w:vAlign w:val="bottom"/>
            <w:tcBorders>
              <w:top w:val="single" w:sz="8" w:color="CFF0FC"/>
            </w:tcBorders>
          </w:tcPr>
          <w:p>
            <w:pPr>
              <w:spacing w:after="0"/>
              <w:rPr>
                <w:sz w:val="17"/>
                <w:szCs w:val="17"/>
                <w:color w:val="auto"/>
              </w:rPr>
            </w:pPr>
          </w:p>
        </w:tc>
        <w:tc>
          <w:tcPr>
            <w:tcW w:w="19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FF0FC"/>
              <w:bottom w:val="single" w:sz="8" w:color="CFF0FC"/>
            </w:tcBorders>
            <w:vMerge w:val="restart"/>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1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243,993</w:t>
            </w:r>
          </w:p>
        </w:tc>
        <w:tc>
          <w:tcPr>
            <w:tcW w:w="180" w:type="dxa"/>
            <w:vAlign w:val="bottom"/>
            <w:vMerge w:val="continue"/>
          </w:tcPr>
          <w:p>
            <w:pPr>
              <w:spacing w:after="0"/>
              <w:rPr>
                <w:sz w:val="17"/>
                <w:szCs w:val="17"/>
                <w:color w:val="auto"/>
              </w:rPr>
            </w:pPr>
          </w:p>
        </w:tc>
        <w:tc>
          <w:tcPr>
            <w:tcW w:w="1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235,963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5795645</wp:posOffset>
            </wp:positionH>
            <wp:positionV relativeFrom="paragraph">
              <wp:posOffset>-5069840</wp:posOffset>
            </wp:positionV>
            <wp:extent cx="1365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6525"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-4002405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-2287905</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-1640840</wp:posOffset>
            </wp:positionV>
            <wp:extent cx="136525" cy="170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6525" cy="1708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-710565</wp:posOffset>
            </wp:positionV>
            <wp:extent cx="111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-299720</wp:posOffset>
            </wp:positionV>
            <wp:extent cx="111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form an integral part of the Unaudited Condensed Consolidated Interim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Oculis Holding AG</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 Condensed Consolidated Interim Statements of Loss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CHF thousands, except loss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520" w:type="dxa"/>
            <w:vAlign w:val="bottom"/>
            <w:gridSpan w:val="3"/>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520" w:type="dxa"/>
            <w:vAlign w:val="bottom"/>
            <w:tcBorders>
              <w:bottom w:val="single" w:sz="8" w:color="auto"/>
            </w:tcBorders>
            <w:gridSpan w:val="3"/>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ended March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4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7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 income</w:t>
            </w:r>
          </w:p>
        </w:tc>
        <w:tc>
          <w:tcPr>
            <w:tcW w:w="244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40" w:type="dxa"/>
            <w:vAlign w:val="bottom"/>
          </w:tcPr>
          <w:p>
            <w:pPr>
              <w:spacing w:after="0"/>
              <w:rPr>
                <w:sz w:val="17"/>
                <w:szCs w:val="17"/>
                <w:color w:val="auto"/>
              </w:rPr>
            </w:pPr>
          </w:p>
        </w:tc>
        <w:tc>
          <w:tcPr>
            <w:tcW w:w="1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209</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440" w:type="dxa"/>
            <w:vAlign w:val="bottom"/>
            <w:shd w:val="clear" w:color="auto" w:fill="CFF0FC"/>
          </w:tcPr>
          <w:p>
            <w:pPr>
              <w:jc w:val="center"/>
              <w:ind w:left="719"/>
              <w:spacing w:after="0"/>
              <w:rPr>
                <w:sz w:val="20"/>
                <w:szCs w:val="20"/>
                <w:color w:val="auto"/>
              </w:rPr>
            </w:pPr>
            <w:r>
              <w:rPr>
                <w:rFonts w:ascii="Times New Roman" w:cs="Times New Roman" w:eastAsia="Times New Roman" w:hAnsi="Times New Roman"/>
                <w:sz w:val="16"/>
                <w:szCs w:val="16"/>
                <w:color w:val="auto"/>
                <w:w w:val="99"/>
              </w:rPr>
              <w:t>5</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(14,046)</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40" w:type="dxa"/>
            <w:vAlign w:val="bottom"/>
            <w:tcBorders>
              <w:bottom w:val="single" w:sz="8" w:color="CFF0FC"/>
            </w:tcBorders>
          </w:tcPr>
          <w:p>
            <w:pPr>
              <w:jc w:val="center"/>
              <w:ind w:left="719"/>
              <w:spacing w:after="0"/>
              <w:rPr>
                <w:sz w:val="20"/>
                <w:szCs w:val="20"/>
                <w:color w:val="auto"/>
              </w:rPr>
            </w:pPr>
            <w:r>
              <w:rPr>
                <w:rFonts w:ascii="Times New Roman" w:cs="Times New Roman" w:eastAsia="Times New Roman" w:hAnsi="Times New Roman"/>
                <w:sz w:val="16"/>
                <w:szCs w:val="16"/>
                <w:color w:val="auto"/>
                <w:w w:val="99"/>
              </w:rPr>
              <w:t>5</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(7,891)</w:t>
            </w:r>
          </w:p>
        </w:tc>
        <w:tc>
          <w:tcPr>
            <w:tcW w:w="1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44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(21,937)</w:t>
            </w:r>
          </w:p>
        </w:tc>
        <w:tc>
          <w:tcPr>
            <w:tcW w:w="1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(20,259)</w:t>
            </w:r>
          </w:p>
        </w:tc>
        <w:tc>
          <w:tcPr>
            <w:tcW w:w="0" w:type="dxa"/>
            <w:vAlign w:val="bottom"/>
          </w:tcPr>
          <w:p>
            <w:pPr>
              <w:spacing w:after="0"/>
              <w:rPr>
                <w:sz w:val="1"/>
                <w:szCs w:val="1"/>
                <w:color w:val="auto"/>
              </w:rPr>
            </w:pPr>
          </w:p>
        </w:tc>
      </w:tr>
      <w:tr>
        <w:trPr>
          <w:trHeight w:val="196"/>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44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440" w:type="dxa"/>
            <w:vAlign w:val="bottom"/>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(21,728)</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(19,974)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244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Finance expense</w:t>
            </w:r>
          </w:p>
        </w:tc>
        <w:tc>
          <w:tcPr>
            <w:tcW w:w="24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adjustment on warrant liabilities</w:t>
            </w:r>
          </w:p>
        </w:tc>
        <w:tc>
          <w:tcPr>
            <w:tcW w:w="2440" w:type="dxa"/>
            <w:vAlign w:val="bottom"/>
            <w:shd w:val="clear" w:color="auto" w:fill="CFF0FC"/>
          </w:tcPr>
          <w:p>
            <w:pPr>
              <w:jc w:val="center"/>
              <w:ind w:left="719"/>
              <w:spacing w:after="0"/>
              <w:rPr>
                <w:sz w:val="20"/>
                <w:szCs w:val="20"/>
                <w:color w:val="auto"/>
              </w:rPr>
            </w:pPr>
            <w:r>
              <w:rPr>
                <w:rFonts w:ascii="Times New Roman" w:cs="Times New Roman" w:eastAsia="Times New Roman" w:hAnsi="Times New Roman"/>
                <w:sz w:val="16"/>
                <w:szCs w:val="16"/>
                <w:color w:val="auto"/>
                <w:w w:val="99"/>
              </w:rPr>
              <w:t>9</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Foreign currency exchange gain (loss)</w:t>
            </w:r>
          </w:p>
        </w:tc>
        <w:tc>
          <w:tcPr>
            <w:tcW w:w="2440" w:type="dxa"/>
            <w:vAlign w:val="bottom"/>
            <w:tcBorders>
              <w:bottom w:val="single" w:sz="8" w:color="CFF0FC"/>
            </w:tcBorders>
          </w:tcPr>
          <w:p>
            <w:pPr>
              <w:ind w:left="1440"/>
              <w:spacing w:after="0"/>
              <w:rPr>
                <w:sz w:val="20"/>
                <w:szCs w:val="20"/>
                <w:color w:val="auto"/>
              </w:rPr>
            </w:pPr>
            <w:r>
              <w:rPr>
                <w:rFonts w:ascii="Times New Roman" w:cs="Times New Roman" w:eastAsia="Times New Roman" w:hAnsi="Times New Roman"/>
                <w:sz w:val="16"/>
                <w:szCs w:val="16"/>
                <w:color w:val="auto"/>
              </w:rPr>
              <w:t>2.(D)</w:t>
            </w:r>
          </w:p>
        </w:tc>
        <w:tc>
          <w:tcPr>
            <w:tcW w:w="1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Finance result</w:t>
            </w:r>
          </w:p>
        </w:tc>
        <w:tc>
          <w:tcPr>
            <w:tcW w:w="244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(7,222)</w:t>
            </w:r>
          </w:p>
        </w:tc>
        <w:tc>
          <w:tcPr>
            <w:tcW w:w="1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(13,232)</w:t>
            </w:r>
          </w:p>
        </w:tc>
        <w:tc>
          <w:tcPr>
            <w:tcW w:w="0" w:type="dxa"/>
            <w:vAlign w:val="bottom"/>
          </w:tcPr>
          <w:p>
            <w:pPr>
              <w:spacing w:after="0"/>
              <w:rPr>
                <w:sz w:val="1"/>
                <w:szCs w:val="1"/>
                <w:color w:val="auto"/>
              </w:rPr>
            </w:pPr>
          </w:p>
        </w:tc>
      </w:tr>
      <w:tr>
        <w:trPr>
          <w:trHeight w:val="196"/>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Loss before tax for the period</w:t>
            </w:r>
          </w:p>
        </w:tc>
        <w:tc>
          <w:tcPr>
            <w:tcW w:w="244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440" w:type="dxa"/>
            <w:vAlign w:val="bottom"/>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(28,950)</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(33,206)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44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244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440" w:type="dxa"/>
            <w:vAlign w:val="bottom"/>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(28,852)</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7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per share:</w:t>
            </w:r>
          </w:p>
        </w:tc>
        <w:tc>
          <w:tcPr>
            <w:tcW w:w="24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loss attributable to equity holders</w:t>
            </w:r>
          </w:p>
        </w:tc>
        <w:tc>
          <w:tcPr>
            <w:tcW w:w="244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w w:val="99"/>
              </w:rPr>
              <w:t>11</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-2824480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-2434590</wp:posOffset>
            </wp:positionV>
            <wp:extent cx="93980" cy="170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-1371600</wp:posOffset>
            </wp:positionV>
            <wp:extent cx="939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form an integral part of the Unaudited Condensed Consolidated Interim Financial Statements.</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988"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Oculis Holding AG</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Interim Statements of Comprehensive Loss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CHF thousands)</w:t>
      </w:r>
    </w:p>
    <w:p>
      <w:pPr>
        <w:spacing w:after="0" w:line="200" w:lineRule="exact"/>
        <w:rPr>
          <w:sz w:val="20"/>
          <w:szCs w:val="20"/>
          <w:color w:val="auto"/>
        </w:rPr>
      </w:pPr>
    </w:p>
    <w:p>
      <w:pPr>
        <w:spacing w:after="0" w:line="2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7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4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8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(28,852)</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(33,213)</w:t>
            </w:r>
          </w:p>
        </w:tc>
        <w:tc>
          <w:tcPr>
            <w:tcW w:w="0" w:type="dxa"/>
            <w:vAlign w:val="bottom"/>
          </w:tcPr>
          <w:p>
            <w:pPr>
              <w:spacing w:after="0"/>
              <w:rPr>
                <w:sz w:val="1"/>
                <w:szCs w:val="1"/>
                <w:color w:val="auto"/>
              </w:rPr>
            </w:pPr>
          </w:p>
        </w:tc>
      </w:tr>
      <w:tr>
        <w:trPr>
          <w:trHeight w:val="409"/>
        </w:trPr>
        <w:tc>
          <w:tcPr>
            <w:tcW w:w="8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Items that will not be reclassified to Statements of Loss:</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Actuarial gain (loss) of defined benefit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Items that may be reclassified subsequently to loss:</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differences</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25</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6"/>
        </w:trPr>
        <w:tc>
          <w:tcPr>
            <w:tcW w:w="69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for the period</w:t>
            </w:r>
          </w:p>
        </w:tc>
        <w:tc>
          <w:tcPr>
            <w:tcW w:w="13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(269)</w:t>
            </w:r>
          </w:p>
        </w:tc>
        <w:tc>
          <w:tcPr>
            <w:tcW w:w="160" w:type="dxa"/>
            <w:vAlign w:val="bottom"/>
            <w:tcBorders>
              <w:top w:val="single" w:sz="8" w:color="CFF0FC"/>
            </w:tcBorders>
            <w:shd w:val="clear" w:color="auto" w:fill="CFF0FC"/>
          </w:tcPr>
          <w:p>
            <w:pPr>
              <w:spacing w:after="0"/>
              <w:rPr>
                <w:sz w:val="17"/>
                <w:szCs w:val="17"/>
                <w:color w:val="auto"/>
              </w:rPr>
            </w:pPr>
          </w:p>
        </w:tc>
        <w:tc>
          <w:tcPr>
            <w:tcW w:w="20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548</w:t>
            </w:r>
          </w:p>
        </w:tc>
        <w:tc>
          <w:tcPr>
            <w:tcW w:w="0" w:type="dxa"/>
            <w:vAlign w:val="bottom"/>
          </w:tcPr>
          <w:p>
            <w:pPr>
              <w:spacing w:after="0"/>
              <w:rPr>
                <w:sz w:val="1"/>
                <w:szCs w:val="1"/>
                <w:color w:val="auto"/>
              </w:rPr>
            </w:pPr>
          </w:p>
        </w:tc>
      </w:tr>
      <w:tr>
        <w:trPr>
          <w:trHeight w:val="203"/>
        </w:trPr>
        <w:tc>
          <w:tcPr>
            <w:tcW w:w="69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 for the period</w:t>
            </w: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vMerge w:val="restart"/>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vMerge w:val="continue"/>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(29,121)</w:t>
            </w:r>
          </w:p>
        </w:tc>
        <w:tc>
          <w:tcPr>
            <w:tcW w:w="160" w:type="dxa"/>
            <w:vAlign w:val="bottom"/>
            <w:vMerge w:val="continue"/>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(32,665)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-985520</wp:posOffset>
            </wp:positionV>
            <wp:extent cx="5837555" cy="694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37555" cy="6940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form an integral part of the Unaudited Condensed Consolidated Interim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Oculis Holding AG</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Interim Statements of Changes in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CHF thousands, except share numbers)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80" w:type="dxa"/>
            <w:vAlign w:val="bottom"/>
            <w:tcBorders>
              <w:bottom w:val="single" w:sz="8" w:color="auto"/>
            </w:tcBorders>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Share capital</w:t>
            </w:r>
          </w:p>
        </w:tc>
        <w:tc>
          <w:tcPr>
            <w:tcW w:w="120" w:type="dxa"/>
            <w:vAlign w:val="bottom"/>
          </w:tcPr>
          <w:p>
            <w:pPr>
              <w:spacing w:after="0"/>
              <w:rPr>
                <w:sz w:val="11"/>
                <w:szCs w:val="11"/>
                <w:color w:val="auto"/>
              </w:rPr>
            </w:pPr>
          </w:p>
        </w:tc>
        <w:tc>
          <w:tcPr>
            <w:tcW w:w="1540" w:type="dxa"/>
            <w:vAlign w:val="bottom"/>
            <w:tcBorders>
              <w:bottom w:val="single" w:sz="8" w:color="auto"/>
            </w:tcBorders>
            <w:gridSpan w:val="3"/>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Actuarial gain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(loss) on post-</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Reserve for</w:t>
            </w:r>
          </w:p>
        </w:tc>
        <w:tc>
          <w:tcPr>
            <w:tcW w:w="120" w:type="dxa"/>
            <w:vAlign w:val="bottom"/>
          </w:tcPr>
          <w:p>
            <w:pPr>
              <w:spacing w:after="0"/>
              <w:rPr>
                <w:sz w:val="10"/>
                <w:szCs w:val="10"/>
                <w:color w:val="auto"/>
              </w:rPr>
            </w:pPr>
          </w:p>
        </w:tc>
        <w:tc>
          <w:tcPr>
            <w:tcW w:w="68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Cumulative</w:t>
            </w:r>
          </w:p>
        </w:tc>
        <w:tc>
          <w:tcPr>
            <w:tcW w:w="100" w:type="dxa"/>
            <w:vAlign w:val="bottom"/>
          </w:tcPr>
          <w:p>
            <w:pPr>
              <w:spacing w:after="0"/>
              <w:rPr>
                <w:sz w:val="10"/>
                <w:szCs w:val="10"/>
                <w:color w:val="auto"/>
              </w:rPr>
            </w:pPr>
          </w:p>
        </w:tc>
        <w:tc>
          <w:tcPr>
            <w:tcW w:w="94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6"/>
              </w:rPr>
              <w:t>employment</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b w:val="1"/>
                <w:bCs w:val="1"/>
                <w:color w:val="auto"/>
              </w:rPr>
              <w:t>Share</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10"/>
                <w:szCs w:val="10"/>
                <w:color w:val="auto"/>
              </w:rPr>
            </w:pPr>
          </w:p>
        </w:tc>
        <w:tc>
          <w:tcPr>
            <w:tcW w:w="68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Share</w:t>
            </w:r>
          </w:p>
        </w:tc>
        <w:tc>
          <w:tcPr>
            <w:tcW w:w="8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share-based</w:t>
            </w:r>
          </w:p>
        </w:tc>
        <w:tc>
          <w:tcPr>
            <w:tcW w:w="120" w:type="dxa"/>
            <w:vAlign w:val="bottom"/>
          </w:tcPr>
          <w:p>
            <w:pPr>
              <w:spacing w:after="0"/>
              <w:rPr>
                <w:sz w:val="10"/>
                <w:szCs w:val="10"/>
                <w:color w:val="auto"/>
              </w:rPr>
            </w:pPr>
          </w:p>
        </w:tc>
        <w:tc>
          <w:tcPr>
            <w:tcW w:w="68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translation</w:t>
            </w:r>
          </w:p>
        </w:tc>
        <w:tc>
          <w:tcPr>
            <w:tcW w:w="100" w:type="dxa"/>
            <w:vAlign w:val="bottom"/>
          </w:tcPr>
          <w:p>
            <w:pPr>
              <w:spacing w:after="0"/>
              <w:rPr>
                <w:sz w:val="10"/>
                <w:szCs w:val="10"/>
                <w:color w:val="auto"/>
              </w:rPr>
            </w:pPr>
          </w:p>
        </w:tc>
        <w:tc>
          <w:tcPr>
            <w:tcW w:w="94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benefit</w:t>
            </w:r>
          </w:p>
        </w:tc>
        <w:tc>
          <w:tcPr>
            <w:tcW w:w="1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Accumulate</w:t>
            </w: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1"/>
        </w:trPr>
        <w:tc>
          <w:tcPr>
            <w:tcW w:w="2500" w:type="dxa"/>
            <w:vAlign w:val="bottom"/>
            <w:tcBorders>
              <w:bottom w:val="single" w:sz="8" w:color="CFF0FC"/>
            </w:tcBorders>
          </w:tcPr>
          <w:p>
            <w:pPr>
              <w:spacing w:after="0"/>
              <w:rPr>
                <w:sz w:val="11"/>
                <w:szCs w:val="11"/>
                <w:color w:val="auto"/>
              </w:rPr>
            </w:pPr>
          </w:p>
        </w:tc>
        <w:tc>
          <w:tcPr>
            <w:tcW w:w="540" w:type="dxa"/>
            <w:vAlign w:val="bottom"/>
            <w:tcBorders>
              <w:bottom w:val="single" w:sz="8" w:color="CFF0FC"/>
            </w:tcBorders>
          </w:tcPr>
          <w:p>
            <w:pPr>
              <w:jc w:val="center"/>
              <w:ind w:right="46"/>
              <w:spacing w:after="0" w:line="124" w:lineRule="exact"/>
              <w:rPr>
                <w:sz w:val="20"/>
                <w:szCs w:val="20"/>
                <w:color w:val="auto"/>
              </w:rPr>
            </w:pPr>
            <w:r>
              <w:rPr>
                <w:rFonts w:ascii="Times New Roman" w:cs="Times New Roman" w:eastAsia="Times New Roman" w:hAnsi="Times New Roman"/>
                <w:sz w:val="11"/>
                <w:szCs w:val="11"/>
                <w:b w:val="1"/>
                <w:bCs w:val="1"/>
                <w:color w:val="auto"/>
                <w:w w:val="90"/>
              </w:rPr>
              <w:t>Note</w:t>
            </w:r>
          </w:p>
        </w:tc>
        <w:tc>
          <w:tcPr>
            <w:tcW w:w="740" w:type="dxa"/>
            <w:vAlign w:val="bottom"/>
            <w:tcBorders>
              <w:bottom w:val="single" w:sz="8" w:color="auto"/>
            </w:tcBorders>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bottom w:val="single" w:sz="8" w:color="CFF0FC"/>
            </w:tcBorders>
          </w:tcPr>
          <w:p>
            <w:pPr>
              <w:spacing w:after="0"/>
              <w:rPr>
                <w:sz w:val="11"/>
                <w:szCs w:val="11"/>
                <w:color w:val="auto"/>
              </w:rPr>
            </w:pPr>
          </w:p>
        </w:tc>
        <w:tc>
          <w:tcPr>
            <w:tcW w:w="720" w:type="dxa"/>
            <w:vAlign w:val="bottom"/>
            <w:tcBorders>
              <w:bottom w:val="single" w:sz="8" w:color="auto"/>
            </w:tcBorders>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CFF0FC"/>
            </w:tcBorders>
          </w:tcPr>
          <w:p>
            <w:pPr>
              <w:spacing w:after="0"/>
              <w:rPr>
                <w:sz w:val="11"/>
                <w:szCs w:val="11"/>
                <w:color w:val="auto"/>
              </w:rPr>
            </w:pPr>
          </w:p>
        </w:tc>
        <w:tc>
          <w:tcPr>
            <w:tcW w:w="720" w:type="dxa"/>
            <w:vAlign w:val="bottom"/>
            <w:tcBorders>
              <w:bottom w:val="single" w:sz="8" w:color="auto"/>
            </w:tcBorders>
          </w:tcPr>
          <w:p>
            <w:pPr>
              <w:jc w:val="right"/>
              <w:ind w:right="206"/>
              <w:spacing w:after="0" w:line="124"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CFF0FC"/>
            </w:tcBorders>
          </w:tcPr>
          <w:p>
            <w:pPr>
              <w:spacing w:after="0"/>
              <w:rPr>
                <w:sz w:val="11"/>
                <w:szCs w:val="11"/>
                <w:color w:val="auto"/>
              </w:rPr>
            </w:pPr>
          </w:p>
        </w:tc>
        <w:tc>
          <w:tcPr>
            <w:tcW w:w="720" w:type="dxa"/>
            <w:vAlign w:val="bottom"/>
            <w:tcBorders>
              <w:bottom w:val="single" w:sz="8" w:color="auto"/>
            </w:tcBorders>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right"/>
              <w:ind w:right="126"/>
              <w:spacing w:after="0" w:line="124" w:lineRule="exact"/>
              <w:rPr>
                <w:sz w:val="20"/>
                <w:szCs w:val="20"/>
                <w:color w:val="auto"/>
              </w:rPr>
            </w:pPr>
            <w:r>
              <w:rPr>
                <w:rFonts w:ascii="Times New Roman" w:cs="Times New Roman" w:eastAsia="Times New Roman" w:hAnsi="Times New Roman"/>
                <w:sz w:val="11"/>
                <w:szCs w:val="11"/>
                <w:b w:val="1"/>
                <w:bCs w:val="1"/>
                <w:color w:val="auto"/>
              </w:rPr>
              <w:t>premium</w:t>
            </w: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center"/>
              <w:ind w:right="66"/>
              <w:spacing w:after="0" w:line="124" w:lineRule="exact"/>
              <w:rPr>
                <w:sz w:val="20"/>
                <w:szCs w:val="20"/>
                <w:color w:val="auto"/>
              </w:rPr>
            </w:pPr>
            <w:r>
              <w:rPr>
                <w:rFonts w:ascii="Times New Roman" w:cs="Times New Roman" w:eastAsia="Times New Roman" w:hAnsi="Times New Roman"/>
                <w:sz w:val="11"/>
                <w:szCs w:val="11"/>
                <w:b w:val="1"/>
                <w:bCs w:val="1"/>
                <w:color w:val="auto"/>
                <w:w w:val="97"/>
              </w:rPr>
              <w:t>payment</w:t>
            </w: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center"/>
              <w:ind w:right="66"/>
              <w:spacing w:after="0" w:line="124" w:lineRule="exact"/>
              <w:rPr>
                <w:sz w:val="20"/>
                <w:szCs w:val="20"/>
                <w:color w:val="auto"/>
              </w:rPr>
            </w:pPr>
            <w:r>
              <w:rPr>
                <w:rFonts w:ascii="Times New Roman" w:cs="Times New Roman" w:eastAsia="Times New Roman" w:hAnsi="Times New Roman"/>
                <w:sz w:val="11"/>
                <w:szCs w:val="11"/>
                <w:b w:val="1"/>
                <w:bCs w:val="1"/>
                <w:color w:val="auto"/>
                <w:w w:val="97"/>
              </w:rPr>
              <w:t>adjustment</w:t>
            </w:r>
          </w:p>
        </w:tc>
        <w:tc>
          <w:tcPr>
            <w:tcW w:w="100" w:type="dxa"/>
            <w:vAlign w:val="bottom"/>
            <w:tcBorders>
              <w:bottom w:val="single" w:sz="8" w:color="CFF0FC"/>
            </w:tcBorders>
          </w:tcPr>
          <w:p>
            <w:pPr>
              <w:spacing w:after="0"/>
              <w:rPr>
                <w:sz w:val="11"/>
                <w:szCs w:val="11"/>
                <w:color w:val="auto"/>
              </w:rPr>
            </w:pPr>
          </w:p>
        </w:tc>
        <w:tc>
          <w:tcPr>
            <w:tcW w:w="940" w:type="dxa"/>
            <w:vAlign w:val="bottom"/>
            <w:tcBorders>
              <w:bottom w:val="single" w:sz="8" w:color="auto"/>
            </w:tcBorders>
          </w:tcPr>
          <w:p>
            <w:pPr>
              <w:jc w:val="center"/>
              <w:ind w:right="66"/>
              <w:spacing w:after="0" w:line="124" w:lineRule="exact"/>
              <w:rPr>
                <w:sz w:val="20"/>
                <w:szCs w:val="20"/>
                <w:color w:val="auto"/>
              </w:rPr>
            </w:pPr>
            <w:r>
              <w:rPr>
                <w:rFonts w:ascii="Times New Roman" w:cs="Times New Roman" w:eastAsia="Times New Roman" w:hAnsi="Times New Roman"/>
                <w:sz w:val="11"/>
                <w:szCs w:val="11"/>
                <w:b w:val="1"/>
                <w:bCs w:val="1"/>
                <w:color w:val="auto"/>
                <w:w w:val="97"/>
              </w:rPr>
              <w:t>obligations</w:t>
            </w:r>
          </w:p>
        </w:tc>
        <w:tc>
          <w:tcPr>
            <w:tcW w:w="10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ind w:right="186"/>
              <w:spacing w:after="0" w:line="124" w:lineRule="exact"/>
              <w:rPr>
                <w:sz w:val="20"/>
                <w:szCs w:val="20"/>
                <w:color w:val="auto"/>
              </w:rPr>
            </w:pPr>
            <w:r>
              <w:rPr>
                <w:rFonts w:ascii="Times New Roman" w:cs="Times New Roman" w:eastAsia="Times New Roman" w:hAnsi="Times New Roman"/>
                <w:sz w:val="11"/>
                <w:szCs w:val="11"/>
                <w:b w:val="1"/>
                <w:bCs w:val="1"/>
                <w:color w:val="auto"/>
              </w:rPr>
              <w:t>d losses</w:t>
            </w:r>
          </w:p>
        </w:tc>
        <w:tc>
          <w:tcPr>
            <w:tcW w:w="100" w:type="dxa"/>
            <w:vAlign w:val="bottom"/>
            <w:tcBorders>
              <w:bottom w:val="single" w:sz="8" w:color="CFF0FC"/>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5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1, 2025</w:t>
            </w:r>
          </w:p>
        </w:tc>
        <w:tc>
          <w:tcPr>
            <w:tcW w:w="54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86"/>
              <w:spacing w:after="0" w:line="106" w:lineRule="exact"/>
              <w:rPr>
                <w:sz w:val="20"/>
                <w:szCs w:val="20"/>
                <w:color w:val="auto"/>
              </w:rPr>
            </w:pPr>
            <w:r>
              <w:rPr>
                <w:rFonts w:ascii="Times New Roman" w:cs="Times New Roman" w:eastAsia="Times New Roman" w:hAnsi="Times New Roman"/>
                <w:sz w:val="11"/>
                <w:szCs w:val="11"/>
                <w:b w:val="1"/>
                <w:bCs w:val="1"/>
                <w:color w:val="auto"/>
              </w:rPr>
              <w:t>44,662,40</w:t>
            </w:r>
          </w:p>
        </w:tc>
        <w:tc>
          <w:tcPr>
            <w:tcW w:w="84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446</w:t>
            </w:r>
          </w:p>
        </w:tc>
        <w:tc>
          <w:tcPr>
            <w:tcW w:w="840" w:type="dxa"/>
            <w:vAlign w:val="bottom"/>
            <w:gridSpan w:val="2"/>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(1,000,000)</w:t>
            </w:r>
          </w:p>
        </w:tc>
        <w:tc>
          <w:tcPr>
            <w:tcW w:w="820" w:type="dxa"/>
            <w:vAlign w:val="bottom"/>
            <w:gridSpan w:val="2"/>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(10)</w:t>
            </w:r>
          </w:p>
        </w:tc>
        <w:tc>
          <w:tcPr>
            <w:tcW w:w="78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344,946</w:t>
            </w:r>
          </w:p>
        </w:tc>
        <w:tc>
          <w:tcPr>
            <w:tcW w:w="80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16,062</w:t>
            </w:r>
          </w:p>
        </w:tc>
        <w:tc>
          <w:tcPr>
            <w:tcW w:w="800" w:type="dxa"/>
            <w:vAlign w:val="bottom"/>
            <w:gridSpan w:val="2"/>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(271)</w:t>
            </w:r>
          </w:p>
        </w:tc>
        <w:tc>
          <w:tcPr>
            <w:tcW w:w="1040" w:type="dxa"/>
            <w:vAlign w:val="bottom"/>
            <w:gridSpan w:val="2"/>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(2,233)</w:t>
            </w:r>
          </w:p>
        </w:tc>
        <w:tc>
          <w:tcPr>
            <w:tcW w:w="800" w:type="dxa"/>
            <w:vAlign w:val="bottom"/>
            <w:gridSpan w:val="2"/>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(285,557)</w:t>
            </w:r>
          </w:p>
        </w:tc>
        <w:tc>
          <w:tcPr>
            <w:tcW w:w="10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73,383</w:t>
            </w:r>
          </w:p>
        </w:tc>
        <w:tc>
          <w:tcPr>
            <w:tcW w:w="0" w:type="dxa"/>
            <w:vAlign w:val="bottom"/>
          </w:tcPr>
          <w:p>
            <w:pPr>
              <w:spacing w:after="0"/>
              <w:rPr>
                <w:sz w:val="1"/>
                <w:szCs w:val="1"/>
                <w:color w:val="auto"/>
              </w:rPr>
            </w:pPr>
          </w:p>
        </w:tc>
      </w:tr>
      <w:tr>
        <w:trPr>
          <w:trHeight w:val="75"/>
        </w:trPr>
        <w:tc>
          <w:tcPr>
            <w:tcW w:w="2500" w:type="dxa"/>
            <w:vAlign w:val="bottom"/>
            <w:vMerge w:val="continue"/>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740" w:type="dxa"/>
            <w:vAlign w:val="bottom"/>
            <w:vMerge w:val="restart"/>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w:t>
            </w:r>
          </w:p>
        </w:tc>
        <w:tc>
          <w:tcPr>
            <w:tcW w:w="840" w:type="dxa"/>
            <w:vAlign w:val="bottom"/>
            <w:gridSpan w:val="2"/>
            <w:vMerge w:val="continue"/>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820" w:type="dxa"/>
            <w:vAlign w:val="bottom"/>
            <w:gridSpan w:val="2"/>
            <w:vMerge w:val="continue"/>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1040" w:type="dxa"/>
            <w:vAlign w:val="bottom"/>
            <w:gridSpan w:val="2"/>
            <w:vMerge w:val="continue"/>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500" w:type="dxa"/>
            <w:vAlign w:val="bottom"/>
            <w:tcBorders>
              <w:bottom w:val="single" w:sz="8" w:color="CFF0FC"/>
            </w:tcBorders>
            <w:shd w:val="clear" w:color="auto" w:fill="CFF0FC"/>
          </w:tcPr>
          <w:p>
            <w:pPr>
              <w:spacing w:after="0"/>
              <w:rPr>
                <w:sz w:val="5"/>
                <w:szCs w:val="5"/>
                <w:color w:val="auto"/>
              </w:rPr>
            </w:pPr>
          </w:p>
        </w:tc>
        <w:tc>
          <w:tcPr>
            <w:tcW w:w="540" w:type="dxa"/>
            <w:vAlign w:val="bottom"/>
            <w:tcBorders>
              <w:bottom w:val="single" w:sz="8" w:color="CFF0FC"/>
            </w:tcBorders>
            <w:shd w:val="clear" w:color="auto" w:fill="CFF0FC"/>
          </w:tcPr>
          <w:p>
            <w:pPr>
              <w:spacing w:after="0"/>
              <w:rPr>
                <w:sz w:val="5"/>
                <w:szCs w:val="5"/>
                <w:color w:val="auto"/>
              </w:rPr>
            </w:pPr>
          </w:p>
        </w:tc>
        <w:tc>
          <w:tcPr>
            <w:tcW w:w="740" w:type="dxa"/>
            <w:vAlign w:val="bottom"/>
            <w:tcBorders>
              <w:bottom w:val="single" w:sz="8" w:color="auto"/>
            </w:tcBorders>
            <w:vMerge w:val="continue"/>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720" w:type="dxa"/>
            <w:vAlign w:val="bottom"/>
            <w:tcBorders>
              <w:bottom w:val="single" w:sz="8" w:color="auto"/>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720" w:type="dxa"/>
            <w:vAlign w:val="bottom"/>
            <w:tcBorders>
              <w:bottom w:val="single" w:sz="8" w:color="auto"/>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720" w:type="dxa"/>
            <w:vAlign w:val="bottom"/>
            <w:tcBorders>
              <w:bottom w:val="single" w:sz="8" w:color="auto"/>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680" w:type="dxa"/>
            <w:vAlign w:val="bottom"/>
            <w:tcBorders>
              <w:bottom w:val="single" w:sz="8" w:color="auto"/>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680" w:type="dxa"/>
            <w:vAlign w:val="bottom"/>
            <w:tcBorders>
              <w:bottom w:val="single" w:sz="8" w:color="auto"/>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680" w:type="dxa"/>
            <w:vAlign w:val="bottom"/>
            <w:tcBorders>
              <w:bottom w:val="single" w:sz="8" w:color="auto"/>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940" w:type="dxa"/>
            <w:vAlign w:val="bottom"/>
            <w:tcBorders>
              <w:bottom w:val="single" w:sz="8" w:color="auto"/>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700" w:type="dxa"/>
            <w:vAlign w:val="bottom"/>
            <w:tcBorders>
              <w:bottom w:val="single" w:sz="8" w:color="auto"/>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640" w:type="dxa"/>
            <w:vAlign w:val="bottom"/>
            <w:tcBorders>
              <w:bottom w:val="single" w:sz="8" w:color="auto"/>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5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Loss for the period</w:t>
            </w:r>
          </w:p>
        </w:tc>
        <w:tc>
          <w:tcPr>
            <w:tcW w:w="540" w:type="dxa"/>
            <w:vAlign w:val="bottom"/>
          </w:tcPr>
          <w:p>
            <w:pPr>
              <w:spacing w:after="0"/>
              <w:rPr>
                <w:sz w:val="10"/>
                <w:szCs w:val="10"/>
                <w:color w:val="auto"/>
              </w:rPr>
            </w:pPr>
          </w:p>
        </w:tc>
        <w:tc>
          <w:tcPr>
            <w:tcW w:w="74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(33,213)</w:t>
            </w:r>
          </w:p>
        </w:tc>
        <w:tc>
          <w:tcPr>
            <w:tcW w:w="100" w:type="dxa"/>
            <w:vAlign w:val="bottom"/>
          </w:tcPr>
          <w:p>
            <w:pPr>
              <w:spacing w:after="0"/>
              <w:rPr>
                <w:sz w:val="10"/>
                <w:szCs w:val="10"/>
                <w:color w:val="auto"/>
              </w:rPr>
            </w:pPr>
          </w:p>
        </w:tc>
        <w:tc>
          <w:tcPr>
            <w:tcW w:w="6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(33,213)</w:t>
            </w: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Other comprehensive income (loss):</w:t>
            </w: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Actuarial gain on post-employment benefit obligations</w:t>
            </w:r>
          </w:p>
        </w:tc>
        <w:tc>
          <w:tcPr>
            <w:tcW w:w="54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587</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587</w:t>
            </w:r>
          </w:p>
        </w:tc>
        <w:tc>
          <w:tcPr>
            <w:tcW w:w="0" w:type="dxa"/>
            <w:vAlign w:val="bottom"/>
          </w:tcPr>
          <w:p>
            <w:pPr>
              <w:spacing w:after="0"/>
              <w:rPr>
                <w:sz w:val="1"/>
                <w:szCs w:val="1"/>
                <w:color w:val="auto"/>
              </w:rPr>
            </w:pPr>
          </w:p>
        </w:tc>
      </w:tr>
      <w:tr>
        <w:trPr>
          <w:trHeight w:val="122"/>
        </w:trPr>
        <w:tc>
          <w:tcPr>
            <w:tcW w:w="250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differences</w:t>
            </w:r>
          </w:p>
        </w:tc>
        <w:tc>
          <w:tcPr>
            <w:tcW w:w="5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(39)</w:t>
            </w:r>
          </w:p>
        </w:tc>
        <w:tc>
          <w:tcPr>
            <w:tcW w:w="1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15"/>
        </w:trPr>
        <w:tc>
          <w:tcPr>
            <w:tcW w:w="25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comprehensive income (loss) for the period</w:t>
            </w:r>
          </w:p>
        </w:tc>
        <w:tc>
          <w:tcPr>
            <w:tcW w:w="540" w:type="dxa"/>
            <w:vAlign w:val="bottom"/>
          </w:tcPr>
          <w:p>
            <w:pPr>
              <w:spacing w:after="0"/>
              <w:rPr>
                <w:sz w:val="10"/>
                <w:szCs w:val="10"/>
                <w:color w:val="auto"/>
              </w:rPr>
            </w:pPr>
          </w:p>
        </w:tc>
        <w:tc>
          <w:tcPr>
            <w:tcW w:w="740" w:type="dxa"/>
            <w:vAlign w:val="bottom"/>
            <w:tcBorders>
              <w:bottom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7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7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7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68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(39)</w:t>
            </w:r>
          </w:p>
        </w:tc>
        <w:tc>
          <w:tcPr>
            <w:tcW w:w="100" w:type="dxa"/>
            <w:vAlign w:val="bottom"/>
          </w:tcPr>
          <w:p>
            <w:pPr>
              <w:spacing w:after="0"/>
              <w:rPr>
                <w:sz w:val="10"/>
                <w:szCs w:val="10"/>
                <w:color w:val="auto"/>
              </w:rPr>
            </w:pPr>
          </w:p>
        </w:tc>
        <w:tc>
          <w:tcPr>
            <w:tcW w:w="94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587</w:t>
            </w:r>
          </w:p>
        </w:tc>
        <w:tc>
          <w:tcPr>
            <w:tcW w:w="100" w:type="dxa"/>
            <w:vAlign w:val="bottom"/>
          </w:tcPr>
          <w:p>
            <w:pPr>
              <w:spacing w:after="0"/>
              <w:rPr>
                <w:sz w:val="10"/>
                <w:szCs w:val="10"/>
                <w:color w:val="auto"/>
              </w:rPr>
            </w:pPr>
          </w:p>
        </w:tc>
        <w:tc>
          <w:tcPr>
            <w:tcW w:w="70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(33,213)</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(32,665)</w:t>
            </w:r>
          </w:p>
        </w:tc>
        <w:tc>
          <w:tcPr>
            <w:tcW w:w="0" w:type="dxa"/>
            <w:vAlign w:val="bottom"/>
          </w:tcPr>
          <w:p>
            <w:pPr>
              <w:spacing w:after="0"/>
              <w:rPr>
                <w:sz w:val="1"/>
                <w:szCs w:val="1"/>
                <w:color w:val="auto"/>
              </w:rPr>
            </w:pPr>
          </w:p>
        </w:tc>
      </w:tr>
      <w:tr>
        <w:trPr>
          <w:trHeight w:val="115"/>
        </w:trPr>
        <w:tc>
          <w:tcPr>
            <w:tcW w:w="25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540" w:type="dxa"/>
            <w:vAlign w:val="bottom"/>
            <w:shd w:val="clear" w:color="auto" w:fill="CFF0FC"/>
          </w:tcPr>
          <w:p>
            <w:pPr>
              <w:jc w:val="center"/>
              <w:ind w:right="46"/>
              <w:spacing w:after="0" w:line="115" w:lineRule="exact"/>
              <w:rPr>
                <w:sz w:val="20"/>
                <w:szCs w:val="20"/>
                <w:color w:val="auto"/>
              </w:rPr>
            </w:pPr>
            <w:r>
              <w:rPr>
                <w:rFonts w:ascii="Times New Roman" w:cs="Times New Roman" w:eastAsia="Times New Roman" w:hAnsi="Times New Roman"/>
                <w:sz w:val="11"/>
                <w:szCs w:val="11"/>
                <w:color w:val="auto"/>
                <w:w w:val="71"/>
              </w:rPr>
              <w:t>7</w:t>
            </w:r>
          </w:p>
        </w:tc>
        <w:tc>
          <w:tcPr>
            <w:tcW w:w="740" w:type="dxa"/>
            <w:vAlign w:val="bottom"/>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2,630</w:t>
            </w:r>
          </w:p>
        </w:tc>
        <w:tc>
          <w:tcPr>
            <w:tcW w:w="80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2,630</w:t>
            </w:r>
          </w:p>
        </w:tc>
        <w:tc>
          <w:tcPr>
            <w:tcW w:w="0" w:type="dxa"/>
            <w:vAlign w:val="bottom"/>
          </w:tcPr>
          <w:p>
            <w:pPr>
              <w:spacing w:after="0"/>
              <w:rPr>
                <w:sz w:val="1"/>
                <w:szCs w:val="1"/>
                <w:color w:val="auto"/>
              </w:rPr>
            </w:pPr>
          </w:p>
        </w:tc>
      </w:tr>
      <w:tr>
        <w:trPr>
          <w:trHeight w:val="108"/>
        </w:trPr>
        <w:tc>
          <w:tcPr>
            <w:tcW w:w="25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ordinary shares related to underwritten</w:t>
            </w:r>
          </w:p>
        </w:tc>
        <w:tc>
          <w:tcPr>
            <w:tcW w:w="540" w:type="dxa"/>
            <w:vAlign w:val="bottom"/>
          </w:tcPr>
          <w:p>
            <w:pPr>
              <w:spacing w:after="0"/>
              <w:rPr>
                <w:sz w:val="9"/>
                <w:szCs w:val="9"/>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5,000,000</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50</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90,177</w:t>
            </w:r>
          </w:p>
        </w:tc>
        <w:tc>
          <w:tcPr>
            <w:tcW w:w="80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90,227</w:t>
            </w:r>
          </w:p>
        </w:tc>
        <w:tc>
          <w:tcPr>
            <w:tcW w:w="0" w:type="dxa"/>
            <w:vAlign w:val="bottom"/>
          </w:tcPr>
          <w:p>
            <w:pPr>
              <w:spacing w:after="0"/>
              <w:rPr>
                <w:sz w:val="1"/>
                <w:szCs w:val="1"/>
                <w:color w:val="auto"/>
              </w:rPr>
            </w:pPr>
          </w:p>
        </w:tc>
      </w:tr>
      <w:tr>
        <w:trPr>
          <w:trHeight w:val="73"/>
        </w:trPr>
        <w:tc>
          <w:tcPr>
            <w:tcW w:w="25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offering</w:t>
            </w: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Transaction costs related to issuance of ordinary shares</w:t>
            </w: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(6,982)</w:t>
            </w:r>
          </w:p>
        </w:tc>
        <w:tc>
          <w:tcPr>
            <w:tcW w:w="8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(6,982)</w:t>
            </w:r>
          </w:p>
        </w:tc>
        <w:tc>
          <w:tcPr>
            <w:tcW w:w="0" w:type="dxa"/>
            <w:vAlign w:val="bottom"/>
          </w:tcPr>
          <w:p>
            <w:pPr>
              <w:spacing w:after="0"/>
              <w:rPr>
                <w:sz w:val="1"/>
                <w:szCs w:val="1"/>
                <w:color w:val="auto"/>
              </w:rPr>
            </w:pPr>
          </w:p>
        </w:tc>
      </w:tr>
      <w:tr>
        <w:trPr>
          <w:trHeight w:val="121"/>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Vesting of earnout shares</w:t>
            </w:r>
          </w:p>
        </w:tc>
        <w:tc>
          <w:tcPr>
            <w:tcW w:w="54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1,422,723</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shares to be held as treasury shares</w:t>
            </w: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2,500,000</w:t>
            </w:r>
          </w:p>
        </w:tc>
        <w:tc>
          <w:tcPr>
            <w:tcW w:w="84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8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(2,500,000)</w:t>
            </w:r>
          </w:p>
        </w:tc>
        <w:tc>
          <w:tcPr>
            <w:tcW w:w="820" w:type="dxa"/>
            <w:vAlign w:val="bottom"/>
            <w:gridSpan w:val="2"/>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78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Warrants exercised</w:t>
            </w:r>
          </w:p>
        </w:tc>
        <w:tc>
          <w:tcPr>
            <w:tcW w:w="5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color w:val="auto"/>
                <w:w w:val="71"/>
              </w:rPr>
              <w:t>7</w:t>
            </w: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1,806,297</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35,701</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35,719</w:t>
            </w:r>
          </w:p>
        </w:tc>
        <w:tc>
          <w:tcPr>
            <w:tcW w:w="0" w:type="dxa"/>
            <w:vAlign w:val="bottom"/>
          </w:tcPr>
          <w:p>
            <w:pPr>
              <w:spacing w:after="0"/>
              <w:rPr>
                <w:sz w:val="1"/>
                <w:szCs w:val="1"/>
                <w:color w:val="auto"/>
              </w:rPr>
            </w:pPr>
          </w:p>
        </w:tc>
      </w:tr>
      <w:tr>
        <w:trPr>
          <w:trHeight w:val="122"/>
        </w:trPr>
        <w:tc>
          <w:tcPr>
            <w:tcW w:w="250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 options exercised and RSUs vested/released</w:t>
            </w:r>
          </w:p>
        </w:tc>
        <w:tc>
          <w:tcPr>
            <w:tcW w:w="540" w:type="dxa"/>
            <w:vAlign w:val="bottom"/>
            <w:tcBorders>
              <w:bottom w:val="single" w:sz="8" w:color="CFF0FC"/>
            </w:tcBorders>
            <w:shd w:val="clear" w:color="auto" w:fill="CFF0FC"/>
          </w:tcPr>
          <w:p>
            <w:pPr>
              <w:jc w:val="center"/>
              <w:ind w:right="46"/>
              <w:spacing w:after="0" w:line="122" w:lineRule="exact"/>
              <w:rPr>
                <w:sz w:val="20"/>
                <w:szCs w:val="20"/>
                <w:color w:val="auto"/>
              </w:rPr>
            </w:pPr>
            <w:r>
              <w:rPr>
                <w:rFonts w:ascii="Times New Roman" w:cs="Times New Roman" w:eastAsia="Times New Roman" w:hAnsi="Times New Roman"/>
                <w:sz w:val="11"/>
                <w:szCs w:val="11"/>
                <w:color w:val="auto"/>
                <w:w w:val="71"/>
              </w:rPr>
              <w:t>7</w:t>
            </w:r>
          </w:p>
        </w:tc>
        <w:tc>
          <w:tcPr>
            <w:tcW w:w="740" w:type="dxa"/>
            <w:vAlign w:val="bottom"/>
            <w:tcBorders>
              <w:bottom w:val="single" w:sz="8" w:color="auto"/>
            </w:tcBorders>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169,078</w:t>
            </w:r>
          </w:p>
        </w:tc>
        <w:tc>
          <w:tcPr>
            <w:tcW w:w="1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362</w:t>
            </w:r>
          </w:p>
        </w:tc>
        <w:tc>
          <w:tcPr>
            <w:tcW w:w="1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1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314</w:t>
            </w:r>
          </w:p>
        </w:tc>
        <w:tc>
          <w:tcPr>
            <w:tcW w:w="0" w:type="dxa"/>
            <w:vAlign w:val="bottom"/>
          </w:tcPr>
          <w:p>
            <w:pPr>
              <w:spacing w:after="0"/>
              <w:rPr>
                <w:sz w:val="1"/>
                <w:szCs w:val="1"/>
                <w:color w:val="auto"/>
              </w:rPr>
            </w:pPr>
          </w:p>
        </w:tc>
      </w:tr>
      <w:tr>
        <w:trPr>
          <w:trHeight w:val="99"/>
        </w:trPr>
        <w:tc>
          <w:tcPr>
            <w:tcW w:w="2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as of March 31, 2025</w:t>
            </w:r>
          </w:p>
        </w:tc>
        <w:tc>
          <w:tcPr>
            <w:tcW w:w="540" w:type="dxa"/>
            <w:vAlign w:val="bottom"/>
          </w:tcPr>
          <w:p>
            <w:pPr>
              <w:spacing w:after="0"/>
              <w:rPr>
                <w:sz w:val="8"/>
                <w:szCs w:val="8"/>
                <w:color w:val="auto"/>
              </w:rPr>
            </w:pPr>
          </w:p>
        </w:tc>
        <w:tc>
          <w:tcPr>
            <w:tcW w:w="740" w:type="dxa"/>
            <w:vAlign w:val="bottom"/>
          </w:tcPr>
          <w:p>
            <w:pPr>
              <w:jc w:val="right"/>
              <w:ind w:right="86"/>
              <w:spacing w:after="0" w:line="100" w:lineRule="exact"/>
              <w:rPr>
                <w:sz w:val="20"/>
                <w:szCs w:val="20"/>
                <w:color w:val="auto"/>
              </w:rPr>
            </w:pPr>
            <w:r>
              <w:rPr>
                <w:rFonts w:ascii="Times New Roman" w:cs="Times New Roman" w:eastAsia="Times New Roman" w:hAnsi="Times New Roman"/>
                <w:sz w:val="11"/>
                <w:szCs w:val="11"/>
                <w:b w:val="1"/>
                <w:bCs w:val="1"/>
                <w:color w:val="auto"/>
              </w:rPr>
              <w:t>55,560,50</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555</w:t>
            </w:r>
          </w:p>
        </w:tc>
        <w:tc>
          <w:tcPr>
            <w:tcW w:w="8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(3,500,000)</w:t>
            </w:r>
          </w:p>
        </w:tc>
        <w:tc>
          <w:tcPr>
            <w:tcW w:w="82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(35)</w:t>
            </w:r>
          </w:p>
        </w:tc>
        <w:tc>
          <w:tcPr>
            <w:tcW w:w="7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464,190</w:t>
            </w:r>
          </w:p>
        </w:tc>
        <w:tc>
          <w:tcPr>
            <w:tcW w:w="80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18,642</w:t>
            </w:r>
          </w:p>
        </w:tc>
        <w:tc>
          <w:tcPr>
            <w:tcW w:w="80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(310)</w:t>
            </w:r>
          </w:p>
        </w:tc>
        <w:tc>
          <w:tcPr>
            <w:tcW w:w="104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(1,646)</w:t>
            </w:r>
          </w:p>
        </w:tc>
        <w:tc>
          <w:tcPr>
            <w:tcW w:w="80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(318,770)</w:t>
            </w:r>
          </w:p>
        </w:tc>
        <w:tc>
          <w:tcPr>
            <w:tcW w:w="100" w:type="dxa"/>
            <w:vAlign w:val="bottom"/>
          </w:tcPr>
          <w:p>
            <w:pPr>
              <w:spacing w:after="0"/>
              <w:rPr>
                <w:sz w:val="8"/>
                <w:szCs w:val="8"/>
                <w:color w:val="auto"/>
              </w:rPr>
            </w:pPr>
          </w:p>
        </w:tc>
        <w:tc>
          <w:tcPr>
            <w:tcW w:w="6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162,626</w:t>
            </w:r>
          </w:p>
        </w:tc>
        <w:tc>
          <w:tcPr>
            <w:tcW w:w="0" w:type="dxa"/>
            <w:vAlign w:val="bottom"/>
          </w:tcPr>
          <w:p>
            <w:pPr>
              <w:spacing w:after="0"/>
              <w:rPr>
                <w:sz w:val="1"/>
                <w:szCs w:val="1"/>
                <w:color w:val="auto"/>
              </w:rPr>
            </w:pPr>
          </w:p>
        </w:tc>
      </w:tr>
      <w:tr>
        <w:trPr>
          <w:trHeight w:val="102"/>
        </w:trPr>
        <w:tc>
          <w:tcPr>
            <w:tcW w:w="25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0</w:t>
            </w: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5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1, 2026</w:t>
            </w:r>
          </w:p>
        </w:tc>
        <w:tc>
          <w:tcPr>
            <w:tcW w:w="540" w:type="dxa"/>
            <w:vAlign w:val="bottom"/>
            <w:shd w:val="clear" w:color="auto" w:fill="CFF0FC"/>
          </w:tcPr>
          <w:p>
            <w:pPr>
              <w:spacing w:after="0"/>
              <w:rPr>
                <w:sz w:val="8"/>
                <w:szCs w:val="8"/>
                <w:color w:val="auto"/>
              </w:rPr>
            </w:pPr>
          </w:p>
        </w:tc>
        <w:tc>
          <w:tcPr>
            <w:tcW w:w="740" w:type="dxa"/>
            <w:vAlign w:val="bottom"/>
            <w:shd w:val="clear" w:color="auto" w:fill="CFF0FC"/>
          </w:tcPr>
          <w:p>
            <w:pPr>
              <w:jc w:val="right"/>
              <w:ind w:right="86"/>
              <w:spacing w:after="0" w:line="100" w:lineRule="exact"/>
              <w:rPr>
                <w:sz w:val="20"/>
                <w:szCs w:val="20"/>
                <w:color w:val="auto"/>
              </w:rPr>
            </w:pPr>
            <w:r>
              <w:rPr>
                <w:rFonts w:ascii="Times New Roman" w:cs="Times New Roman" w:eastAsia="Times New Roman" w:hAnsi="Times New Roman"/>
                <w:sz w:val="11"/>
                <w:szCs w:val="11"/>
                <w:b w:val="1"/>
                <w:bCs w:val="1"/>
                <w:color w:val="auto"/>
              </w:rPr>
              <w:t>58,688,14</w:t>
            </w:r>
          </w:p>
        </w:tc>
        <w:tc>
          <w:tcPr>
            <w:tcW w:w="84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587</w:t>
            </w:r>
          </w:p>
        </w:tc>
        <w:tc>
          <w:tcPr>
            <w:tcW w:w="840" w:type="dxa"/>
            <w:vAlign w:val="bottom"/>
            <w:gridSpan w:val="2"/>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(703,703)</w:t>
            </w:r>
          </w:p>
        </w:tc>
        <w:tc>
          <w:tcPr>
            <w:tcW w:w="820" w:type="dxa"/>
            <w:vAlign w:val="bottom"/>
            <w:gridSpan w:val="2"/>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(7)</w:t>
            </w:r>
          </w:p>
        </w:tc>
        <w:tc>
          <w:tcPr>
            <w:tcW w:w="78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551,731</w:t>
            </w:r>
          </w:p>
        </w:tc>
        <w:tc>
          <w:tcPr>
            <w:tcW w:w="80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30,387</w:t>
            </w:r>
          </w:p>
        </w:tc>
        <w:tc>
          <w:tcPr>
            <w:tcW w:w="800" w:type="dxa"/>
            <w:vAlign w:val="bottom"/>
            <w:gridSpan w:val="2"/>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(480)</w:t>
            </w:r>
          </w:p>
        </w:tc>
        <w:tc>
          <w:tcPr>
            <w:tcW w:w="1040" w:type="dxa"/>
            <w:vAlign w:val="bottom"/>
            <w:gridSpan w:val="2"/>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(1,634)</w:t>
            </w:r>
          </w:p>
        </w:tc>
        <w:tc>
          <w:tcPr>
            <w:tcW w:w="800" w:type="dxa"/>
            <w:vAlign w:val="bottom"/>
            <w:gridSpan w:val="2"/>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(384,514)</w:t>
            </w:r>
          </w:p>
        </w:tc>
        <w:tc>
          <w:tcPr>
            <w:tcW w:w="10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196,070</w:t>
            </w:r>
          </w:p>
        </w:tc>
        <w:tc>
          <w:tcPr>
            <w:tcW w:w="0" w:type="dxa"/>
            <w:vAlign w:val="bottom"/>
          </w:tcPr>
          <w:p>
            <w:pPr>
              <w:spacing w:after="0"/>
              <w:rPr>
                <w:sz w:val="1"/>
                <w:szCs w:val="1"/>
                <w:color w:val="auto"/>
              </w:rPr>
            </w:pPr>
          </w:p>
        </w:tc>
      </w:tr>
      <w:tr>
        <w:trPr>
          <w:trHeight w:val="137"/>
        </w:trPr>
        <w:tc>
          <w:tcPr>
            <w:tcW w:w="2500" w:type="dxa"/>
            <w:vAlign w:val="bottom"/>
            <w:tcBorders>
              <w:bottom w:val="single" w:sz="8" w:color="CFF0FC"/>
            </w:tcBorders>
            <w:vMerge w:val="continue"/>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1</w:t>
            </w:r>
          </w:p>
        </w:tc>
        <w:tc>
          <w:tcPr>
            <w:tcW w:w="840" w:type="dxa"/>
            <w:vAlign w:val="bottom"/>
            <w:tcBorders>
              <w:bottom w:val="single" w:sz="8" w:color="CFF0FC"/>
            </w:tcBorders>
            <w:gridSpan w:val="2"/>
            <w:vMerge w:val="continue"/>
            <w:shd w:val="clear" w:color="auto" w:fill="CFF0FC"/>
          </w:tcPr>
          <w:p>
            <w:pPr>
              <w:spacing w:after="0"/>
              <w:rPr>
                <w:sz w:val="11"/>
                <w:szCs w:val="11"/>
                <w:color w:val="auto"/>
              </w:rPr>
            </w:pPr>
          </w:p>
        </w:tc>
        <w:tc>
          <w:tcPr>
            <w:tcW w:w="840" w:type="dxa"/>
            <w:vAlign w:val="bottom"/>
            <w:tcBorders>
              <w:bottom w:val="single" w:sz="8" w:color="CFF0FC"/>
            </w:tcBorders>
            <w:gridSpan w:val="2"/>
            <w:vMerge w:val="continue"/>
            <w:shd w:val="clear" w:color="auto" w:fill="CFF0FC"/>
          </w:tcPr>
          <w:p>
            <w:pPr>
              <w:spacing w:after="0"/>
              <w:rPr>
                <w:sz w:val="11"/>
                <w:szCs w:val="11"/>
                <w:color w:val="auto"/>
              </w:rPr>
            </w:pPr>
          </w:p>
        </w:tc>
        <w:tc>
          <w:tcPr>
            <w:tcW w:w="820" w:type="dxa"/>
            <w:vAlign w:val="bottom"/>
            <w:tcBorders>
              <w:bottom w:val="single" w:sz="8" w:color="CFF0FC"/>
            </w:tcBorders>
            <w:gridSpan w:val="2"/>
            <w:vMerge w:val="continue"/>
            <w:shd w:val="clear" w:color="auto" w:fill="CFF0FC"/>
          </w:tcPr>
          <w:p>
            <w:pPr>
              <w:spacing w:after="0"/>
              <w:rPr>
                <w:sz w:val="11"/>
                <w:szCs w:val="11"/>
                <w:color w:val="auto"/>
              </w:rPr>
            </w:pPr>
          </w:p>
        </w:tc>
        <w:tc>
          <w:tcPr>
            <w:tcW w:w="780" w:type="dxa"/>
            <w:vAlign w:val="bottom"/>
            <w:tcBorders>
              <w:bottom w:val="single" w:sz="8" w:color="CFF0FC"/>
            </w:tcBorders>
            <w:gridSpan w:val="2"/>
            <w:vMerge w:val="continue"/>
            <w:shd w:val="clear" w:color="auto" w:fill="CFF0FC"/>
          </w:tcPr>
          <w:p>
            <w:pPr>
              <w:spacing w:after="0"/>
              <w:rPr>
                <w:sz w:val="11"/>
                <w:szCs w:val="11"/>
                <w:color w:val="auto"/>
              </w:rPr>
            </w:pPr>
          </w:p>
        </w:tc>
        <w:tc>
          <w:tcPr>
            <w:tcW w:w="800" w:type="dxa"/>
            <w:vAlign w:val="bottom"/>
            <w:tcBorders>
              <w:bottom w:val="single" w:sz="8" w:color="CFF0FC"/>
            </w:tcBorders>
            <w:gridSpan w:val="2"/>
            <w:vMerge w:val="continue"/>
            <w:shd w:val="clear" w:color="auto" w:fill="CFF0FC"/>
          </w:tcPr>
          <w:p>
            <w:pPr>
              <w:spacing w:after="0"/>
              <w:rPr>
                <w:sz w:val="11"/>
                <w:szCs w:val="11"/>
                <w:color w:val="auto"/>
              </w:rPr>
            </w:pPr>
          </w:p>
        </w:tc>
        <w:tc>
          <w:tcPr>
            <w:tcW w:w="800" w:type="dxa"/>
            <w:vAlign w:val="bottom"/>
            <w:tcBorders>
              <w:bottom w:val="single" w:sz="8" w:color="CFF0FC"/>
            </w:tcBorders>
            <w:gridSpan w:val="2"/>
            <w:vMerge w:val="continue"/>
            <w:shd w:val="clear" w:color="auto" w:fill="CFF0FC"/>
          </w:tcPr>
          <w:p>
            <w:pPr>
              <w:spacing w:after="0"/>
              <w:rPr>
                <w:sz w:val="11"/>
                <w:szCs w:val="11"/>
                <w:color w:val="auto"/>
              </w:rPr>
            </w:pPr>
          </w:p>
        </w:tc>
        <w:tc>
          <w:tcPr>
            <w:tcW w:w="1040" w:type="dxa"/>
            <w:vAlign w:val="bottom"/>
            <w:tcBorders>
              <w:bottom w:val="single" w:sz="8" w:color="CFF0FC"/>
            </w:tcBorders>
            <w:gridSpan w:val="2"/>
            <w:vMerge w:val="continue"/>
            <w:shd w:val="clear" w:color="auto" w:fill="CFF0FC"/>
          </w:tcPr>
          <w:p>
            <w:pPr>
              <w:spacing w:after="0"/>
              <w:rPr>
                <w:sz w:val="11"/>
                <w:szCs w:val="11"/>
                <w:color w:val="auto"/>
              </w:rPr>
            </w:pPr>
          </w:p>
        </w:tc>
        <w:tc>
          <w:tcPr>
            <w:tcW w:w="800" w:type="dxa"/>
            <w:vAlign w:val="bottom"/>
            <w:tcBorders>
              <w:bottom w:val="single" w:sz="8" w:color="CFF0FC"/>
            </w:tcBorders>
            <w:gridSpan w:val="2"/>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50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1"/>
                <w:szCs w:val="11"/>
                <w:color w:val="auto"/>
              </w:rPr>
              <w:t>Loss for the period</w:t>
            </w:r>
          </w:p>
        </w:tc>
        <w:tc>
          <w:tcPr>
            <w:tcW w:w="540" w:type="dxa"/>
            <w:vAlign w:val="bottom"/>
            <w:tcBorders>
              <w:top w:val="single" w:sz="8" w:color="CFF0FC"/>
            </w:tcBorders>
          </w:tcPr>
          <w:p>
            <w:pPr>
              <w:spacing w:after="0"/>
              <w:rPr>
                <w:sz w:val="10"/>
                <w:szCs w:val="10"/>
                <w:color w:val="auto"/>
              </w:rPr>
            </w:pPr>
          </w:p>
        </w:tc>
        <w:tc>
          <w:tcPr>
            <w:tcW w:w="74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94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(28,852)</w:t>
            </w:r>
          </w:p>
        </w:tc>
        <w:tc>
          <w:tcPr>
            <w:tcW w:w="10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(28,852)</w:t>
            </w:r>
          </w:p>
        </w:tc>
        <w:tc>
          <w:tcPr>
            <w:tcW w:w="0" w:type="dxa"/>
            <w:vAlign w:val="bottom"/>
          </w:tcPr>
          <w:p>
            <w:pPr>
              <w:spacing w:after="0"/>
              <w:rPr>
                <w:sz w:val="1"/>
                <w:szCs w:val="1"/>
                <w:color w:val="auto"/>
              </w:rPr>
            </w:pPr>
          </w:p>
        </w:tc>
      </w:tr>
      <w:tr>
        <w:trPr>
          <w:trHeight w:val="121"/>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Other comprehensive loss:</w:t>
            </w:r>
          </w:p>
        </w:tc>
        <w:tc>
          <w:tcPr>
            <w:tcW w:w="5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Actuarial loss on post-employment benefit obligations</w:t>
            </w:r>
          </w:p>
        </w:tc>
        <w:tc>
          <w:tcPr>
            <w:tcW w:w="54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(294)</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(294)</w:t>
            </w:r>
          </w:p>
        </w:tc>
        <w:tc>
          <w:tcPr>
            <w:tcW w:w="0" w:type="dxa"/>
            <w:vAlign w:val="bottom"/>
          </w:tcPr>
          <w:p>
            <w:pPr>
              <w:spacing w:after="0"/>
              <w:rPr>
                <w:sz w:val="1"/>
                <w:szCs w:val="1"/>
                <w:color w:val="auto"/>
              </w:rPr>
            </w:pPr>
          </w:p>
        </w:tc>
      </w:tr>
      <w:tr>
        <w:trPr>
          <w:trHeight w:val="122"/>
        </w:trPr>
        <w:tc>
          <w:tcPr>
            <w:tcW w:w="250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differences</w:t>
            </w:r>
          </w:p>
        </w:tc>
        <w:tc>
          <w:tcPr>
            <w:tcW w:w="5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1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15"/>
        </w:trPr>
        <w:tc>
          <w:tcPr>
            <w:tcW w:w="25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comprehensive loss for the period</w:t>
            </w:r>
          </w:p>
        </w:tc>
        <w:tc>
          <w:tcPr>
            <w:tcW w:w="540" w:type="dxa"/>
            <w:vAlign w:val="bottom"/>
          </w:tcPr>
          <w:p>
            <w:pPr>
              <w:spacing w:after="0"/>
              <w:rPr>
                <w:sz w:val="10"/>
                <w:szCs w:val="10"/>
                <w:color w:val="auto"/>
              </w:rPr>
            </w:pPr>
          </w:p>
        </w:tc>
        <w:tc>
          <w:tcPr>
            <w:tcW w:w="740" w:type="dxa"/>
            <w:vAlign w:val="bottom"/>
            <w:tcBorders>
              <w:bottom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7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7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7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68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25</w:t>
            </w:r>
          </w:p>
        </w:tc>
        <w:tc>
          <w:tcPr>
            <w:tcW w:w="100" w:type="dxa"/>
            <w:vAlign w:val="bottom"/>
          </w:tcPr>
          <w:p>
            <w:pPr>
              <w:spacing w:after="0"/>
              <w:rPr>
                <w:sz w:val="10"/>
                <w:szCs w:val="10"/>
                <w:color w:val="auto"/>
              </w:rPr>
            </w:pPr>
          </w:p>
        </w:tc>
        <w:tc>
          <w:tcPr>
            <w:tcW w:w="94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(294)</w:t>
            </w:r>
          </w:p>
        </w:tc>
        <w:tc>
          <w:tcPr>
            <w:tcW w:w="100" w:type="dxa"/>
            <w:vAlign w:val="bottom"/>
          </w:tcPr>
          <w:p>
            <w:pPr>
              <w:spacing w:after="0"/>
              <w:rPr>
                <w:sz w:val="10"/>
                <w:szCs w:val="10"/>
                <w:color w:val="auto"/>
              </w:rPr>
            </w:pPr>
          </w:p>
        </w:tc>
        <w:tc>
          <w:tcPr>
            <w:tcW w:w="70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(28,852)</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(29,121)</w:t>
            </w:r>
          </w:p>
        </w:tc>
        <w:tc>
          <w:tcPr>
            <w:tcW w:w="0" w:type="dxa"/>
            <w:vAlign w:val="bottom"/>
          </w:tcPr>
          <w:p>
            <w:pPr>
              <w:spacing w:after="0"/>
              <w:rPr>
                <w:sz w:val="1"/>
                <w:szCs w:val="1"/>
                <w:color w:val="auto"/>
              </w:rPr>
            </w:pPr>
          </w:p>
        </w:tc>
      </w:tr>
      <w:tr>
        <w:trPr>
          <w:trHeight w:val="115"/>
        </w:trPr>
        <w:tc>
          <w:tcPr>
            <w:tcW w:w="25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540" w:type="dxa"/>
            <w:vAlign w:val="bottom"/>
            <w:shd w:val="clear" w:color="auto" w:fill="CFF0FC"/>
          </w:tcPr>
          <w:p>
            <w:pPr>
              <w:jc w:val="center"/>
              <w:ind w:right="46"/>
              <w:spacing w:after="0" w:line="115" w:lineRule="exact"/>
              <w:rPr>
                <w:sz w:val="20"/>
                <w:szCs w:val="20"/>
                <w:color w:val="auto"/>
              </w:rPr>
            </w:pPr>
            <w:r>
              <w:rPr>
                <w:rFonts w:ascii="Times New Roman" w:cs="Times New Roman" w:eastAsia="Times New Roman" w:hAnsi="Times New Roman"/>
                <w:sz w:val="11"/>
                <w:szCs w:val="11"/>
                <w:color w:val="auto"/>
                <w:w w:val="71"/>
              </w:rPr>
              <w:t>7</w:t>
            </w:r>
          </w:p>
        </w:tc>
        <w:tc>
          <w:tcPr>
            <w:tcW w:w="740" w:type="dxa"/>
            <w:vAlign w:val="bottom"/>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5,001</w:t>
            </w:r>
          </w:p>
        </w:tc>
        <w:tc>
          <w:tcPr>
            <w:tcW w:w="80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5,001</w:t>
            </w: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ordinary shares pursuant to ATM program</w:t>
            </w:r>
          </w:p>
        </w:tc>
        <w:tc>
          <w:tcPr>
            <w:tcW w:w="5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color w:val="auto"/>
                <w:w w:val="71"/>
              </w:rPr>
              <w:t>4</w:t>
            </w: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1,050,000</w:t>
            </w:r>
          </w:p>
        </w:tc>
        <w:tc>
          <w:tcPr>
            <w:tcW w:w="82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78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22,367</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22,377</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Transaction costs related to the issuance of ordinary</w:t>
            </w:r>
          </w:p>
        </w:tc>
        <w:tc>
          <w:tcPr>
            <w:tcW w:w="540" w:type="dxa"/>
            <w:vAlign w:val="bottom"/>
            <w:vMerge w:val="restart"/>
            <w:shd w:val="clear" w:color="auto" w:fill="CFF0FC"/>
          </w:tcPr>
          <w:p>
            <w:pPr>
              <w:jc w:val="center"/>
              <w:ind w:right="46"/>
              <w:spacing w:after="0"/>
              <w:rPr>
                <w:sz w:val="20"/>
                <w:szCs w:val="20"/>
                <w:color w:val="auto"/>
              </w:rPr>
            </w:pPr>
            <w:r>
              <w:rPr>
                <w:rFonts w:ascii="Times New Roman" w:cs="Times New Roman" w:eastAsia="Times New Roman" w:hAnsi="Times New Roman"/>
                <w:sz w:val="11"/>
                <w:szCs w:val="11"/>
                <w:color w:val="auto"/>
                <w:w w:val="71"/>
              </w:rPr>
              <w:t>4</w:t>
            </w:r>
          </w:p>
        </w:tc>
        <w:tc>
          <w:tcPr>
            <w:tcW w:w="740" w:type="dxa"/>
            <w:vAlign w:val="bottom"/>
            <w:vMerge w:val="restart"/>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(1,365)</w:t>
            </w:r>
          </w:p>
        </w:tc>
        <w:tc>
          <w:tcPr>
            <w:tcW w:w="80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(1,365)</w:t>
            </w:r>
          </w:p>
        </w:tc>
        <w:tc>
          <w:tcPr>
            <w:tcW w:w="0" w:type="dxa"/>
            <w:vAlign w:val="bottom"/>
          </w:tcPr>
          <w:p>
            <w:pPr>
              <w:spacing w:after="0"/>
              <w:rPr>
                <w:sz w:val="1"/>
                <w:szCs w:val="1"/>
                <w:color w:val="auto"/>
              </w:rPr>
            </w:pPr>
          </w:p>
        </w:tc>
      </w:tr>
      <w:tr>
        <w:trPr>
          <w:trHeight w:val="73"/>
        </w:trPr>
        <w:tc>
          <w:tcPr>
            <w:tcW w:w="25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shares</w:t>
            </w:r>
          </w:p>
        </w:tc>
        <w:tc>
          <w:tcPr>
            <w:tcW w:w="540" w:type="dxa"/>
            <w:vAlign w:val="bottom"/>
            <w:vMerge w:val="continue"/>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820" w:type="dxa"/>
            <w:vAlign w:val="bottom"/>
            <w:gridSpan w:val="2"/>
            <w:vMerge w:val="continue"/>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1040" w:type="dxa"/>
            <w:vAlign w:val="bottom"/>
            <w:gridSpan w:val="2"/>
            <w:vMerge w:val="continue"/>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500" w:type="dxa"/>
            <w:vAlign w:val="bottom"/>
            <w:vMerge w:val="continue"/>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Vesting of earnout shares</w:t>
            </w:r>
          </w:p>
        </w:tc>
        <w:tc>
          <w:tcPr>
            <w:tcW w:w="54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948,549</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shares to be held as treasury shares</w:t>
            </w:r>
          </w:p>
        </w:tc>
        <w:tc>
          <w:tcPr>
            <w:tcW w:w="540" w:type="dxa"/>
            <w:vAlign w:val="bottom"/>
            <w:shd w:val="clear" w:color="auto" w:fill="CFF0FC"/>
          </w:tcPr>
          <w:p>
            <w:pPr>
              <w:jc w:val="center"/>
              <w:ind w:right="46"/>
              <w:spacing w:after="0" w:line="122" w:lineRule="exact"/>
              <w:rPr>
                <w:sz w:val="20"/>
                <w:szCs w:val="20"/>
                <w:color w:val="auto"/>
              </w:rPr>
            </w:pPr>
            <w:r>
              <w:rPr>
                <w:rFonts w:ascii="Times New Roman" w:cs="Times New Roman" w:eastAsia="Times New Roman" w:hAnsi="Times New Roman"/>
                <w:sz w:val="11"/>
                <w:szCs w:val="11"/>
                <w:color w:val="auto"/>
                <w:w w:val="71"/>
              </w:rPr>
              <w:t>4</w:t>
            </w:r>
          </w:p>
        </w:tc>
        <w:tc>
          <w:tcPr>
            <w:tcW w:w="7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2,000,000</w:t>
            </w:r>
          </w:p>
        </w:tc>
        <w:tc>
          <w:tcPr>
            <w:tcW w:w="84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8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(2,000,000)</w:t>
            </w:r>
          </w:p>
        </w:tc>
        <w:tc>
          <w:tcPr>
            <w:tcW w:w="820" w:type="dxa"/>
            <w:vAlign w:val="bottom"/>
            <w:gridSpan w:val="2"/>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78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Warrants exercised</w:t>
            </w:r>
          </w:p>
        </w:tc>
        <w:tc>
          <w:tcPr>
            <w:tcW w:w="5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color w:val="auto"/>
                <w:w w:val="71"/>
              </w:rPr>
              <w:t>9</w:t>
            </w:r>
          </w:p>
        </w:tc>
        <w:tc>
          <w:tcPr>
            <w:tcW w:w="7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147,821</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w:t>
            </w:r>
          </w:p>
        </w:tc>
        <w:tc>
          <w:tcPr>
            <w:tcW w:w="8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3,204</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3,205</w:t>
            </w:r>
          </w:p>
        </w:tc>
        <w:tc>
          <w:tcPr>
            <w:tcW w:w="0" w:type="dxa"/>
            <w:vAlign w:val="bottom"/>
          </w:tcPr>
          <w:p>
            <w:pPr>
              <w:spacing w:after="0"/>
              <w:rPr>
                <w:sz w:val="1"/>
                <w:szCs w:val="1"/>
                <w:color w:val="auto"/>
              </w:rPr>
            </w:pPr>
          </w:p>
        </w:tc>
      </w:tr>
      <w:tr>
        <w:trPr>
          <w:trHeight w:val="121"/>
        </w:trPr>
        <w:tc>
          <w:tcPr>
            <w:tcW w:w="250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 options exercised and RSUs vested/released</w:t>
            </w:r>
          </w:p>
        </w:tc>
        <w:tc>
          <w:tcPr>
            <w:tcW w:w="540" w:type="dxa"/>
            <w:vAlign w:val="bottom"/>
            <w:tcBorders>
              <w:bottom w:val="single" w:sz="8" w:color="CFF0FC"/>
            </w:tcBorders>
            <w:shd w:val="clear" w:color="auto" w:fill="CFF0FC"/>
          </w:tcPr>
          <w:p>
            <w:pPr>
              <w:jc w:val="center"/>
              <w:ind w:right="46"/>
              <w:spacing w:after="0" w:line="122" w:lineRule="exact"/>
              <w:rPr>
                <w:sz w:val="20"/>
                <w:szCs w:val="20"/>
                <w:color w:val="auto"/>
              </w:rPr>
            </w:pPr>
            <w:r>
              <w:rPr>
                <w:rFonts w:ascii="Times New Roman" w:cs="Times New Roman" w:eastAsia="Times New Roman" w:hAnsi="Times New Roman"/>
                <w:sz w:val="11"/>
                <w:szCs w:val="11"/>
                <w:color w:val="auto"/>
                <w:w w:val="71"/>
              </w:rPr>
              <w:t>7</w:t>
            </w:r>
          </w:p>
        </w:tc>
        <w:tc>
          <w:tcPr>
            <w:tcW w:w="740" w:type="dxa"/>
            <w:vAlign w:val="bottom"/>
            <w:tcBorders>
              <w:bottom w:val="single" w:sz="8" w:color="auto"/>
            </w:tcBorders>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257,265</w:t>
            </w:r>
          </w:p>
        </w:tc>
        <w:tc>
          <w:tcPr>
            <w:tcW w:w="1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3,289</w:t>
            </w:r>
          </w:p>
        </w:tc>
        <w:tc>
          <w:tcPr>
            <w:tcW w:w="1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(2,811)</w:t>
            </w:r>
          </w:p>
        </w:tc>
        <w:tc>
          <w:tcPr>
            <w:tcW w:w="1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481</w:t>
            </w:r>
          </w:p>
        </w:tc>
        <w:tc>
          <w:tcPr>
            <w:tcW w:w="0" w:type="dxa"/>
            <w:vAlign w:val="bottom"/>
          </w:tcPr>
          <w:p>
            <w:pPr>
              <w:spacing w:after="0"/>
              <w:rPr>
                <w:sz w:val="1"/>
                <w:szCs w:val="1"/>
                <w:color w:val="auto"/>
              </w:rPr>
            </w:pPr>
          </w:p>
        </w:tc>
      </w:tr>
      <w:tr>
        <w:trPr>
          <w:trHeight w:val="99"/>
        </w:trPr>
        <w:tc>
          <w:tcPr>
            <w:tcW w:w="2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as of March 31, 2026</w:t>
            </w:r>
          </w:p>
        </w:tc>
        <w:tc>
          <w:tcPr>
            <w:tcW w:w="540" w:type="dxa"/>
            <w:vAlign w:val="bottom"/>
          </w:tcPr>
          <w:p>
            <w:pPr>
              <w:spacing w:after="0"/>
              <w:rPr>
                <w:sz w:val="8"/>
                <w:szCs w:val="8"/>
                <w:color w:val="auto"/>
              </w:rPr>
            </w:pPr>
          </w:p>
        </w:tc>
        <w:tc>
          <w:tcPr>
            <w:tcW w:w="740" w:type="dxa"/>
            <w:vAlign w:val="bottom"/>
          </w:tcPr>
          <w:p>
            <w:pPr>
              <w:jc w:val="right"/>
              <w:ind w:right="86"/>
              <w:spacing w:after="0" w:line="100" w:lineRule="exact"/>
              <w:rPr>
                <w:sz w:val="20"/>
                <w:szCs w:val="20"/>
                <w:color w:val="auto"/>
              </w:rPr>
            </w:pPr>
            <w:r>
              <w:rPr>
                <w:rFonts w:ascii="Times New Roman" w:cs="Times New Roman" w:eastAsia="Times New Roman" w:hAnsi="Times New Roman"/>
                <w:sz w:val="11"/>
                <w:szCs w:val="11"/>
                <w:b w:val="1"/>
                <w:bCs w:val="1"/>
                <w:color w:val="auto"/>
              </w:rPr>
              <w:t>62,041,77</w:t>
            </w:r>
          </w:p>
        </w:tc>
        <w:tc>
          <w:tcPr>
            <w:tcW w:w="8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620</w:t>
            </w:r>
          </w:p>
        </w:tc>
        <w:tc>
          <w:tcPr>
            <w:tcW w:w="8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(1,653,703)</w:t>
            </w:r>
          </w:p>
        </w:tc>
        <w:tc>
          <w:tcPr>
            <w:tcW w:w="82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w:t>
            </w:r>
          </w:p>
        </w:tc>
        <w:tc>
          <w:tcPr>
            <w:tcW w:w="78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579,217</w:t>
            </w:r>
          </w:p>
        </w:tc>
        <w:tc>
          <w:tcPr>
            <w:tcW w:w="80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32,577</w:t>
            </w:r>
          </w:p>
        </w:tc>
        <w:tc>
          <w:tcPr>
            <w:tcW w:w="80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(455)</w:t>
            </w:r>
          </w:p>
        </w:tc>
        <w:tc>
          <w:tcPr>
            <w:tcW w:w="104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(1,928)</w:t>
            </w:r>
          </w:p>
        </w:tc>
        <w:tc>
          <w:tcPr>
            <w:tcW w:w="80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(413,366)</w:t>
            </w:r>
          </w:p>
        </w:tc>
        <w:tc>
          <w:tcPr>
            <w:tcW w:w="100" w:type="dxa"/>
            <w:vAlign w:val="bottom"/>
          </w:tcPr>
          <w:p>
            <w:pPr>
              <w:spacing w:after="0"/>
              <w:rPr>
                <w:sz w:val="8"/>
                <w:szCs w:val="8"/>
                <w:color w:val="auto"/>
              </w:rPr>
            </w:pPr>
          </w:p>
        </w:tc>
        <w:tc>
          <w:tcPr>
            <w:tcW w:w="6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196,648</w:t>
            </w:r>
          </w:p>
        </w:tc>
        <w:tc>
          <w:tcPr>
            <w:tcW w:w="0" w:type="dxa"/>
            <w:vAlign w:val="bottom"/>
          </w:tcPr>
          <w:p>
            <w:pPr>
              <w:spacing w:after="0"/>
              <w:rPr>
                <w:sz w:val="1"/>
                <w:szCs w:val="1"/>
                <w:color w:val="auto"/>
              </w:rPr>
            </w:pPr>
          </w:p>
        </w:tc>
      </w:tr>
      <w:tr>
        <w:trPr>
          <w:trHeight w:val="102"/>
        </w:trPr>
        <w:tc>
          <w:tcPr>
            <w:tcW w:w="25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6</w:t>
            </w: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2383790</wp:posOffset>
            </wp:positionH>
            <wp:positionV relativeFrom="paragraph">
              <wp:posOffset>-2849245</wp:posOffset>
            </wp:positionV>
            <wp:extent cx="102235"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-2849245</wp:posOffset>
            </wp:positionV>
            <wp:extent cx="102235"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-2849245</wp:posOffset>
            </wp:positionV>
            <wp:extent cx="93980"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-2849245</wp:posOffset>
            </wp:positionV>
            <wp:extent cx="9398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4475480</wp:posOffset>
            </wp:positionH>
            <wp:positionV relativeFrom="paragraph">
              <wp:posOffset>-2849245</wp:posOffset>
            </wp:positionV>
            <wp:extent cx="9398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-2849245</wp:posOffset>
            </wp:positionV>
            <wp:extent cx="93980"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-2849245</wp:posOffset>
            </wp:positionV>
            <wp:extent cx="93980"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-2849245</wp:posOffset>
            </wp:positionV>
            <wp:extent cx="93980"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6652895</wp:posOffset>
            </wp:positionH>
            <wp:positionV relativeFrom="paragraph">
              <wp:posOffset>-2849245</wp:posOffset>
            </wp:positionV>
            <wp:extent cx="9398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-2357120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-2357120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-2357120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-2357120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-2357120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-2357120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-2357120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-2357120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-2357120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-1645285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-1645285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-1645285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-1645285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-1645285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-1645285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-1645285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-1645285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-1645285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-1216660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-1216660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-1216660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-1216660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-1216660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-1216660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-1216660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-1216660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-1216660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-899795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-899795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-899795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-899795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-899795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-899795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-899795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-899795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-899795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-187960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-187960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-187960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-187960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-187960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-187960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-187960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form an integral part of the Unaudited Condensed Consolidated Interim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Oculis Holding AG</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Interim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CHF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60" w:type="dxa"/>
            <w:vAlign w:val="bottom"/>
          </w:tcPr>
          <w:p>
            <w:pPr>
              <w:spacing w:after="0"/>
              <w:rPr>
                <w:sz w:val="15"/>
                <w:szCs w:val="15"/>
                <w:color w:val="auto"/>
              </w:rPr>
            </w:pPr>
          </w:p>
        </w:tc>
        <w:tc>
          <w:tcPr>
            <w:tcW w:w="2140" w:type="dxa"/>
            <w:vAlign w:val="bottom"/>
            <w:vMerge w:val="restart"/>
          </w:tcPr>
          <w:p>
            <w:pPr>
              <w:ind w:left="1260"/>
              <w:spacing w:after="0"/>
              <w:rPr>
                <w:sz w:val="20"/>
                <w:szCs w:val="20"/>
                <w:color w:val="auto"/>
              </w:rPr>
            </w:pPr>
            <w:r>
              <w:rPr>
                <w:rFonts w:ascii="Times New Roman" w:cs="Times New Roman" w:eastAsia="Times New Roman" w:hAnsi="Times New Roman"/>
                <w:sz w:val="15"/>
                <w:szCs w:val="15"/>
                <w:b w:val="1"/>
                <w:bCs w:val="1"/>
                <w:color w:val="auto"/>
              </w:rPr>
              <w:t>Note</w:t>
            </w:r>
          </w:p>
        </w:tc>
        <w:tc>
          <w:tcPr>
            <w:tcW w:w="3740" w:type="dxa"/>
            <w:vAlign w:val="bottom"/>
            <w:tcBorders>
              <w:bottom w:val="single" w:sz="8" w:color="auto"/>
            </w:tcBorders>
            <w:gridSpan w:val="3"/>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For the three months ended March 31,</w:t>
            </w: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1820" w:type="dxa"/>
            <w:vAlign w:val="bottom"/>
          </w:tcPr>
          <w:p>
            <w:pPr>
              <w:jc w:val="right"/>
              <w:ind w:right="744"/>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1920" w:type="dxa"/>
            <w:vAlign w:val="bottom"/>
            <w:gridSpan w:val="2"/>
          </w:tcPr>
          <w:p>
            <w:pPr>
              <w:jc w:val="right"/>
              <w:ind w:right="74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8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140" w:type="dxa"/>
            <w:vAlign w:val="bottom"/>
            <w:shd w:val="clear" w:color="auto" w:fill="CFF0FC"/>
          </w:tcPr>
          <w:p>
            <w:pPr>
              <w:spacing w:after="0"/>
              <w:rPr>
                <w:sz w:val="15"/>
                <w:szCs w:val="15"/>
                <w:color w:val="auto"/>
              </w:rPr>
            </w:pPr>
          </w:p>
        </w:tc>
        <w:tc>
          <w:tcPr>
            <w:tcW w:w="18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Loss before tax for the period</w:t>
            </w:r>
          </w:p>
        </w:tc>
        <w:tc>
          <w:tcPr>
            <w:tcW w:w="21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(28,950)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(33,206)</w:t>
            </w:r>
          </w:p>
        </w:tc>
        <w:tc>
          <w:tcPr>
            <w:tcW w:w="0" w:type="dxa"/>
            <w:vAlign w:val="bottom"/>
          </w:tcPr>
          <w:p>
            <w:pPr>
              <w:spacing w:after="0"/>
              <w:rPr>
                <w:sz w:val="1"/>
                <w:szCs w:val="1"/>
                <w:color w:val="auto"/>
              </w:rPr>
            </w:pPr>
          </w:p>
        </w:tc>
      </w:tr>
      <w:tr>
        <w:trPr>
          <w:trHeight w:val="122"/>
        </w:trPr>
        <w:tc>
          <w:tcPr>
            <w:tcW w:w="53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Non-cash adjustments:</w:t>
            </w:r>
          </w:p>
        </w:tc>
        <w:tc>
          <w:tcPr>
            <w:tcW w:w="2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 Financial result</w:t>
            </w:r>
          </w:p>
        </w:tc>
        <w:tc>
          <w:tcPr>
            <w:tcW w:w="2140" w:type="dxa"/>
            <w:vAlign w:val="bottom"/>
          </w:tcPr>
          <w:p>
            <w:pPr>
              <w:spacing w:after="0"/>
              <w:rPr>
                <w:sz w:val="14"/>
                <w:szCs w:val="14"/>
                <w:color w:val="auto"/>
              </w:rPr>
            </w:pPr>
          </w:p>
        </w:tc>
        <w:tc>
          <w:tcPr>
            <w:tcW w:w="1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(879)</w:t>
            </w:r>
          </w:p>
        </w:tc>
        <w:tc>
          <w:tcPr>
            <w:tcW w:w="192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215</w:t>
            </w: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 Depreciation of property and equipment and right-of-use assets</w:t>
            </w:r>
          </w:p>
        </w:tc>
        <w:tc>
          <w:tcPr>
            <w:tcW w:w="2140" w:type="dxa"/>
            <w:vAlign w:val="bottom"/>
            <w:shd w:val="clear" w:color="auto" w:fill="CFF0FC"/>
          </w:tcPr>
          <w:p>
            <w:pPr>
              <w:spacing w:after="0"/>
              <w:rPr>
                <w:sz w:val="14"/>
                <w:szCs w:val="14"/>
                <w:color w:val="auto"/>
              </w:rPr>
            </w:pPr>
          </w:p>
        </w:tc>
        <w:tc>
          <w:tcPr>
            <w:tcW w:w="18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154</w:t>
            </w:r>
          </w:p>
        </w:tc>
        <w:tc>
          <w:tcPr>
            <w:tcW w:w="192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 Share-based compensation expense</w:t>
            </w:r>
          </w:p>
        </w:tc>
        <w:tc>
          <w:tcPr>
            <w:tcW w:w="2140" w:type="dxa"/>
            <w:vAlign w:val="bottom"/>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7</w:t>
            </w:r>
          </w:p>
        </w:tc>
        <w:tc>
          <w:tcPr>
            <w:tcW w:w="1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5,001</w:t>
            </w:r>
          </w:p>
        </w:tc>
        <w:tc>
          <w:tcPr>
            <w:tcW w:w="192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2,630</w:t>
            </w: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 Post-employment loss</w:t>
            </w:r>
          </w:p>
        </w:tc>
        <w:tc>
          <w:tcPr>
            <w:tcW w:w="2140" w:type="dxa"/>
            <w:vAlign w:val="bottom"/>
            <w:shd w:val="clear" w:color="auto" w:fill="CFF0FC"/>
          </w:tcPr>
          <w:p>
            <w:pPr>
              <w:spacing w:after="0"/>
              <w:rPr>
                <w:sz w:val="14"/>
                <w:szCs w:val="14"/>
                <w:color w:val="auto"/>
              </w:rPr>
            </w:pPr>
          </w:p>
        </w:tc>
        <w:tc>
          <w:tcPr>
            <w:tcW w:w="18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192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 Fair value adjustment on warrant liabilities</w:t>
            </w:r>
          </w:p>
        </w:tc>
        <w:tc>
          <w:tcPr>
            <w:tcW w:w="2140" w:type="dxa"/>
            <w:vAlign w:val="bottom"/>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7,983</w:t>
            </w:r>
          </w:p>
        </w:tc>
        <w:tc>
          <w:tcPr>
            <w:tcW w:w="192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11,911</w:t>
            </w: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Working capital adjustments:</w:t>
            </w:r>
          </w:p>
        </w:tc>
        <w:tc>
          <w:tcPr>
            <w:tcW w:w="2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 De/(In)crease in other current assets</w:t>
            </w:r>
          </w:p>
        </w:tc>
        <w:tc>
          <w:tcPr>
            <w:tcW w:w="2140" w:type="dxa"/>
            <w:vAlign w:val="bottom"/>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675</w:t>
            </w:r>
          </w:p>
        </w:tc>
        <w:tc>
          <w:tcPr>
            <w:tcW w:w="19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 Increase in accrued income</w:t>
            </w:r>
          </w:p>
        </w:tc>
        <w:tc>
          <w:tcPr>
            <w:tcW w:w="2140" w:type="dxa"/>
            <w:vAlign w:val="bottom"/>
            <w:shd w:val="clear" w:color="auto" w:fill="CFF0FC"/>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(209)</w:t>
            </w:r>
          </w:p>
        </w:tc>
        <w:tc>
          <w:tcPr>
            <w:tcW w:w="19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(301)</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 (De)/Increase in payables and accrued liabilities</w:t>
            </w:r>
          </w:p>
        </w:tc>
        <w:tc>
          <w:tcPr>
            <w:tcW w:w="2140" w:type="dxa"/>
            <w:vAlign w:val="bottom"/>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881</w:t>
            </w:r>
          </w:p>
        </w:tc>
        <w:tc>
          <w:tcPr>
            <w:tcW w:w="19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(301)</w:t>
            </w: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 Decrease in other operating assets</w:t>
            </w:r>
          </w:p>
        </w:tc>
        <w:tc>
          <w:tcPr>
            <w:tcW w:w="2140" w:type="dxa"/>
            <w:vAlign w:val="bottom"/>
            <w:shd w:val="clear" w:color="auto" w:fill="CFF0FC"/>
          </w:tcPr>
          <w:p>
            <w:pPr>
              <w:spacing w:after="0"/>
              <w:rPr>
                <w:sz w:val="14"/>
                <w:szCs w:val="14"/>
                <w:color w:val="auto"/>
              </w:rPr>
            </w:pPr>
          </w:p>
        </w:tc>
        <w:tc>
          <w:tcPr>
            <w:tcW w:w="1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9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Taxes paid</w:t>
            </w:r>
          </w:p>
        </w:tc>
        <w:tc>
          <w:tcPr>
            <w:tcW w:w="2140" w:type="dxa"/>
            <w:vAlign w:val="bottom"/>
          </w:tcPr>
          <w:p>
            <w:pPr>
              <w:spacing w:after="0"/>
              <w:rPr>
                <w:sz w:val="14"/>
                <w:szCs w:val="14"/>
                <w:color w:val="auto"/>
              </w:rPr>
            </w:pPr>
          </w:p>
        </w:tc>
        <w:tc>
          <w:tcPr>
            <w:tcW w:w="1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4"/>
                <w:szCs w:val="14"/>
                <w:color w:val="auto"/>
              </w:rPr>
            </w:pPr>
          </w:p>
        </w:tc>
        <w:tc>
          <w:tcPr>
            <w:tcW w:w="1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55"/>
        </w:trPr>
        <w:tc>
          <w:tcPr>
            <w:tcW w:w="53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cash outflow for operating activities</w:t>
            </w:r>
          </w:p>
        </w:tc>
        <w:tc>
          <w:tcPr>
            <w:tcW w:w="2140" w:type="dxa"/>
            <w:vAlign w:val="bottom"/>
            <w:shd w:val="clear" w:color="auto" w:fill="CFF0FC"/>
          </w:tcPr>
          <w:p>
            <w:pPr>
              <w:spacing w:after="0"/>
              <w:rPr>
                <w:sz w:val="13"/>
                <w:szCs w:val="13"/>
                <w:color w:val="auto"/>
              </w:rPr>
            </w:pPr>
          </w:p>
        </w:tc>
        <w:tc>
          <w:tcPr>
            <w:tcW w:w="1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(15,337)</w:t>
            </w:r>
          </w:p>
        </w:tc>
        <w:tc>
          <w:tcPr>
            <w:tcW w:w="19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(18,963)</w:t>
            </w: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Payment for short-term financial assets, net</w:t>
            </w:r>
          </w:p>
        </w:tc>
        <w:tc>
          <w:tcPr>
            <w:tcW w:w="2140" w:type="dxa"/>
            <w:vAlign w:val="bottom"/>
            <w:shd w:val="clear" w:color="auto" w:fill="CFF0FC"/>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8</w:t>
            </w:r>
          </w:p>
        </w:tc>
        <w:tc>
          <w:tcPr>
            <w:tcW w:w="1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(25,682)</w:t>
            </w:r>
          </w:p>
        </w:tc>
        <w:tc>
          <w:tcPr>
            <w:tcW w:w="19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(50,605)</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Interest received</w:t>
            </w:r>
          </w:p>
        </w:tc>
        <w:tc>
          <w:tcPr>
            <w:tcW w:w="2140" w:type="dxa"/>
            <w:vAlign w:val="bottom"/>
          </w:tcPr>
          <w:p>
            <w:pPr>
              <w:spacing w:after="0"/>
              <w:rPr>
                <w:sz w:val="14"/>
                <w:szCs w:val="14"/>
                <w:color w:val="auto"/>
              </w:rPr>
            </w:pPr>
          </w:p>
        </w:tc>
        <w:tc>
          <w:tcPr>
            <w:tcW w:w="1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173</w:t>
            </w:r>
          </w:p>
        </w:tc>
        <w:tc>
          <w:tcPr>
            <w:tcW w:w="192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Payment for intangible assets</w:t>
            </w:r>
          </w:p>
        </w:tc>
        <w:tc>
          <w:tcPr>
            <w:tcW w:w="2140" w:type="dxa"/>
            <w:vAlign w:val="bottom"/>
            <w:shd w:val="clear" w:color="auto" w:fill="CFF0FC"/>
          </w:tcPr>
          <w:p>
            <w:pPr>
              <w:spacing w:after="0"/>
              <w:rPr>
                <w:sz w:val="14"/>
                <w:szCs w:val="14"/>
                <w:color w:val="auto"/>
              </w:rPr>
            </w:pPr>
          </w:p>
        </w:tc>
        <w:tc>
          <w:tcPr>
            <w:tcW w:w="18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(1,087)</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 for purchase of property and equipment</w:t>
            </w:r>
          </w:p>
        </w:tc>
        <w:tc>
          <w:tcPr>
            <w:tcW w:w="2140" w:type="dxa"/>
            <w:vAlign w:val="bottom"/>
          </w:tcPr>
          <w:p>
            <w:pPr>
              <w:spacing w:after="0"/>
              <w:rPr>
                <w:sz w:val="14"/>
                <w:szCs w:val="14"/>
                <w:color w:val="auto"/>
              </w:rPr>
            </w:pPr>
          </w:p>
        </w:tc>
        <w:tc>
          <w:tcPr>
            <w:tcW w:w="1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4"/>
                <w:szCs w:val="14"/>
                <w:color w:val="auto"/>
              </w:rPr>
            </w:pPr>
          </w:p>
        </w:tc>
        <w:tc>
          <w:tcPr>
            <w:tcW w:w="1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55"/>
        </w:trPr>
        <w:tc>
          <w:tcPr>
            <w:tcW w:w="53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cash outflow for investing activities</w:t>
            </w:r>
          </w:p>
        </w:tc>
        <w:tc>
          <w:tcPr>
            <w:tcW w:w="2140" w:type="dxa"/>
            <w:vAlign w:val="bottom"/>
            <w:shd w:val="clear" w:color="auto" w:fill="CFF0FC"/>
          </w:tcPr>
          <w:p>
            <w:pPr>
              <w:spacing w:after="0"/>
              <w:rPr>
                <w:sz w:val="13"/>
                <w:szCs w:val="13"/>
                <w:color w:val="auto"/>
              </w:rPr>
            </w:pPr>
          </w:p>
        </w:tc>
        <w:tc>
          <w:tcPr>
            <w:tcW w:w="1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(25,516)</w:t>
            </w:r>
          </w:p>
        </w:tc>
        <w:tc>
          <w:tcPr>
            <w:tcW w:w="19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(51,505)</w:t>
            </w: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Proceeds from sale of shares in public offerings</w:t>
            </w:r>
          </w:p>
        </w:tc>
        <w:tc>
          <w:tcPr>
            <w:tcW w:w="2140" w:type="dxa"/>
            <w:vAlign w:val="bottom"/>
            <w:shd w:val="clear" w:color="auto" w:fill="CFF0FC"/>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8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22,377</w:t>
            </w:r>
          </w:p>
        </w:tc>
        <w:tc>
          <w:tcPr>
            <w:tcW w:w="192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90,227</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Transaction costs related to financing activities</w:t>
            </w:r>
          </w:p>
        </w:tc>
        <w:tc>
          <w:tcPr>
            <w:tcW w:w="2140" w:type="dxa"/>
            <w:vAlign w:val="bottom"/>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(392)</w:t>
            </w:r>
          </w:p>
        </w:tc>
        <w:tc>
          <w:tcPr>
            <w:tcW w:w="19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(5,528)</w:t>
            </w: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Proceeds from exercise of warrants, net</w:t>
            </w:r>
          </w:p>
        </w:tc>
        <w:tc>
          <w:tcPr>
            <w:tcW w:w="2140" w:type="dxa"/>
            <w:vAlign w:val="bottom"/>
            <w:shd w:val="clear" w:color="auto" w:fill="CFF0FC"/>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8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1,272</w:t>
            </w:r>
          </w:p>
        </w:tc>
        <w:tc>
          <w:tcPr>
            <w:tcW w:w="192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18,918</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stock options exercised</w:t>
            </w:r>
          </w:p>
        </w:tc>
        <w:tc>
          <w:tcPr>
            <w:tcW w:w="2140" w:type="dxa"/>
            <w:vAlign w:val="bottom"/>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8</w:t>
            </w:r>
          </w:p>
        </w:tc>
        <w:tc>
          <w:tcPr>
            <w:tcW w:w="1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481</w:t>
            </w:r>
          </w:p>
        </w:tc>
        <w:tc>
          <w:tcPr>
            <w:tcW w:w="192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314</w:t>
            </w: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Principal payment of lease obligations</w:t>
            </w:r>
          </w:p>
        </w:tc>
        <w:tc>
          <w:tcPr>
            <w:tcW w:w="2140" w:type="dxa"/>
            <w:vAlign w:val="bottom"/>
            <w:shd w:val="clear" w:color="auto" w:fill="CFF0FC"/>
          </w:tcPr>
          <w:p>
            <w:pPr>
              <w:spacing w:after="0"/>
              <w:rPr>
                <w:sz w:val="14"/>
                <w:szCs w:val="14"/>
                <w:color w:val="auto"/>
              </w:rPr>
            </w:pPr>
          </w:p>
        </w:tc>
        <w:tc>
          <w:tcPr>
            <w:tcW w:w="1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(102)</w:t>
            </w:r>
          </w:p>
        </w:tc>
        <w:tc>
          <w:tcPr>
            <w:tcW w:w="19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2140" w:type="dxa"/>
            <w:vAlign w:val="bottom"/>
          </w:tcPr>
          <w:p>
            <w:pPr>
              <w:spacing w:after="0"/>
              <w:rPr>
                <w:sz w:val="14"/>
                <w:szCs w:val="14"/>
                <w:color w:val="auto"/>
              </w:rPr>
            </w:pPr>
          </w:p>
        </w:tc>
        <w:tc>
          <w:tcPr>
            <w:tcW w:w="1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(33)</w:t>
            </w:r>
          </w:p>
        </w:tc>
        <w:tc>
          <w:tcPr>
            <w:tcW w:w="120" w:type="dxa"/>
            <w:vAlign w:val="bottom"/>
          </w:tcPr>
          <w:p>
            <w:pPr>
              <w:spacing w:after="0"/>
              <w:rPr>
                <w:sz w:val="14"/>
                <w:szCs w:val="14"/>
                <w:color w:val="auto"/>
              </w:rPr>
            </w:pPr>
          </w:p>
        </w:tc>
        <w:tc>
          <w:tcPr>
            <w:tcW w:w="1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55"/>
        </w:trPr>
        <w:tc>
          <w:tcPr>
            <w:tcW w:w="53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cash inflow from financing activities</w:t>
            </w:r>
          </w:p>
        </w:tc>
        <w:tc>
          <w:tcPr>
            <w:tcW w:w="2140" w:type="dxa"/>
            <w:vAlign w:val="bottom"/>
            <w:shd w:val="clear" w:color="auto" w:fill="CFF0FC"/>
          </w:tcPr>
          <w:p>
            <w:pPr>
              <w:spacing w:after="0"/>
              <w:rPr>
                <w:sz w:val="13"/>
                <w:szCs w:val="13"/>
                <w:color w:val="auto"/>
              </w:rPr>
            </w:pPr>
          </w:p>
        </w:tc>
        <w:tc>
          <w:tcPr>
            <w:tcW w:w="182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23,603</w:t>
            </w:r>
          </w:p>
        </w:tc>
        <w:tc>
          <w:tcPr>
            <w:tcW w:w="1920" w:type="dxa"/>
            <w:vAlign w:val="bottom"/>
            <w:gridSpan w:val="2"/>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103,831</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20" w:type="dxa"/>
            <w:vAlign w:val="bottom"/>
            <w:vMerge w:val="restart"/>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Increase (decrease) in cash and cash equivalents</w:t>
            </w:r>
          </w:p>
        </w:tc>
        <w:tc>
          <w:tcPr>
            <w:tcW w:w="2140" w:type="dxa"/>
            <w:vAlign w:val="bottom"/>
          </w:tcPr>
          <w:p>
            <w:pPr>
              <w:spacing w:after="0"/>
              <w:rPr>
                <w:sz w:val="13"/>
                <w:szCs w:val="13"/>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(17,250)</w:t>
            </w:r>
          </w:p>
        </w:tc>
        <w:tc>
          <w:tcPr>
            <w:tcW w:w="120" w:type="dxa"/>
            <w:vAlign w:val="bottom"/>
            <w:vMerge w:val="continue"/>
          </w:tcPr>
          <w:p>
            <w:pPr>
              <w:spacing w:after="0"/>
              <w:rPr>
                <w:sz w:val="13"/>
                <w:szCs w:val="13"/>
                <w:color w:val="auto"/>
              </w:rPr>
            </w:pPr>
          </w:p>
        </w:tc>
        <w:tc>
          <w:tcPr>
            <w:tcW w:w="1800" w:type="dxa"/>
            <w:vAlign w:val="bottom"/>
            <w:tcBorders>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5"/>
                <w:szCs w:val="15"/>
                <w:b w:val="1"/>
                <w:bCs w:val="1"/>
                <w:color w:val="auto"/>
              </w:rPr>
              <w:t>33,363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140" w:type="dxa"/>
            <w:vAlign w:val="bottom"/>
            <w:shd w:val="clear" w:color="auto" w:fill="CFF0FC"/>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8</w:t>
            </w:r>
          </w:p>
        </w:tc>
        <w:tc>
          <w:tcPr>
            <w:tcW w:w="18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81,329</w:t>
            </w:r>
          </w:p>
        </w:tc>
        <w:tc>
          <w:tcPr>
            <w:tcW w:w="192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27,708</w:t>
            </w: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Effect of foreign exchange rate changes</w:t>
            </w:r>
          </w:p>
        </w:tc>
        <w:tc>
          <w:tcPr>
            <w:tcW w:w="2140" w:type="dxa"/>
            <w:vAlign w:val="bottom"/>
          </w:tcPr>
          <w:p>
            <w:pPr>
              <w:spacing w:after="0"/>
              <w:rPr>
                <w:sz w:val="14"/>
                <w:szCs w:val="14"/>
                <w:color w:val="auto"/>
              </w:rPr>
            </w:pPr>
          </w:p>
        </w:tc>
        <w:tc>
          <w:tcPr>
            <w:tcW w:w="1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485</w:t>
            </w:r>
          </w:p>
        </w:tc>
        <w:tc>
          <w:tcPr>
            <w:tcW w:w="19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(1,198)</w:t>
            </w: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end of period</w:t>
            </w:r>
          </w:p>
        </w:tc>
        <w:tc>
          <w:tcPr>
            <w:tcW w:w="2140" w:type="dxa"/>
            <w:vAlign w:val="bottom"/>
            <w:shd w:val="clear" w:color="auto" w:fill="CFF0FC"/>
          </w:tcPr>
          <w:p>
            <w:pPr>
              <w:jc w:val="center"/>
              <w:ind w:left="584"/>
              <w:spacing w:after="0" w:line="162" w:lineRule="exact"/>
              <w:rPr>
                <w:sz w:val="20"/>
                <w:szCs w:val="20"/>
                <w:color w:val="auto"/>
              </w:rPr>
            </w:pPr>
            <w:r>
              <w:rPr>
                <w:rFonts w:ascii="Times New Roman" w:cs="Times New Roman" w:eastAsia="Times New Roman" w:hAnsi="Times New Roman"/>
                <w:sz w:val="15"/>
                <w:szCs w:val="15"/>
                <w:color w:val="auto"/>
              </w:rPr>
              <w:t>8</w:t>
            </w:r>
          </w:p>
        </w:tc>
        <w:tc>
          <w:tcPr>
            <w:tcW w:w="18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64,564</w:t>
            </w:r>
          </w:p>
        </w:tc>
        <w:tc>
          <w:tcPr>
            <w:tcW w:w="192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59,873</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20" w:type="dxa"/>
            <w:vAlign w:val="bottom"/>
            <w:vMerge w:val="restart"/>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cash and cash equivalents variation</w:t>
            </w:r>
          </w:p>
        </w:tc>
        <w:tc>
          <w:tcPr>
            <w:tcW w:w="2140" w:type="dxa"/>
            <w:vAlign w:val="bottom"/>
          </w:tcPr>
          <w:p>
            <w:pPr>
              <w:spacing w:after="0"/>
              <w:rPr>
                <w:sz w:val="13"/>
                <w:szCs w:val="13"/>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(17,250)</w:t>
            </w:r>
          </w:p>
        </w:tc>
        <w:tc>
          <w:tcPr>
            <w:tcW w:w="120" w:type="dxa"/>
            <w:vAlign w:val="bottom"/>
            <w:vMerge w:val="continue"/>
          </w:tcPr>
          <w:p>
            <w:pPr>
              <w:spacing w:after="0"/>
              <w:rPr>
                <w:sz w:val="13"/>
                <w:szCs w:val="13"/>
                <w:color w:val="auto"/>
              </w:rPr>
            </w:pPr>
          </w:p>
        </w:tc>
        <w:tc>
          <w:tcPr>
            <w:tcW w:w="1800" w:type="dxa"/>
            <w:vAlign w:val="bottom"/>
            <w:tcBorders>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5"/>
                <w:szCs w:val="15"/>
                <w:b w:val="1"/>
                <w:bCs w:val="1"/>
                <w:color w:val="auto"/>
              </w:rPr>
              <w:t>33,363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non-cash investing information</w:t>
            </w:r>
          </w:p>
        </w:tc>
        <w:tc>
          <w:tcPr>
            <w:tcW w:w="2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Interest receivable recorded in other current assets</w:t>
            </w:r>
          </w:p>
        </w:tc>
        <w:tc>
          <w:tcPr>
            <w:tcW w:w="2140" w:type="dxa"/>
            <w:vAlign w:val="bottom"/>
          </w:tcPr>
          <w:p>
            <w:pPr>
              <w:spacing w:after="0"/>
              <w:rPr>
                <w:sz w:val="14"/>
                <w:szCs w:val="14"/>
                <w:color w:val="auto"/>
              </w:rPr>
            </w:pPr>
          </w:p>
        </w:tc>
        <w:tc>
          <w:tcPr>
            <w:tcW w:w="18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194</w:t>
            </w:r>
          </w:p>
        </w:tc>
        <w:tc>
          <w:tcPr>
            <w:tcW w:w="192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293</w:t>
            </w:r>
          </w:p>
        </w:tc>
        <w:tc>
          <w:tcPr>
            <w:tcW w:w="0" w:type="dxa"/>
            <w:vAlign w:val="bottom"/>
          </w:tcPr>
          <w:p>
            <w:pPr>
              <w:spacing w:after="0"/>
              <w:rPr>
                <w:sz w:val="1"/>
                <w:szCs w:val="1"/>
                <w:color w:val="auto"/>
              </w:rPr>
            </w:pP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non-cash financing information</w:t>
            </w:r>
          </w:p>
        </w:tc>
        <w:tc>
          <w:tcPr>
            <w:tcW w:w="2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Transaction costs recorded in accrued expenses and other payables</w:t>
            </w:r>
          </w:p>
        </w:tc>
        <w:tc>
          <w:tcPr>
            <w:tcW w:w="2140" w:type="dxa"/>
            <w:vAlign w:val="bottom"/>
          </w:tcPr>
          <w:p>
            <w:pPr>
              <w:spacing w:after="0"/>
              <w:rPr>
                <w:sz w:val="17"/>
                <w:szCs w:val="17"/>
                <w:color w:val="auto"/>
              </w:rPr>
            </w:pPr>
          </w:p>
        </w:tc>
        <w:tc>
          <w:tcPr>
            <w:tcW w:w="18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1,172</w:t>
            </w:r>
          </w:p>
        </w:tc>
        <w:tc>
          <w:tcPr>
            <w:tcW w:w="19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1,506</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form an integral part of the Unaudited Condensed Consolidated Interim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Oculis Holding AG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INTERIM FINANCIAL STATEMENTS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presented in CHF thousands, except share numbers, unless otherwise noted)</w:t>
      </w:r>
    </w:p>
    <w:p>
      <w:pPr>
        <w:spacing w:after="0" w:line="283" w:lineRule="exact"/>
        <w:rPr>
          <w:sz w:val="20"/>
          <w:szCs w:val="20"/>
          <w:color w:val="auto"/>
        </w:rPr>
      </w:pPr>
    </w:p>
    <w:p>
      <w:pPr>
        <w:ind w:left="380" w:hanging="372"/>
        <w:spacing w:after="0"/>
        <w:tabs>
          <w:tab w:leader="none" w:pos="38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CORPORATE INFORMATION</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Oculis Holding AG (“</w:t>
      </w:r>
      <w:r>
        <w:rPr>
          <w:rFonts w:ascii="Times New Roman" w:cs="Times New Roman" w:eastAsia="Times New Roman" w:hAnsi="Times New Roman"/>
          <w:sz w:val="16"/>
          <w:szCs w:val="16"/>
          <w:i w:val="1"/>
          <w:iCs w:val="1"/>
          <w:color w:val="auto"/>
        </w:rPr>
        <w:t>the 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Oculis</w:t>
      </w:r>
      <w:r>
        <w:rPr>
          <w:rFonts w:ascii="Times New Roman" w:cs="Times New Roman" w:eastAsia="Times New Roman" w:hAnsi="Times New Roman"/>
          <w:sz w:val="16"/>
          <w:szCs w:val="16"/>
          <w:color w:val="auto"/>
        </w:rPr>
        <w:t>”) is a stock corporation (“</w:t>
      </w:r>
      <w:r>
        <w:rPr>
          <w:rFonts w:ascii="Times New Roman" w:cs="Times New Roman" w:eastAsia="Times New Roman" w:hAnsi="Times New Roman"/>
          <w:sz w:val="16"/>
          <w:szCs w:val="16"/>
          <w:i w:val="1"/>
          <w:iCs w:val="1"/>
          <w:color w:val="auto"/>
        </w:rPr>
        <w:t>Aktiengesellschaft</w:t>
      </w:r>
      <w:r>
        <w:rPr>
          <w:rFonts w:ascii="Times New Roman" w:cs="Times New Roman" w:eastAsia="Times New Roman" w:hAnsi="Times New Roman"/>
          <w:sz w:val="16"/>
          <w:szCs w:val="16"/>
          <w:color w:val="auto"/>
        </w:rPr>
        <w:t>”) with its registered office at Bahnhofstrasse 20, CH-6300, Zug, Switzerland. It was incorporated under the laws of Switzerland on October 31, 2022, and controls seven wholly owned subsidiaries. The Company and its wholly-owned subsidiaries form the Oculis Group (the “</w:t>
      </w:r>
      <w:r>
        <w:rPr>
          <w:rFonts w:ascii="Times New Roman" w:cs="Times New Roman" w:eastAsia="Times New Roman" w:hAnsi="Times New Roman"/>
          <w:sz w:val="16"/>
          <w:szCs w:val="16"/>
          <w:i w:val="1"/>
          <w:iCs w:val="1"/>
          <w:color w:val="auto"/>
        </w:rPr>
        <w:t>Group</w:t>
      </w:r>
      <w:r>
        <w:rPr>
          <w:rFonts w:ascii="Times New Roman" w:cs="Times New Roman" w:eastAsia="Times New Roman" w:hAnsi="Times New Roman"/>
          <w:sz w:val="16"/>
          <w:szCs w:val="16"/>
          <w:color w:val="auto"/>
        </w:rPr>
        <w:t>”). Unless the context otherwise dictates, a reference to “the Company” “us,” “we” or “our” refers to Oculis and its subsidiaries.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Oculis is a global late clinical-stage biopharmaceutical company focused on breakthrough innovations to address significant unmet medical needs in neuro-ophthalmology and ophthalmology. Oculis’ highly differentiated late-stage clinical pipeline includes three core product candidates: OCS-01, an eye drop in pivotal registration studies, aiming to become the first non-invasive topical treatment for diabetic macular edema (DME); Licaminlimab, a novel, topical anti-TNFα in registrational trial, which is being developed with a genotype-based approach to drive precision medicine in dry eye disease (DED), and Privosegtor, a breakthrough neuroprotective candidate in the PIONEER program which consists of studies intended to support registration plans for treatment in optic neuropathies like optic neuritis (ON) and non-arteritic anterior ischemic optic neuropathy (NAION), with potentially broad clinical applications in various other neuro-ophthalmic and neurological diseases.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Audit Committee of the Board of Directors approved the issuance of the unaudited interim condensed consolidated financial statements on May 8, 2026.</w:t>
      </w:r>
    </w:p>
    <w:p>
      <w:pPr>
        <w:spacing w:after="0" w:line="125"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PREPARATION AND CHANGES TO THE COMPANY’S ACCOUNTING POLICIES</w:t>
      </w:r>
    </w:p>
    <w:p>
      <w:pPr>
        <w:spacing w:after="0" w:line="18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(A)</w:t>
        <w:tab/>
        <w:t>Going concern</w:t>
      </w:r>
    </w:p>
    <w:p>
      <w:pPr>
        <w:spacing w:after="0" w:line="18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Company’s accounts are prepared on a going concern basis. The Board of Directors believes that based on the Company’s current cash, cash equivalents and investments, the Company has the ability to meet its financial obligations for at least the next 12 months.</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Company is a late clinical-stage company and is exposed to all the risks inherent to establishing a business,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preclinical and clinical development; (iv) successfully obtain regulatory approval and commercialize its products; and (v) attract and retain key personnel. The Company’s success is subject to its ability to raise capital to support its current and future operations. To date, the Company has financed its cash requirements primarily through the sale of equity shares.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of its product candidates; (ii) seek collaborators for product candidates at an earlier stage than otherwise would be desirable and on terms that are less favorable than might otherwise be available; or (iii) relinquish or otherwise dispose of rights to product candidates that the Company would otherwise seek to develop itself, on unfavorable terms.</w:t>
      </w:r>
    </w:p>
    <w:p>
      <w:pPr>
        <w:spacing w:after="0" w:line="13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(B)</w:t>
        <w:tab/>
        <w:t>Material accounting policies</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Due to their short-term nature, the carrying value of cash and cash equivalents, short-term financial assets, other current assets excluding prepaid expenses, accrued income, lease liabilities, trade payables, accrued expenses and other payables approximates their fair value. There have been no material changes to the accounting policies that were applied by the Company in its audited consolidated financial statements as of and for the year ended December 31, 2025, included in Form 20-F filed with the U.S. Securities and Exchange Commission (“</w:t>
      </w:r>
      <w:r>
        <w:rPr>
          <w:rFonts w:ascii="Times New Roman" w:cs="Times New Roman" w:eastAsia="Times New Roman" w:hAnsi="Times New Roman"/>
          <w:sz w:val="16"/>
          <w:szCs w:val="16"/>
          <w:i w:val="1"/>
          <w:iCs w:val="1"/>
          <w:color w:val="auto"/>
        </w:rPr>
        <w:t>SEC</w:t>
      </w:r>
      <w:r>
        <w:rPr>
          <w:rFonts w:ascii="Times New Roman" w:cs="Times New Roman" w:eastAsia="Times New Roman" w:hAnsi="Times New Roman"/>
          <w:sz w:val="16"/>
          <w:szCs w:val="16"/>
          <w:color w:val="auto"/>
        </w:rPr>
        <w:t>”) on March 4, 2026 and available at www.sec.gov.</w:t>
      </w:r>
    </w:p>
    <w:p>
      <w:pPr>
        <w:spacing w:after="0" w:line="1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(C)</w:t>
        <w:tab/>
        <w:t>Statement of compliance</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These unaudited condensed consolidated interim financial statements as of March 31, 2026 and for the three months ended March 31, 2026 and 2025, have been prepared in accordance with International Accounting Standard (“</w:t>
      </w:r>
      <w:r>
        <w:rPr>
          <w:rFonts w:ascii="Times New Roman" w:cs="Times New Roman" w:eastAsia="Times New Roman" w:hAnsi="Times New Roman"/>
          <w:sz w:val="16"/>
          <w:szCs w:val="16"/>
          <w:i w:val="1"/>
          <w:iCs w:val="1"/>
          <w:color w:val="auto"/>
        </w:rPr>
        <w:t>IAS”</w:t>
      </w:r>
      <w:r>
        <w:rPr>
          <w:rFonts w:ascii="Times New Roman" w:cs="Times New Roman" w:eastAsia="Times New Roman" w:hAnsi="Times New Roman"/>
          <w:sz w:val="16"/>
          <w:szCs w:val="16"/>
          <w:color w:val="auto"/>
        </w:rPr>
        <w:t xml:space="preserve">), IAS 34 - </w:t>
      </w:r>
      <w:r>
        <w:rPr>
          <w:rFonts w:ascii="Times New Roman" w:cs="Times New Roman" w:eastAsia="Times New Roman" w:hAnsi="Times New Roman"/>
          <w:sz w:val="16"/>
          <w:szCs w:val="16"/>
          <w:i w:val="1"/>
          <w:iCs w:val="1"/>
          <w:color w:val="auto"/>
        </w:rPr>
        <w:t>Interim Financial Reporting</w:t>
      </w:r>
      <w:r>
        <w:rPr>
          <w:rFonts w:ascii="Times New Roman" w:cs="Times New Roman" w:eastAsia="Times New Roman" w:hAnsi="Times New Roman"/>
          <w:sz w:val="16"/>
          <w:szCs w:val="16"/>
          <w:color w:val="auto"/>
        </w:rPr>
        <w:t>. They do not include all of the information required for a complete set of financial statements prepared in accordance with IFRS Accounting Standards (“</w:t>
      </w:r>
      <w:r>
        <w:rPr>
          <w:rFonts w:ascii="Times New Roman" w:cs="Times New Roman" w:eastAsia="Times New Roman" w:hAnsi="Times New Roman"/>
          <w:sz w:val="16"/>
          <w:szCs w:val="16"/>
          <w:i w:val="1"/>
          <w:iCs w:val="1"/>
          <w:color w:val="auto"/>
        </w:rPr>
        <w:t>IFRS</w:t>
      </w:r>
      <w:r>
        <w:rPr>
          <w:rFonts w:ascii="Times New Roman" w:cs="Times New Roman" w:eastAsia="Times New Roman" w:hAnsi="Times New Roman"/>
          <w:sz w:val="16"/>
          <w:szCs w:val="16"/>
          <w:color w:val="auto"/>
        </w:rPr>
        <w:t>”) as issued by the International Accounting Standards Board (“</w:t>
      </w:r>
      <w:r>
        <w:rPr>
          <w:rFonts w:ascii="Times New Roman" w:cs="Times New Roman" w:eastAsia="Times New Roman" w:hAnsi="Times New Roman"/>
          <w:sz w:val="16"/>
          <w:szCs w:val="16"/>
          <w:i w:val="1"/>
          <w:iCs w:val="1"/>
          <w:color w:val="auto"/>
        </w:rPr>
        <w:t>IASB</w:t>
      </w:r>
      <w:r>
        <w:rPr>
          <w:rFonts w:ascii="Times New Roman" w:cs="Times New Roman" w:eastAsia="Times New Roman" w:hAnsi="Times New Roman"/>
          <w:sz w:val="16"/>
          <w:szCs w:val="16"/>
          <w:color w:val="auto"/>
        </w:rPr>
        <w:t>”). In the opinion of the Company, the accompanying unaudited condensed consolidated interim financial statements present a fair statement of its financial information for the interim periods reported.</w:t>
      </w:r>
    </w:p>
    <w:p>
      <w:pPr>
        <w:spacing w:after="0" w:line="17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(D)</w:t>
        <w:tab/>
        <w:t>Functional currency</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unaudited condensed consolidated interim financial statements of the Group are expressed in Swiss Francs (“</w:t>
      </w:r>
      <w:r>
        <w:rPr>
          <w:rFonts w:ascii="Times New Roman" w:cs="Times New Roman" w:eastAsia="Times New Roman" w:hAnsi="Times New Roman"/>
          <w:sz w:val="16"/>
          <w:szCs w:val="16"/>
          <w:i w:val="1"/>
          <w:iCs w:val="1"/>
          <w:color w:val="auto"/>
        </w:rPr>
        <w:t>CHF</w:t>
      </w:r>
      <w:r>
        <w:rPr>
          <w:rFonts w:ascii="Times New Roman" w:cs="Times New Roman" w:eastAsia="Times New Roman" w:hAnsi="Times New Roman"/>
          <w:sz w:val="16"/>
          <w:szCs w:val="16"/>
          <w:color w:val="auto"/>
        </w:rPr>
        <w:t>”), which is the Company’s functional and the Group’s presentation currency. The functional currency of the Company’s subsidiaries is the local currency except for Oculis ehf, the Company’s Icelandic subsidiary, whose functional currency is CHF. Included in the Company’s finance result is foreign currency exchange gain of CHF 0.6 million and loss of CHF 1.6 million for the three months ended March 31, 2026 and 2025, respectively, arising from favorable and unfavorable fluctuations, respectively, of the U.S. dollar and Euro against the Swiss Franc, impacting the valuation of the Company’s cash and short-term financial assets balances and U.S. dollar denominated transactions and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1" w:name="page12"/>
    <w:bookmarkEnd w:id="11"/>
    <w:p>
      <w:pPr>
        <w:spacing w:after="0" w:line="298" w:lineRule="auto"/>
        <w:rPr>
          <w:sz w:val="20"/>
          <w:szCs w:val="20"/>
          <w:color w:val="auto"/>
        </w:rPr>
      </w:pPr>
      <w:r>
        <w:rPr>
          <w:rFonts w:ascii="Times New Roman" w:cs="Times New Roman" w:eastAsia="Times New Roman" w:hAnsi="Times New Roman"/>
          <w:sz w:val="16"/>
          <w:szCs w:val="16"/>
          <w:color w:val="auto"/>
        </w:rPr>
        <w:t>Assets and liabilities of foreign operations are translated into CHF at the rate of exchange prevailing at the reporting date and their statements of profit or loss are translated at average monthly exchange rates. The exchange differences arising on translation for consolidation are recognized in other comprehensive income.</w:t>
      </w:r>
    </w:p>
    <w:p>
      <w:pPr>
        <w:spacing w:after="0" w:line="54"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MATERIAL ACCOUNTING POLICIES, CRITICAL JUDGMENTS AND ACCOUNTING ESTIMATES</w:t>
      </w:r>
    </w:p>
    <w:p>
      <w:pPr>
        <w:spacing w:after="0" w:line="18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(A)</w:t>
        <w:tab/>
        <w:t>Critical judgments and accounting estimates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 preparing these unaudited condensed consolidated interim financial statements, the critical accounting estimates, assumptions and judgments made by management in applying the Company’s accounting policies and the key sources of estimation uncertainty were the same as those applied and discussed in the audited consolidated financial statements for the year ended December 31, 2025.</w:t>
      </w:r>
    </w:p>
    <w:p>
      <w:pPr>
        <w:spacing w:after="0" w:line="1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(B)</w:t>
        <w:tab/>
        <w:t>New accounting standards, interpretations, and amendments adopted by the Company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 xml:space="preserve">There are no new IFRS Accounting Standards, amendments to standards or interpretations that are mandatory for the financial year beginning on January 1, 2026, that have a material impact in the interim period. In April 2024, the IASB issued IFRS 18, </w:t>
      </w:r>
      <w:r>
        <w:rPr>
          <w:rFonts w:ascii="Times New Roman" w:cs="Times New Roman" w:eastAsia="Times New Roman" w:hAnsi="Times New Roman"/>
          <w:sz w:val="16"/>
          <w:szCs w:val="16"/>
          <w:i w:val="1"/>
          <w:iCs w:val="1"/>
          <w:color w:val="auto"/>
        </w:rPr>
        <w:t>Presentation and Disclosure in Financial Statements</w:t>
      </w:r>
      <w:r>
        <w:rPr>
          <w:rFonts w:ascii="Times New Roman" w:cs="Times New Roman" w:eastAsia="Times New Roman" w:hAnsi="Times New Roman"/>
          <w:sz w:val="16"/>
          <w:szCs w:val="16"/>
          <w:color w:val="auto"/>
        </w:rPr>
        <w:t>. The standard, which will replace IAS 1, impacts the presentation of primary financial statements and notes, including the statement of profit and loss where companies will be required to present separate categories of income and expense for operating, investing, and financing activities with prescribed subtotals for each new category. It also requires disclosure of management defined performance measures, if applicable, and includes new requirements for aggregation and disaggregation of financial information. The standard is effective for annual reporting periods beginning on or after January 1, 2027, and requires retrospective application. While IFRS 18 will not change recognition criteria or measurement bases, it may impact the presentation of information in the financial statements, in particular the profit and loss statement. Based on current analysis, the impact on the consolidated financial statements is expected to be limited to presentation and disclosure changes. At this stage, other quantitative effects cannot yet be reliably estimated.</w:t>
      </w:r>
    </w:p>
    <w:p>
      <w:pPr>
        <w:spacing w:after="0" w:line="379"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FINANCING ACTIVITY</w:t>
      </w:r>
    </w:p>
    <w:p>
      <w:pPr>
        <w:spacing w:after="0" w:line="18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Company’s historical financing activities, including equity offerings, private placements, and debt arrangements, are described in detail in Note 5 to the consolidated financial statements included in the Company’s Annual Report on Form 20-F for the year ended December 31, 2025, filed with the SEC on March 4, 2026.</w:t>
      </w:r>
    </w:p>
    <w:p>
      <w:pPr>
        <w:spacing w:after="0" w:line="1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During the three months ended March 31, 2026, in connection with the ATM Program, the Company issued 2,000,000 ordinary shares out of its existing capital band with a nominal value of CHF 0.01 held as treasury shares. The Company sold 1,050,000 ordinary shares under the Company’s existing at-the-market offering program (the “</w:t>
      </w:r>
      <w:r>
        <w:rPr>
          <w:rFonts w:ascii="Times New Roman" w:cs="Times New Roman" w:eastAsia="Times New Roman" w:hAnsi="Times New Roman"/>
          <w:sz w:val="16"/>
          <w:szCs w:val="16"/>
          <w:i w:val="1"/>
          <w:iCs w:val="1"/>
          <w:color w:val="auto"/>
        </w:rPr>
        <w:t>ATM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Program</w:t>
      </w:r>
      <w:r>
        <w:rPr>
          <w:rFonts w:ascii="Times New Roman" w:cs="Times New Roman" w:eastAsia="Times New Roman" w:hAnsi="Times New Roman"/>
          <w:sz w:val="16"/>
          <w:szCs w:val="16"/>
          <w:color w:val="auto"/>
        </w:rPr>
        <w:t>”) for gross proceeds of CHF 22.4 million, or $28.8 million. The Company had CHF 1.3 million of transaction costs that were offset against the proceeds and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been recorded as a reduction of share premium during the first quarter of 2026.</w:t>
      </w:r>
    </w:p>
    <w:p>
      <w:pPr>
        <w:spacing w:after="0" w:line="18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6"/>
          <w:szCs w:val="16"/>
          <w:color w:val="auto"/>
        </w:rPr>
        <w:t>On November 3, 2025, the Company closed offerings of an aggregate of 5,432,098 ordinary shares at a price of $20.25 (CHF 16.33) per share for total gross proceeds of $110.0 million (CHF 88.7 million) before deducting underwriting discounts and commissions and offering expenses. The Company issued 2,635,801 shares out of the Company’s existing capital band and 2,796,297 shares previously held in treasury.</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On July 31, 2025, the Company amended its existing loan facility with Kreos Capital VII (UK) Limited (the “</w:t>
      </w:r>
      <w:r>
        <w:rPr>
          <w:rFonts w:ascii="Times New Roman" w:cs="Times New Roman" w:eastAsia="Times New Roman" w:hAnsi="Times New Roman"/>
          <w:sz w:val="16"/>
          <w:szCs w:val="16"/>
          <w:i w:val="1"/>
          <w:iCs w:val="1"/>
          <w:color w:val="auto"/>
        </w:rPr>
        <w:t>Lender</w:t>
      </w:r>
      <w:r>
        <w:rPr>
          <w:rFonts w:ascii="Times New Roman" w:cs="Times New Roman" w:eastAsia="Times New Roman" w:hAnsi="Times New Roman"/>
          <w:sz w:val="16"/>
          <w:szCs w:val="16"/>
          <w:color w:val="auto"/>
        </w:rPr>
        <w:t>”), which are funds and accounts managed by BlackRock, Inc. (the “</w:t>
      </w:r>
      <w:r>
        <w:rPr>
          <w:rFonts w:ascii="Times New Roman" w:cs="Times New Roman" w:eastAsia="Times New Roman" w:hAnsi="Times New Roman"/>
          <w:sz w:val="16"/>
          <w:szCs w:val="16"/>
          <w:i w:val="1"/>
          <w:iCs w:val="1"/>
          <w:color w:val="auto"/>
        </w:rPr>
        <w:t>Amended Loan Agreement</w:t>
      </w:r>
      <w:r>
        <w:rPr>
          <w:rFonts w:ascii="Times New Roman" w:cs="Times New Roman" w:eastAsia="Times New Roman" w:hAnsi="Times New Roman"/>
          <w:sz w:val="16"/>
          <w:szCs w:val="16"/>
          <w:color w:val="auto"/>
        </w:rPr>
        <w:t>”). The Amended Loan Agreement is structured to provide the EUR equivalent of up to CHF 75.0 million in borrowing capacity (which may be increased to up to CHF 100.0 million), comprising tranches 1, 2 and 3, in the amounts of the EUR equivalents of CHF 25.0 million each, as well as an additional loan of the EUR equivalent of up to CHF 25.0 million. Pursuant to the Amended Loan Agreement, the Company is subject to a non-utilization fee of 0.75% per annum of any undrawn amount under tranches 1 and 2. Additionally, to the extent Loan 1 has not been drawn prior to its expiry date, an additional one-time fee of the EUR equivalent of CHF 2.6 million shall be payable, subject to certain conditions. No amounts were drawn under the Amended Loan Agreement during the three months ended March 31, 2026 and 2025.</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 conjunction with the Loan, the Company entered into an amended warrant (the “</w:t>
      </w:r>
      <w:r>
        <w:rPr>
          <w:rFonts w:ascii="Times New Roman" w:cs="Times New Roman" w:eastAsia="Times New Roman" w:hAnsi="Times New Roman"/>
          <w:sz w:val="16"/>
          <w:szCs w:val="16"/>
          <w:i w:val="1"/>
          <w:iCs w:val="1"/>
          <w:color w:val="auto"/>
        </w:rPr>
        <w:t>Amended BlackRock Warrant</w:t>
      </w:r>
      <w:r>
        <w:rPr>
          <w:rFonts w:ascii="Times New Roman" w:cs="Times New Roman" w:eastAsia="Times New Roman" w:hAnsi="Times New Roman"/>
          <w:sz w:val="16"/>
          <w:szCs w:val="16"/>
          <w:color w:val="auto"/>
        </w:rPr>
        <w:t>”) with Kreos Capital VII Aggregator SCSp, an affiliate of the Lender (the “</w:t>
      </w:r>
      <w:r>
        <w:rPr>
          <w:rFonts w:ascii="Times New Roman" w:cs="Times New Roman" w:eastAsia="Times New Roman" w:hAnsi="Times New Roman"/>
          <w:sz w:val="16"/>
          <w:szCs w:val="16"/>
          <w:i w:val="1"/>
          <w:iCs w:val="1"/>
          <w:color w:val="auto"/>
        </w:rPr>
        <w:t>Holder</w:t>
      </w:r>
      <w:r>
        <w:rPr>
          <w:rFonts w:ascii="Times New Roman" w:cs="Times New Roman" w:eastAsia="Times New Roman" w:hAnsi="Times New Roman"/>
          <w:sz w:val="16"/>
          <w:szCs w:val="16"/>
          <w:color w:val="auto"/>
        </w:rPr>
        <w:t>”), under which the Holder can purchase up to 494,259 of the Company’s ordinary shares, at a price per ordinary share equal to $12.17 (CHF 9.73) with respect to 361,011 shares from the prior warrant agreement, and $18.64 (CHF 14.91) with respect to the remaining 133,248 shares. At signing, the Amended BlackRock Warrant was immediately exercisable for 59,310 ordinary shares. Following the drawdown of each of Loans 1, 2 and 3, the Amended BlackRock Warrant will become exercisable for additional amounts of ordinary shares ratably based on the amounts of Loans 1, 2 and 3 that are drawn. The Amended BlackRock Warrant had not been exercised in part or in full as of March 31, 2026.</w:t>
      </w:r>
    </w:p>
    <w:p>
      <w:pPr>
        <w:spacing w:after="0" w:line="13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 February 2025, the Company closed an underwritten follow-on offering of 5,000,000 ordinary shares at a price of $20.00 (CHF 18.05) per share, for total gross proceeds of $100.0 million (CHF 90.2 million). In connection with this offering, the Company incurred $7.5 million (CHF 6.8 million) of transaction costs during the three months ended March 31, 2025 that are presented as a reduction of share premium within the statement of changes in equity.</w:t>
      </w:r>
    </w:p>
    <w:p>
      <w:pPr>
        <w:spacing w:after="0" w:line="67" w:lineRule="exact"/>
        <w:rPr>
          <w:sz w:val="20"/>
          <w:szCs w:val="20"/>
          <w:color w:val="auto"/>
        </w:rPr>
      </w:pPr>
    </w:p>
    <w:p>
      <w:pPr>
        <w:ind w:right="9000" w:firstLine="8"/>
        <w:spacing w:after="0" w:line="529" w:lineRule="auto"/>
        <w:tabs>
          <w:tab w:leader="none" w:pos="374"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EXPENSES Operating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show the breakdown of the operating expenses by category: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83"/>
        </w:trPr>
        <w:tc>
          <w:tcPr>
            <w:tcW w:w="3820" w:type="dxa"/>
            <w:vAlign w:val="bottom"/>
          </w:tcPr>
          <w:p>
            <w:pPr>
              <w:spacing w:after="0"/>
              <w:rPr>
                <w:sz w:val="15"/>
                <w:szCs w:val="15"/>
                <w:color w:val="auto"/>
              </w:rPr>
            </w:pPr>
          </w:p>
        </w:tc>
        <w:tc>
          <w:tcPr>
            <w:tcW w:w="228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Research and development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tc>
        <w:tc>
          <w:tcPr>
            <w:tcW w:w="228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Total operating</w:t>
            </w:r>
          </w:p>
        </w:tc>
      </w:tr>
      <w:tr>
        <w:trPr>
          <w:trHeight w:val="203"/>
        </w:trPr>
        <w:tc>
          <w:tcPr>
            <w:tcW w:w="3820" w:type="dxa"/>
            <w:vAlign w:val="bottom"/>
          </w:tcPr>
          <w:p>
            <w:pPr>
              <w:spacing w:after="0"/>
              <w:rPr>
                <w:sz w:val="17"/>
                <w:szCs w:val="17"/>
                <w:color w:val="auto"/>
              </w:rPr>
            </w:pPr>
          </w:p>
        </w:tc>
        <w:tc>
          <w:tcPr>
            <w:tcW w:w="150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20" w:type="dxa"/>
            <w:vAlign w:val="bottom"/>
          </w:tcPr>
          <w:p>
            <w:pPr>
              <w:spacing w:after="0"/>
              <w:rPr>
                <w:sz w:val="17"/>
                <w:szCs w:val="17"/>
                <w:color w:val="auto"/>
              </w:rPr>
            </w:pPr>
          </w:p>
        </w:tc>
      </w:tr>
      <w:tr>
        <w:trPr>
          <w:trHeight w:val="215"/>
        </w:trPr>
        <w:tc>
          <w:tcPr>
            <w:tcW w:w="3820" w:type="dxa"/>
            <w:vAlign w:val="bottom"/>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Personnel expenses</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5,379</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4,349</w:t>
            </w: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4,652</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2,857</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10,031</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7,206</w:t>
            </w:r>
          </w:p>
        </w:tc>
      </w:tr>
      <w:tr>
        <w:trPr>
          <w:trHeight w:val="196"/>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3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2,324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5,030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4,576</w:t>
            </w:r>
          </w:p>
        </w:tc>
      </w:tr>
      <w:tr>
        <w:trPr>
          <w:trHeight w:val="203"/>
        </w:trPr>
        <w:tc>
          <w:tcPr>
            <w:tcW w:w="38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2,673</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5,001</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2,630</w:t>
            </w: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operating expenses</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8,667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10,422</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3,239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2,631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11,906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13,053</w:t>
            </w:r>
          </w:p>
        </w:tc>
      </w:tr>
      <w:tr>
        <w:trPr>
          <w:trHeight w:val="196"/>
        </w:trPr>
        <w:tc>
          <w:tcPr>
            <w:tcW w:w="3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External service providers</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8,142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10,187</w:t>
            </w:r>
          </w:p>
        </w:tc>
        <w:tc>
          <w:tcPr>
            <w:tcW w:w="132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2,530</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10,672</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12,255</w:t>
            </w:r>
          </w:p>
        </w:tc>
      </w:tr>
      <w:tr>
        <w:trPr>
          <w:trHeight w:val="203"/>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3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675</w:t>
            </w:r>
          </w:p>
        </w:tc>
      </w:tr>
      <w:tr>
        <w:trPr>
          <w:trHeight w:val="203"/>
        </w:trPr>
        <w:tc>
          <w:tcPr>
            <w:tcW w:w="3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Depreciation expense</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32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14,046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14,771</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7,891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5,488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21,937</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20,259</w:t>
            </w:r>
          </w:p>
        </w:tc>
      </w:tr>
      <w:tr>
        <w:trPr>
          <w:trHeight w:val="20"/>
        </w:trPr>
        <w:tc>
          <w:tcPr>
            <w:tcW w:w="3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-959485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-959485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-959485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-959485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-959485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-693420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-693420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-693420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-693420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-693420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Total operating expenses increased for the three months ended March 31, 2026 compared to the prior year period. The increase was driven by a CHF 2.4 million increase in general and administrative expense, partially offset by a CHF 0.7 million decrease in research and development expense period over period.</w:t>
      </w:r>
    </w:p>
    <w:p>
      <w:pPr>
        <w:spacing w:after="0" w:line="1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increase in general and administrative costs was primarily driven by personnel costs, specifically share-based compensation expense due to increased headcount and increased grant value for awards granted during the three months ended March 31, 2026 as compared to the same period in the prior year. The decrease in research and development expenses was primarily due to a decrease in external service provider expense driven by the DIAMOND-1 and DIAMOND-2 trials of OCS-01 in DME, which are approaching topline readout in June 2026.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6.   OTHER CURRENT ASSETS AND ACCRUED INCOME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64"/>
        </w:trPr>
        <w:tc>
          <w:tcPr>
            <w:tcW w:w="7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table below shows the breakdown of other current assets by category:</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5"/>
        </w:trPr>
        <w:tc>
          <w:tcPr>
            <w:tcW w:w="5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5"/>
        </w:trPr>
        <w:tc>
          <w:tcPr>
            <w:tcW w:w="5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7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580" w:type="dxa"/>
            <w:vAlign w:val="bottom"/>
          </w:tcPr>
          <w:p>
            <w:pPr>
              <w:spacing w:after="0"/>
              <w:rPr>
                <w:sz w:val="17"/>
                <w:szCs w:val="17"/>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clinical and technical development expenses</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1,778</w:t>
            </w:r>
          </w:p>
        </w:tc>
        <w:tc>
          <w:tcPr>
            <w:tcW w:w="18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1,590</w:t>
            </w:r>
          </w:p>
        </w:tc>
      </w:tr>
      <w:tr>
        <w:trPr>
          <w:trHeight w:val="203"/>
        </w:trPr>
        <w:tc>
          <w:tcPr>
            <w:tcW w:w="58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Prepaid general and administrative expenses</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1,649</w:t>
            </w:r>
          </w:p>
        </w:tc>
        <w:tc>
          <w:tcPr>
            <w:tcW w:w="1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2,492</w:t>
            </w:r>
          </w:p>
        </w:tc>
      </w:tr>
      <w:tr>
        <w:trPr>
          <w:trHeight w:val="203"/>
        </w:trPr>
        <w:tc>
          <w:tcPr>
            <w:tcW w:w="580" w:type="dxa"/>
            <w:vAlign w:val="bottom"/>
          </w:tcPr>
          <w:p>
            <w:pPr>
              <w:spacing w:after="0"/>
              <w:rPr>
                <w:sz w:val="17"/>
                <w:szCs w:val="17"/>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VAT, withholding tax and interest receivables</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374</w:t>
            </w:r>
          </w:p>
        </w:tc>
        <w:tc>
          <w:tcPr>
            <w:tcW w:w="18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801</w:t>
            </w:r>
          </w:p>
        </w:tc>
      </w:tr>
      <w:tr>
        <w:trPr>
          <w:trHeight w:val="196"/>
        </w:trPr>
        <w:tc>
          <w:tcPr>
            <w:tcW w:w="58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3,801</w:t>
            </w:r>
          </w:p>
        </w:tc>
        <w:tc>
          <w:tcPr>
            <w:tcW w:w="12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4,883</w:t>
            </w:r>
          </w:p>
        </w:tc>
      </w:tr>
      <w:tr>
        <w:trPr>
          <w:trHeight w:val="20"/>
        </w:trPr>
        <w:tc>
          <w:tcPr>
            <w:tcW w:w="5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decrease in prepaid general and administrative expenses as of March 31, 2026 compared to prior year end was due to capitalized transaction costs associated with the Company’s ATM Program that were recorded as a reduction of share premium as a result of the ATM sale during the three months ended March 31,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gridSpan w:val="3"/>
          </w:tcPr>
          <w:p>
            <w:pPr>
              <w:jc w:val="right"/>
              <w:ind w:right="939"/>
              <w:spacing w:after="0"/>
              <w:rPr>
                <w:sz w:val="20"/>
                <w:szCs w:val="20"/>
                <w:color w:val="auto"/>
              </w:rPr>
            </w:pPr>
            <w:r>
              <w:rPr>
                <w:rFonts w:ascii="Times New Roman" w:cs="Times New Roman" w:eastAsia="Times New Roman" w:hAnsi="Times New Roman"/>
                <w:sz w:val="16"/>
                <w:szCs w:val="16"/>
                <w:color w:val="auto"/>
              </w:rPr>
              <w:t>The table below shows the movement of accrued income for the three months ended March 31, 2026 and 2025: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08"/>
        </w:trPr>
        <w:tc>
          <w:tcPr>
            <w:tcW w:w="7140" w:type="dxa"/>
            <w:vAlign w:val="bottom"/>
            <w:gridSpan w:val="2"/>
          </w:tcPr>
          <w:p>
            <w:pPr>
              <w:spacing w:after="0"/>
              <w:rPr>
                <w:sz w:val="24"/>
                <w:szCs w:val="24"/>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580" w:type="dxa"/>
            <w:vAlign w:val="bottom"/>
          </w:tcPr>
          <w:p>
            <w:pPr>
              <w:spacing w:after="0"/>
              <w:rPr>
                <w:sz w:val="17"/>
                <w:szCs w:val="17"/>
                <w:color w:val="auto"/>
              </w:rPr>
            </w:pPr>
          </w:p>
        </w:tc>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11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993</w:t>
            </w:r>
          </w:p>
        </w:tc>
        <w:tc>
          <w:tcPr>
            <w:tcW w:w="120" w:type="dxa"/>
            <w:vAlign w:val="bottom"/>
            <w:tcBorders>
              <w:bottom w:val="single" w:sz="8" w:color="CFF0FC"/>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629</w:t>
            </w:r>
          </w:p>
        </w:tc>
      </w:tr>
      <w:tr>
        <w:trPr>
          <w:trHeight w:val="196"/>
        </w:trPr>
        <w:tc>
          <w:tcPr>
            <w:tcW w:w="580" w:type="dxa"/>
            <w:vAlign w:val="bottom"/>
          </w:tcPr>
          <w:p>
            <w:pPr>
              <w:spacing w:after="0"/>
              <w:rPr>
                <w:sz w:val="17"/>
                <w:szCs w:val="17"/>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income recognized during the period</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w:t>
            </w:r>
          </w:p>
        </w:tc>
        <w:tc>
          <w:tcPr>
            <w:tcW w:w="1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285</w:t>
            </w:r>
          </w:p>
        </w:tc>
      </w:tr>
      <w:tr>
        <w:trPr>
          <w:trHeight w:val="203"/>
        </w:trPr>
        <w:tc>
          <w:tcPr>
            <w:tcW w:w="580" w:type="dxa"/>
            <w:vAlign w:val="bottom"/>
          </w:tcPr>
          <w:p>
            <w:pPr>
              <w:spacing w:after="0"/>
              <w:rPr>
                <w:sz w:val="17"/>
                <w:szCs w:val="17"/>
                <w:color w:val="auto"/>
              </w:rPr>
            </w:pPr>
          </w:p>
        </w:tc>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revaluation</w:t>
            </w:r>
          </w:p>
        </w:tc>
        <w:tc>
          <w:tcPr>
            <w:tcW w:w="11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r>
      <w:tr>
        <w:trPr>
          <w:trHeight w:val="196"/>
        </w:trPr>
        <w:tc>
          <w:tcPr>
            <w:tcW w:w="580" w:type="dxa"/>
            <w:vAlign w:val="bottom"/>
          </w:tcPr>
          <w:p>
            <w:pPr>
              <w:spacing w:after="0"/>
              <w:rPr>
                <w:sz w:val="17"/>
                <w:szCs w:val="17"/>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1,202</w:t>
            </w:r>
          </w:p>
        </w:tc>
        <w:tc>
          <w:tcPr>
            <w:tcW w:w="1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930</w:t>
            </w:r>
          </w:p>
        </w:tc>
      </w:tr>
      <w:tr>
        <w:trPr>
          <w:trHeight w:val="20"/>
        </w:trPr>
        <w:tc>
          <w:tcPr>
            <w:tcW w:w="5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-427990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-162560</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Accrued income is generated by incentives for research and development offered by the Icelandic government in the form of tax credits for innovation companies. These tax credits are either used to reduce the company’s income tax liability or, if the credits exceed the tax due, they are paid out in cash. The tax credit is subject to companies having a research project approved as eligible for tax credit by the Icelandic Center for Research (</w:t>
      </w:r>
      <w:r>
        <w:rPr>
          <w:rFonts w:ascii="Times New Roman" w:cs="Times New Roman" w:eastAsia="Times New Roman" w:hAnsi="Times New Roman"/>
          <w:sz w:val="16"/>
          <w:szCs w:val="16"/>
          <w:i w:val="1"/>
          <w:iCs w:val="1"/>
          <w:color w:val="auto"/>
        </w:rPr>
        <w:t>Rannís</w:t>
      </w:r>
      <w:r>
        <w:rPr>
          <w:rFonts w:ascii="Times New Roman" w:cs="Times New Roman" w:eastAsia="Times New Roman" w:hAnsi="Times New Roman"/>
          <w:sz w:val="16"/>
          <w:szCs w:val="16"/>
          <w:color w:val="auto"/>
        </w:rPr>
        <w:t>).</w:t>
      </w:r>
    </w:p>
    <w:p>
      <w:pPr>
        <w:spacing w:after="0" w:line="121"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2023 Employee Stock Option and Incentive Plan</w:t>
      </w:r>
    </w:p>
    <w:p>
      <w:pPr>
        <w:spacing w:after="0" w:line="18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On March 2, 2023, the Company adopted the 2023 Employee Stock Option and Incentive Plan (“</w:t>
      </w:r>
      <w:r>
        <w:rPr>
          <w:rFonts w:ascii="Times New Roman" w:cs="Times New Roman" w:eastAsia="Times New Roman" w:hAnsi="Times New Roman"/>
          <w:sz w:val="16"/>
          <w:szCs w:val="16"/>
          <w:i w:val="1"/>
          <w:iCs w:val="1"/>
          <w:color w:val="auto"/>
        </w:rPr>
        <w:t>2023 ESOP</w:t>
      </w:r>
      <w:r>
        <w:rPr>
          <w:rFonts w:ascii="Times New Roman" w:cs="Times New Roman" w:eastAsia="Times New Roman" w:hAnsi="Times New Roman"/>
          <w:sz w:val="16"/>
          <w:szCs w:val="16"/>
          <w:color w:val="auto"/>
        </w:rPr>
        <w:t>”) which allows for the grant of equity incentives, including share-based options, stock appreciation rights (“</w:t>
      </w:r>
      <w:r>
        <w:rPr>
          <w:rFonts w:ascii="Times New Roman" w:cs="Times New Roman" w:eastAsia="Times New Roman" w:hAnsi="Times New Roman"/>
          <w:sz w:val="16"/>
          <w:szCs w:val="16"/>
          <w:i w:val="1"/>
          <w:iCs w:val="1"/>
          <w:color w:val="auto"/>
        </w:rPr>
        <w:t>SARs</w:t>
      </w:r>
      <w:r>
        <w:rPr>
          <w:rFonts w:ascii="Times New Roman" w:cs="Times New Roman" w:eastAsia="Times New Roman" w:hAnsi="Times New Roman"/>
          <w:sz w:val="16"/>
          <w:szCs w:val="16"/>
          <w:color w:val="auto"/>
        </w:rPr>
        <w:t>”), restricted stock units (“</w:t>
      </w:r>
      <w:r>
        <w:rPr>
          <w:rFonts w:ascii="Times New Roman" w:cs="Times New Roman" w:eastAsia="Times New Roman" w:hAnsi="Times New Roman"/>
          <w:sz w:val="16"/>
          <w:szCs w:val="16"/>
          <w:i w:val="1"/>
          <w:iCs w:val="1"/>
          <w:color w:val="auto"/>
        </w:rPr>
        <w:t>RSUs</w:t>
      </w:r>
      <w:r>
        <w:rPr>
          <w:rFonts w:ascii="Times New Roman" w:cs="Times New Roman" w:eastAsia="Times New Roman" w:hAnsi="Times New Roman"/>
          <w:sz w:val="16"/>
          <w:szCs w:val="16"/>
          <w:color w:val="auto"/>
        </w:rPr>
        <w:t>”) and other awards. The 2023 ESOP lays out the details for the equity incentives for talent acquisition and retention purposes. Each grant of share-based options made under the 2023 ESOP entitles the grantee to acquire ordinary shares with payment of the exercise price in cash. The Company intends to settle any options, RSUs and SARs granted only in ordinary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Option awards and SARs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fair value of option awards and SARs is determined using the Black-Scholes option-pricing model. The weighted average grant date fair value for options and SARs granted during the three months ended March 31, 2026 was CHF 14.56 or $18.58 per share. The weighted average grant date fair value for options and SARs granted during the three months ended March 31, 2025 was CHF 13.02 or $14.48 per share.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3" w:name="page14"/>
    <w:bookmarkEnd w:id="13"/>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assumptions were used in the Black-Scholes option pricing model for determining the value of options and SARs granted during the three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80" w:type="dxa"/>
            <w:vAlign w:val="bottom"/>
          </w:tcPr>
          <w:p>
            <w:pPr>
              <w:spacing w:after="0"/>
              <w:rPr>
                <w:sz w:val="17"/>
                <w:szCs w:val="17"/>
                <w:color w:val="auto"/>
              </w:rPr>
            </w:pPr>
          </w:p>
        </w:tc>
        <w:tc>
          <w:tcPr>
            <w:tcW w:w="4360" w:type="dxa"/>
            <w:vAlign w:val="bottom"/>
            <w:gridSpan w:val="3"/>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8"/>
        </w:trPr>
        <w:tc>
          <w:tcPr>
            <w:tcW w:w="68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6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Weighted average share price at the date of grant</w:t>
            </w:r>
            <w:r>
              <w:rPr>
                <w:rFonts w:ascii="Times New Roman" w:cs="Times New Roman" w:eastAsia="Times New Roman" w:hAnsi="Times New Roman"/>
                <w:sz w:val="21"/>
                <w:szCs w:val="21"/>
                <w:color w:val="auto"/>
                <w:vertAlign w:val="superscript"/>
              </w:rPr>
              <w:t>(1)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30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(CHF 21.38)</w:t>
            </w:r>
          </w:p>
        </w:tc>
        <w:tc>
          <w:tcPr>
            <w:tcW w:w="1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$18.71 (CHF 16.82)</w:t>
            </w:r>
          </w:p>
        </w:tc>
      </w:tr>
      <w:tr>
        <w:trPr>
          <w:trHeight w:val="203"/>
        </w:trPr>
        <w:tc>
          <w:tcPr>
            <w:tcW w:w="68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Range of expected volatilities (%)</w:t>
            </w:r>
            <w:r>
              <w:rPr>
                <w:rFonts w:ascii="Times New Roman" w:cs="Times New Roman" w:eastAsia="Times New Roman" w:hAnsi="Times New Roman"/>
                <w:sz w:val="21"/>
                <w:szCs w:val="21"/>
                <w:color w:val="auto"/>
                <w:vertAlign w:val="superscript"/>
              </w:rPr>
              <w:t>(2)</w:t>
            </w:r>
          </w:p>
        </w:tc>
        <w:tc>
          <w:tcPr>
            <w:tcW w:w="246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73.00 - 86.38</w:t>
            </w:r>
          </w:p>
        </w:tc>
        <w:tc>
          <w:tcPr>
            <w:tcW w:w="1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90.50</w:t>
            </w:r>
          </w:p>
        </w:tc>
      </w:tr>
      <w:tr>
        <w:trPr>
          <w:trHeight w:val="203"/>
        </w:trPr>
        <w:tc>
          <w:tcPr>
            <w:tcW w:w="688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Range of expected terms (years)</w:t>
            </w:r>
            <w:r>
              <w:rPr>
                <w:rFonts w:ascii="Times New Roman" w:cs="Times New Roman" w:eastAsia="Times New Roman" w:hAnsi="Times New Roman"/>
                <w:sz w:val="21"/>
                <w:szCs w:val="21"/>
                <w:color w:val="auto"/>
                <w:vertAlign w:val="superscript"/>
              </w:rPr>
              <w:t>(3)</w:t>
            </w:r>
          </w:p>
        </w:tc>
        <w:tc>
          <w:tcPr>
            <w:tcW w:w="1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5.50 - 6.25</w:t>
            </w:r>
          </w:p>
        </w:tc>
        <w:tc>
          <w:tcPr>
            <w:tcW w:w="19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6.25</w:t>
            </w:r>
          </w:p>
        </w:tc>
      </w:tr>
      <w:tr>
        <w:trPr>
          <w:trHeight w:val="189"/>
        </w:trPr>
        <w:tc>
          <w:tcPr>
            <w:tcW w:w="688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Range of risk-free interest rates (%)</w:t>
            </w:r>
            <w:r>
              <w:rPr>
                <w:rFonts w:ascii="Times New Roman" w:cs="Times New Roman" w:eastAsia="Times New Roman" w:hAnsi="Times New Roman"/>
                <w:sz w:val="21"/>
                <w:szCs w:val="21"/>
                <w:color w:val="auto"/>
                <w:vertAlign w:val="superscript"/>
              </w:rPr>
              <w:t>(4)</w:t>
            </w:r>
          </w:p>
        </w:tc>
        <w:tc>
          <w:tcPr>
            <w:tcW w:w="116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3.75 - 4.08</w:t>
            </w:r>
          </w:p>
        </w:tc>
        <w:tc>
          <w:tcPr>
            <w:tcW w:w="1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4.06 - 4.14</w:t>
            </w: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 (%)</w:t>
            </w:r>
          </w:p>
        </w:tc>
        <w:tc>
          <w:tcPr>
            <w:tcW w:w="116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0.00</w:t>
            </w:r>
          </w:p>
        </w:tc>
        <w:tc>
          <w:tcPr>
            <w:tcW w:w="1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60" w:hanging="152"/>
        <w:spacing w:after="0" w:line="218" w:lineRule="auto"/>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equity award exercise price is denominated in USD.</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expected volatility was derived from the historical stock volatilities of the Company, as well as comparable peer public companies within the Company’s industry.</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expected term represents the period that share-based awards are expected to be outstanding.</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risk-free interest rate is based on the U.S. Treasury yield curve in effect at the measurement date with maturities approximately equal to the expected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stock option and SAR activity under the 2023 ESOP for the three months ended March 31, 2026 and 2025:</w:t>
      </w: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83"/>
        </w:trPr>
        <w:tc>
          <w:tcPr>
            <w:tcW w:w="2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Range of</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Range of</w:t>
            </w:r>
          </w:p>
        </w:tc>
      </w:tr>
      <w:tr>
        <w:trPr>
          <w:trHeight w:val="203"/>
        </w:trPr>
        <w:tc>
          <w:tcPr>
            <w:tcW w:w="2940" w:type="dxa"/>
            <w:vAlign w:val="bottom"/>
          </w:tcPr>
          <w:p>
            <w:pPr>
              <w:spacing w:after="0"/>
              <w:rPr>
                <w:sz w:val="17"/>
                <w:szCs w:val="17"/>
                <w:color w:val="auto"/>
              </w:rPr>
            </w:pP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20" w:type="dxa"/>
            <w:vAlign w:val="bottom"/>
          </w:tcPr>
          <w:p>
            <w:pPr>
              <w:spacing w:after="0"/>
              <w:rPr>
                <w:sz w:val="17"/>
                <w:szCs w:val="17"/>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5"/>
        </w:trPr>
        <w:tc>
          <w:tcPr>
            <w:tcW w:w="2940" w:type="dxa"/>
            <w:vAlign w:val="bottom"/>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(CHF)</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dates</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 (CHF)</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dates</w:t>
            </w:r>
          </w:p>
        </w:tc>
      </w:tr>
      <w:tr>
        <w:trPr>
          <w:trHeight w:val="19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January 1,</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5,163,946</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8.32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2028 - 2035</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4,687,054</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6.82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2028 - 2034</w:t>
            </w: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Options granted</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934,230</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21.38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973,931</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2035</w:t>
            </w:r>
          </w:p>
        </w:tc>
      </w:tr>
      <w:tr>
        <w:trPr>
          <w:trHeight w:val="203"/>
        </w:trPr>
        <w:tc>
          <w:tcPr>
            <w:tcW w:w="29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Forfeited</w:t>
            </w:r>
            <w:r>
              <w:rPr>
                <w:rFonts w:ascii="Times New Roman" w:cs="Times New Roman" w:eastAsia="Times New Roman" w:hAnsi="Times New Roman"/>
                <w:sz w:val="21"/>
                <w:szCs w:val="21"/>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(34,188)</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2033 - 2035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(278,821)</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2033 - 2034</w:t>
            </w:r>
          </w:p>
        </w:tc>
      </w:tr>
      <w:tr>
        <w:trPr>
          <w:trHeight w:val="203"/>
        </w:trPr>
        <w:tc>
          <w:tcPr>
            <w:tcW w:w="29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Exercised</w:t>
            </w:r>
            <w:r>
              <w:rPr>
                <w:rFonts w:ascii="Times New Roman" w:cs="Times New Roman" w:eastAsia="Times New Roman" w:hAnsi="Times New Roman"/>
                <w:sz w:val="21"/>
                <w:szCs w:val="21"/>
                <w:color w:val="auto"/>
                <w:vertAlign w:val="superscript"/>
              </w:rPr>
              <w:t>(1)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(51,250)</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9.50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2033 - 2034</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(164,363)</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36"/>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March 31,</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6,012,738</w:t>
            </w:r>
          </w:p>
        </w:tc>
        <w:tc>
          <w:tcPr>
            <w:tcW w:w="1500" w:type="dxa"/>
            <w:vAlign w:val="bottom"/>
            <w:tcBorders>
              <w:bottom w:val="single" w:sz="8" w:color="CFF0FC"/>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9.91</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2028 - 2036</w:t>
            </w:r>
          </w:p>
        </w:tc>
        <w:tc>
          <w:tcPr>
            <w:tcW w:w="1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5,217,801</w:t>
            </w:r>
          </w:p>
        </w:tc>
        <w:tc>
          <w:tcPr>
            <w:tcW w:w="1440" w:type="dxa"/>
            <w:vAlign w:val="bottom"/>
            <w:tcBorders>
              <w:bottom w:val="single" w:sz="8" w:color="CFF0FC"/>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8.76</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2028 - 2035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-24765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firstLine="8"/>
        <w:spacing w:after="0" w:line="219" w:lineRule="auto"/>
        <w:tabs>
          <w:tab w:leader="none" w:pos="154"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Forfeited amount includes earnout options forfeited during the three month periods ended March 31, 2026 and 2025. No SARs had been exercised or forfeited during the three months ended March 31, 2026 and 2025.</w:t>
      </w:r>
    </w:p>
    <w:p>
      <w:pPr>
        <w:spacing w:after="0" w:line="13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number of options and SARs that were exercisable at March 31, 2026 and 2025 were 3,085,736 and 1,989,163, respectively. Excluding earnout options, which have an exercise price of CHF 0.01, options outstanding as of March 31, 2026 have exercise prices ranging from CHF 1.54 to CHF 22.75. The weighted average remaining contractual life of options and SARs outstanding as of March 31, 2026 and December 31, 2025 was seven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8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Each RSU granted under the 2023 ESOP entitles the grantee to one ordinary share upon vesting of the RSU. The Company intends to settle all RSUs granted in equity. The fair value of RSUs is determined by the closing stock price on the date of grant and the related compensation cost is amortized over the vesting period of the award using the graded method. RSUs have time-based vesting conditions ranging from one to four years. The following is a summary of RSU activity for the three months ended March 31, 2026 and 2025:</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average grant</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Range of</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average grant</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Range of</w:t>
            </w:r>
          </w:p>
        </w:tc>
      </w:tr>
      <w:tr>
        <w:trPr>
          <w:trHeight w:val="202"/>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3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expiration</w:t>
            </w:r>
          </w:p>
        </w:tc>
        <w:tc>
          <w:tcPr>
            <w:tcW w:w="100" w:type="dxa"/>
            <w:vAlign w:val="bottom"/>
          </w:tcPr>
          <w:p>
            <w:pPr>
              <w:spacing w:after="0"/>
              <w:rPr>
                <w:sz w:val="17"/>
                <w:szCs w:val="17"/>
                <w:color w:val="auto"/>
              </w:rPr>
            </w:pPr>
          </w:p>
        </w:tc>
        <w:tc>
          <w:tcPr>
            <w:tcW w:w="13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(CHF)</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dates</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(CHF)</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dates</w:t>
            </w:r>
          </w:p>
        </w:tc>
      </w:tr>
      <w:tr>
        <w:trPr>
          <w:trHeight w:val="199"/>
        </w:trPr>
        <w:tc>
          <w:tcPr>
            <w:tcW w:w="20" w:type="dxa"/>
            <w:vAlign w:val="bottom"/>
          </w:tcPr>
          <w:p>
            <w:pPr>
              <w:spacing w:after="0"/>
              <w:rPr>
                <w:sz w:val="17"/>
                <w:szCs w:val="17"/>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January 1,</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1,007,636</w:t>
            </w:r>
          </w:p>
        </w:tc>
        <w:tc>
          <w:tcPr>
            <w:tcW w:w="1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13.93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2034 - 2035</w:t>
            </w:r>
          </w:p>
        </w:tc>
        <w:tc>
          <w:tcPr>
            <w:tcW w:w="1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467,478</w:t>
            </w:r>
          </w:p>
        </w:tc>
        <w:tc>
          <w:tcPr>
            <w:tcW w:w="1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9.81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2034</w:t>
            </w: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RSUs granted</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717,872</w:t>
            </w:r>
          </w:p>
        </w:tc>
        <w:tc>
          <w:tcPr>
            <w:tcW w:w="14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20.97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594,524</w:t>
            </w:r>
          </w:p>
        </w:tc>
        <w:tc>
          <w:tcPr>
            <w:tcW w:w="14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2035</w:t>
            </w:r>
          </w:p>
        </w:tc>
      </w:tr>
      <w:tr>
        <w:trPr>
          <w:trHeight w:val="203"/>
        </w:trPr>
        <w:tc>
          <w:tcPr>
            <w:tcW w:w="20" w:type="dxa"/>
            <w:vAlign w:val="bottom"/>
          </w:tcPr>
          <w:p>
            <w:pPr>
              <w:spacing w:after="0"/>
              <w:rPr>
                <w:sz w:val="17"/>
                <w:szCs w:val="17"/>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RSUs vested/released</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(206,015)</w:t>
            </w:r>
          </w:p>
        </w:tc>
        <w:tc>
          <w:tcPr>
            <w:tcW w:w="1460" w:type="dxa"/>
            <w:vAlign w:val="bottom"/>
            <w:tcBorders>
              <w:bottom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14.00</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2034 - 2035</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1460" w:type="dxa"/>
            <w:vAlign w:val="bottom"/>
            <w:tcBorders>
              <w:bottom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10.73</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w:t>
            </w: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as of March 31,</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1,519,493</w:t>
            </w:r>
          </w:p>
        </w:tc>
        <w:tc>
          <w:tcPr>
            <w:tcW w:w="14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16.72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2034 - 2036</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1,057,287</w:t>
            </w:r>
          </w:p>
        </w:tc>
        <w:tc>
          <w:tcPr>
            <w:tcW w:w="14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2034 - 2035</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-162560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-162560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 expense</w:t>
      </w:r>
    </w:p>
    <w:p>
      <w:pPr>
        <w:spacing w:after="0" w:line="1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total share-based compensation expense recognized in the statement of loss amounted to CHF 5.0 million for the three months ended March 31, 2026, including CHF 2.2 million recognized during the three months ended March 31, 2026 related to RSUs outstanding. Total share-based compensation recognized in the statement of loss was CHF 2.6 million for the three months ended March 31, 2025, including CHF 0.9 million recognized during the three months ended March 31, 2025 related to RSUs outstanding. The reserve for share-based payment increased from CHF 30.4 million as of December 31, 2025 to CHF 32.6 million as of March 31,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Earnout options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As a result of the Company’s 2023 business combination agreement with European Biotech Acquisition Corp (“</w:t>
      </w:r>
      <w:r>
        <w:rPr>
          <w:rFonts w:ascii="Times New Roman" w:cs="Times New Roman" w:eastAsia="Times New Roman" w:hAnsi="Times New Roman"/>
          <w:sz w:val="16"/>
          <w:szCs w:val="16"/>
          <w:i w:val="1"/>
          <w:iCs w:val="1"/>
          <w:color w:val="auto"/>
        </w:rPr>
        <w:t>BCA</w:t>
      </w:r>
      <w:r>
        <w:rPr>
          <w:rFonts w:ascii="Times New Roman" w:cs="Times New Roman" w:eastAsia="Times New Roman" w:hAnsi="Times New Roman"/>
          <w:sz w:val="16"/>
          <w:szCs w:val="16"/>
          <w:color w:val="auto"/>
        </w:rPr>
        <w:t>”), certain pre-BCA Oculis equity holders received consideration in the form of 3,793,995 earnout shares and 369,737 earnout options with an exercise price of CHF 0.01. Vesting of earnout shares and options was based on the achievement of post-acquisition-closing volume weighted average share price targets 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Oculis of $15.00, $20.00 and $25.00, in each case, for any 20 trading days within any consecutive 30 trading day period commencing after the acquisition closing date and ending on or prior to March 2, 2028. The price targets of $15.00, $20.00 and $25.00 were met in November 2024, February 2025 and February 2026, respectively, resulting in an aggregate of 3,793,995 earnout shares vesting and certain earnout options becoming exercisable. As of March 31, 2026, 215,986 earnout options were exercisable.</w:t>
      </w:r>
    </w:p>
    <w:p>
      <w:pPr>
        <w:spacing w:after="0" w:line="121"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AND CASH EQUIVALENTS, AND SHORT-TERM FINANCIAL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shows the breakdown of the cash and cash equivalents and short-term financial assets by currencies: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268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20" w:type="dxa"/>
            <w:vAlign w:val="bottom"/>
          </w:tcPr>
          <w:p>
            <w:pPr>
              <w:spacing w:after="0"/>
              <w:rPr>
                <w:sz w:val="17"/>
                <w:szCs w:val="17"/>
                <w:color w:val="auto"/>
              </w:rPr>
            </w:pPr>
          </w:p>
        </w:tc>
        <w:tc>
          <w:tcPr>
            <w:tcW w:w="268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Short-term financial assets</w:t>
            </w:r>
          </w:p>
        </w:tc>
      </w:tr>
      <w:tr>
        <w:trPr>
          <w:trHeight w:val="203"/>
        </w:trPr>
        <w:tc>
          <w:tcPr>
            <w:tcW w:w="576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As of December</w:t>
            </w:r>
          </w:p>
        </w:tc>
        <w:tc>
          <w:tcPr>
            <w:tcW w:w="1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8"/>
              </w:rPr>
              <w:t>As of March 31,</w:t>
            </w:r>
          </w:p>
        </w:tc>
        <w:tc>
          <w:tcPr>
            <w:tcW w:w="12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December</w:t>
            </w:r>
          </w:p>
        </w:tc>
      </w:tr>
      <w:tr>
        <w:trPr>
          <w:trHeight w:val="218"/>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by currency</w:t>
            </w:r>
          </w:p>
        </w:tc>
        <w:tc>
          <w:tcPr>
            <w:tcW w:w="13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31, 2025</w:t>
            </w:r>
          </w:p>
        </w:tc>
      </w:tr>
      <w:tr>
        <w:trPr>
          <w:trHeight w:val="19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Swiss Franc</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12,409</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45,716</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143,000</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126,000</w:t>
            </w:r>
          </w:p>
        </w:tc>
      </w:tr>
      <w:tr>
        <w:trPr>
          <w:trHeight w:val="20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US Dollar</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49,004</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33,766</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1,040</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1,031</w:t>
            </w:r>
          </w:p>
        </w:tc>
      </w:tr>
      <w:tr>
        <w:trPr>
          <w:trHeight w:val="20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Euro</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2,538</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539</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9,202</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4,653</w:t>
            </w:r>
          </w:p>
        </w:tc>
      </w:tr>
      <w:tr>
        <w:trPr>
          <w:trHeight w:val="20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Iceland Krona</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440</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4,228</w:t>
            </w:r>
          </w:p>
        </w:tc>
        <w:tc>
          <w:tcPr>
            <w:tcW w:w="1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64,564</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81,329</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157,470</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131,684</w:t>
            </w:r>
          </w:p>
        </w:tc>
      </w:tr>
      <w:tr>
        <w:trPr>
          <w:trHeight w:val="20"/>
        </w:trPr>
        <w:tc>
          <w:tcPr>
            <w:tcW w:w="57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-162560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-162560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-162560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Cash and cash equivalents consist primarily of cash balances held at commercial banks. Short-term financial assets consist of fixed term bank deposits with maturities between three and six months.</w:t>
      </w:r>
    </w:p>
    <w:p>
      <w:pPr>
        <w:spacing w:after="0" w:line="149"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WARRANT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outstanding warrant liabilities by warrant type as of March 31, 2026 and 2025: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0"/>
        </w:trPr>
        <w:tc>
          <w:tcPr>
            <w:tcW w:w="3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Amended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3"/>
        </w:trPr>
        <w:tc>
          <w:tcPr>
            <w:tcW w:w="3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BlackRock</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 Warrant</w:t>
            </w:r>
          </w:p>
        </w:tc>
        <w:tc>
          <w:tcPr>
            <w:tcW w:w="100" w:type="dxa"/>
            <w:vAlign w:val="bottom"/>
          </w:tcPr>
          <w:p>
            <w:pPr>
              <w:spacing w:after="0"/>
              <w:rPr>
                <w:sz w:val="17"/>
                <w:szCs w:val="17"/>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BCA</w:t>
            </w:r>
          </w:p>
        </w:tc>
        <w:tc>
          <w:tcPr>
            <w:tcW w:w="10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BlackRock</w:t>
            </w:r>
          </w:p>
        </w:tc>
        <w:tc>
          <w:tcPr>
            <w:tcW w:w="12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 Warrant</w:t>
            </w:r>
          </w:p>
        </w:tc>
      </w:tr>
      <w:tr>
        <w:trPr>
          <w:trHeight w:val="215"/>
        </w:trPr>
        <w:tc>
          <w:tcPr>
            <w:tcW w:w="3440" w:type="dxa"/>
            <w:vAlign w:val="bottom"/>
          </w:tcPr>
          <w:p>
            <w:pPr>
              <w:spacing w:after="0"/>
              <w:rPr>
                <w:sz w:val="18"/>
                <w:szCs w:val="18"/>
                <w:color w:val="auto"/>
              </w:rPr>
            </w:pPr>
          </w:p>
        </w:tc>
        <w:tc>
          <w:tcPr>
            <w:tcW w:w="1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BCA Warrants</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140" w:type="dxa"/>
            <w:vAlign w:val="bottom"/>
          </w:tcPr>
          <w:p>
            <w:pPr>
              <w:spacing w:after="0"/>
              <w:rPr>
                <w:sz w:val="18"/>
                <w:szCs w:val="18"/>
                <w:color w:val="auto"/>
              </w:rPr>
            </w:pPr>
          </w:p>
        </w:tc>
        <w:tc>
          <w:tcPr>
            <w:tcW w:w="11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99"/>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13,881</w:t>
            </w:r>
          </w:p>
        </w:tc>
        <w:tc>
          <w:tcPr>
            <w:tcW w:w="1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597</w:t>
            </w:r>
          </w:p>
        </w:tc>
        <w:tc>
          <w:tcPr>
            <w:tcW w:w="1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14,478</w:t>
            </w: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19,390</w:t>
            </w: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461</w:t>
            </w:r>
          </w:p>
        </w:tc>
        <w:tc>
          <w:tcPr>
            <w:tcW w:w="1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19,851</w:t>
            </w:r>
          </w:p>
        </w:tc>
      </w:tr>
      <w:tr>
        <w:trPr>
          <w:trHeight w:val="196"/>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 on warrant liability</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7,771</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212</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7,983</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11,867</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11,911</w:t>
            </w:r>
          </w:p>
        </w:tc>
      </w:tr>
      <w:tr>
        <w:trPr>
          <w:trHeight w:val="203"/>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public and private warrants</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(16,825)</w:t>
            </w: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(16,825)</w:t>
            </w:r>
          </w:p>
        </w:tc>
      </w:tr>
      <w:tr>
        <w:trPr>
          <w:trHeight w:val="196"/>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19,732</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809</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20,541</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14,432</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505</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14,937</w:t>
            </w:r>
          </w:p>
        </w:tc>
      </w:tr>
      <w:tr>
        <w:trPr>
          <w:trHeight w:val="20"/>
        </w:trPr>
        <w:tc>
          <w:tcPr>
            <w:tcW w:w="34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-427990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-427990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-427990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-427990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-427990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-162560</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-162560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-162560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-162560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-162560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BCA warrants represent public and private placement warrants assumed from European Biotech Acquisition Corp. as part of the BCA (“</w:t>
      </w:r>
      <w:r>
        <w:rPr>
          <w:rFonts w:ascii="Times New Roman" w:cs="Times New Roman" w:eastAsia="Times New Roman" w:hAnsi="Times New Roman"/>
          <w:sz w:val="16"/>
          <w:szCs w:val="16"/>
          <w:i w:val="1"/>
          <w:iCs w:val="1"/>
          <w:color w:val="auto"/>
        </w:rPr>
        <w:t>BCA Warrants</w:t>
      </w:r>
      <w:r>
        <w:rPr>
          <w:rFonts w:ascii="Times New Roman" w:cs="Times New Roman" w:eastAsia="Times New Roman" w:hAnsi="Times New Roman"/>
          <w:sz w:val="16"/>
          <w:szCs w:val="16"/>
          <w:color w:val="auto"/>
        </w:rPr>
        <w:t>”). The fair value of the public BCA Warrants, which are traded on Nasdaq, is based on the quoted Nasdaq market prices at the end of the reporting period for such warrants. Since the private placement BCA Warrants have identical terms to the public BCA Warrants, the Company determined that the fair value of each private placement BCA Warrant is equivalent to that of each public BCA Warrant. The public BCA Warrants are included in Level 1 and the private placement BCA Warrants in Level 2 of the fair value hierarchy. BCA Warrants are classified as short-term liabilities given that the Company cannot defer the settlement for at least 12 months.</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Company’s Amended BlackRock Warrant, described in Note 4, is classified as a liability because its exercise prices are fixed in USD, which is not the functional currency of the Company and therefore it does not meet the requirements to be classified as equity under IFRS. The fair value of the Amended BlackRock Warrant is determined using the Black-Scholes option-pricing model and is included in Level 3 of the fair value hierarchy.</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The following assumptions were used in the Black-Scholes option-pricing model for determining the fair value of the Amended BlackRock Warrant as of March 31, 2026 and 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23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price on valuation date</w:t>
            </w:r>
          </w:p>
        </w:tc>
        <w:tc>
          <w:tcPr>
            <w:tcW w:w="23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$26.59 (CHF 21.27)</w:t>
            </w:r>
          </w:p>
        </w:tc>
        <w:tc>
          <w:tcPr>
            <w:tcW w:w="2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$19.97 (CHF 15.83)</w:t>
            </w:r>
          </w:p>
        </w:tc>
      </w:tr>
      <w:tr>
        <w:trPr>
          <w:trHeight w:val="203"/>
        </w:trPr>
        <w:tc>
          <w:tcPr>
            <w:tcW w:w="68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Range of expected volatility (%)</w:t>
            </w:r>
            <w:r>
              <w:rPr>
                <w:rFonts w:ascii="Times New Roman" w:cs="Times New Roman" w:eastAsia="Times New Roman" w:hAnsi="Times New Roman"/>
                <w:sz w:val="21"/>
                <w:szCs w:val="21"/>
                <w:color w:val="auto"/>
                <w:vertAlign w:val="superscript"/>
              </w:rPr>
              <w:t>(1)</w:t>
            </w:r>
          </w:p>
        </w:tc>
        <w:tc>
          <w:tcPr>
            <w:tcW w:w="23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67.97 - 68.26</w:t>
            </w:r>
          </w:p>
        </w:tc>
        <w:tc>
          <w:tcPr>
            <w:tcW w:w="2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82.52 - 85.13</w:t>
            </w:r>
          </w:p>
        </w:tc>
      </w:tr>
      <w:tr>
        <w:trPr>
          <w:trHeight w:val="202"/>
        </w:trPr>
        <w:tc>
          <w:tcPr>
            <w:tcW w:w="68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Range of expected term (years)</w:t>
            </w:r>
            <w:r>
              <w:rPr>
                <w:rFonts w:ascii="Times New Roman" w:cs="Times New Roman" w:eastAsia="Times New Roman" w:hAnsi="Times New Roman"/>
                <w:sz w:val="21"/>
                <w:szCs w:val="21"/>
                <w:color w:val="auto"/>
                <w:vertAlign w:val="superscript"/>
              </w:rPr>
              <w:t>(2)</w:t>
            </w:r>
          </w:p>
        </w:tc>
        <w:tc>
          <w:tcPr>
            <w:tcW w:w="234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2.58 - 3.17</w:t>
            </w:r>
          </w:p>
        </w:tc>
        <w:tc>
          <w:tcPr>
            <w:tcW w:w="20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2.71 - 3.29</w:t>
            </w:r>
          </w:p>
        </w:tc>
      </w:tr>
      <w:tr>
        <w:trPr>
          <w:trHeight w:val="189"/>
        </w:trPr>
        <w:tc>
          <w:tcPr>
            <w:tcW w:w="68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Range of risk-free interest rate (%)</w:t>
            </w:r>
            <w:r>
              <w:rPr>
                <w:rFonts w:ascii="Times New Roman" w:cs="Times New Roman" w:eastAsia="Times New Roman" w:hAnsi="Times New Roman"/>
                <w:sz w:val="21"/>
                <w:szCs w:val="21"/>
                <w:color w:val="auto"/>
                <w:vertAlign w:val="superscript"/>
              </w:rPr>
              <w:t>(3)</w:t>
            </w:r>
          </w:p>
        </w:tc>
        <w:tc>
          <w:tcPr>
            <w:tcW w:w="23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3.80 - 3.82</w:t>
            </w:r>
          </w:p>
        </w:tc>
        <w:tc>
          <w:tcPr>
            <w:tcW w:w="2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3.53 - 3.58</w:t>
            </w: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 (%)</w:t>
            </w:r>
          </w:p>
        </w:tc>
        <w:tc>
          <w:tcPr>
            <w:tcW w:w="23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0.00</w:t>
            </w:r>
          </w:p>
        </w:tc>
        <w:tc>
          <w:tcPr>
            <w:tcW w:w="2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60" w:hanging="152"/>
        <w:spacing w:after="0" w:line="218" w:lineRule="auto"/>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expected volatility was derived from the historical stock volatilities of the Company, as well as comparable peer public companies within the Company’s industry.</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4" w:lineRule="auto"/>
        <w:tabs>
          <w:tab w:leader="none" w:pos="16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expected term represents the period that the Amended BlackRock Warrant is expected to be outstanding.</w:t>
      </w:r>
    </w:p>
    <w:p>
      <w:pPr>
        <w:ind w:left="160" w:hanging="152"/>
        <w:spacing w:after="0" w:line="217" w:lineRule="auto"/>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risk-free interest rate is based on the U.S. Treasury yield curve in effect at the measurement date with maturities approximately equal to the expected terms.</w:t>
      </w:r>
    </w:p>
    <w:p>
      <w:pPr>
        <w:spacing w:after="0" w:line="17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For the three months ended March 31, 2026 and 2025 the Company recognized fair value losses of CHF 8.0 million and CHF 11.9 million, respectively, which were directly attributable to the increasing market price of outstanding public warrants during the periods.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98" w:lineRule="auto"/>
        <w:rPr>
          <w:sz w:val="20"/>
          <w:szCs w:val="20"/>
          <w:color w:val="auto"/>
        </w:rPr>
      </w:pPr>
      <w:r>
        <w:rPr>
          <w:rFonts w:ascii="Times New Roman" w:cs="Times New Roman" w:eastAsia="Times New Roman" w:hAnsi="Times New Roman"/>
          <w:sz w:val="16"/>
          <w:szCs w:val="16"/>
          <w:color w:val="auto"/>
        </w:rPr>
        <w:t>In the event of exercise, warrant liabilities are reduced by the fair value on the date of exercise. The resulting fair value adjustment and cash received are recorded to share premium within the Statements of Changes in Equity. The movement of the warrant liability during the three months ended March 31, 2026 and 2025 is illustrated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ind w:right="199"/>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206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14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18"/>
                <w:szCs w:val="18"/>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warrants</w:t>
            </w: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warrants</w:t>
            </w:r>
          </w:p>
        </w:tc>
        <w:tc>
          <w:tcPr>
            <w:tcW w:w="0" w:type="dxa"/>
            <w:vAlign w:val="bottom"/>
          </w:tcPr>
          <w:p>
            <w:pPr>
              <w:spacing w:after="0"/>
              <w:rPr>
                <w:sz w:val="1"/>
                <w:szCs w:val="1"/>
                <w:color w:val="auto"/>
              </w:rPr>
            </w:pPr>
          </w:p>
        </w:tc>
      </w:tr>
      <w:tr>
        <w:trPr>
          <w:trHeight w:val="199"/>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14,478</w:t>
            </w:r>
          </w:p>
        </w:tc>
        <w:tc>
          <w:tcPr>
            <w:tcW w:w="6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2,104,906</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19,851</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4,018,384</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 on warrant liability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11,911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public and private warrants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(147,821)</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(16,825)</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(1,806,297)</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20,541</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1,957,085</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14,937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2,212,087</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  ACCRUED EXPENSES AND OTHER PAYABLES</w:t>
            </w: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4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table below shows the breakdown of the accrued expenses and other payables by category:</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4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2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0" w:type="dxa"/>
            <w:vAlign w:val="bottom"/>
          </w:tcPr>
          <w:p>
            <w:pPr>
              <w:spacing w:after="0"/>
              <w:rPr>
                <w:sz w:val="1"/>
                <w:szCs w:val="1"/>
                <w:color w:val="auto"/>
              </w:rPr>
            </w:pPr>
          </w:p>
        </w:tc>
      </w:tr>
      <w:tr>
        <w:trPr>
          <w:trHeight w:val="19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development related expenses</w:t>
            </w:r>
          </w:p>
        </w:tc>
        <w:tc>
          <w:tcPr>
            <w:tcW w:w="1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12,064</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13,156</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Personnel related expenses</w:t>
            </w: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3,400</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4,491</w:t>
            </w:r>
          </w:p>
        </w:tc>
        <w:tc>
          <w:tcPr>
            <w:tcW w:w="0" w:type="dxa"/>
            <w:vAlign w:val="bottom"/>
          </w:tcPr>
          <w:p>
            <w:pPr>
              <w:spacing w:after="0"/>
              <w:rPr>
                <w:sz w:val="1"/>
                <w:szCs w:val="1"/>
                <w:color w:val="auto"/>
              </w:rPr>
            </w:pPr>
          </w:p>
        </w:tc>
      </w:tr>
      <w:tr>
        <w:trPr>
          <w:trHeight w:val="20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administration related expenses</w:t>
            </w:r>
          </w:p>
        </w:tc>
        <w:tc>
          <w:tcPr>
            <w:tcW w:w="1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1,798</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w:t>
            </w:r>
          </w:p>
        </w:tc>
        <w:tc>
          <w:tcPr>
            <w:tcW w:w="16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36"/>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06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18,410</w:t>
            </w:r>
          </w:p>
        </w:tc>
        <w:tc>
          <w:tcPr>
            <w:tcW w:w="1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19,967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-1859280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-1859280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-1859280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-1593850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-1593850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color w:val="auto"/>
        </w:rPr>
        <w:t>The decrease in accrued personnel related expenses during the quarter was primarily related to the payout of bonus amounts accrued as of December 31, 2025. The decrease in product development-related accrued expenses as of March 31, 2026 relative to the prior year-end primarily reflects the timing of invoices and advancements of clinical trials.</w:t>
      </w:r>
    </w:p>
    <w:p>
      <w:pPr>
        <w:spacing w:after="0" w:line="200" w:lineRule="exact"/>
        <w:rPr>
          <w:sz w:val="20"/>
          <w:szCs w:val="20"/>
          <w:color w:val="auto"/>
        </w:rPr>
      </w:pPr>
    </w:p>
    <w:p>
      <w:pPr>
        <w:spacing w:after="0" w:line="318"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LOSS PER SHARE</w:t>
      </w:r>
    </w:p>
    <w:p>
      <w:pPr>
        <w:spacing w:after="0" w:line="183"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of March 31, 2026 the Company had 60,388,073 ordinary shares issued and outstanding with a share price of $26.59 or CHF 21.27. The following table sets forth the loss per share calculations for the three months ended March 31, 2026 compared to the three months ended March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364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15"/>
        </w:trPr>
        <w:tc>
          <w:tcPr>
            <w:tcW w:w="7600" w:type="dxa"/>
            <w:vAlign w:val="bottom"/>
          </w:tcPr>
          <w:p>
            <w:pPr>
              <w:spacing w:after="0"/>
              <w:rPr>
                <w:sz w:val="18"/>
                <w:szCs w:val="18"/>
                <w:color w:val="auto"/>
              </w:rPr>
            </w:pPr>
          </w:p>
        </w:tc>
        <w:tc>
          <w:tcPr>
            <w:tcW w:w="17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7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for the period attributable to Oculis shareholders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(28,852)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(33,213)</w:t>
            </w:r>
          </w:p>
        </w:tc>
        <w:tc>
          <w:tcPr>
            <w:tcW w:w="0" w:type="dxa"/>
            <w:vAlign w:val="bottom"/>
          </w:tcPr>
          <w:p>
            <w:pPr>
              <w:spacing w:after="0"/>
              <w:rPr>
                <w:sz w:val="1"/>
                <w:szCs w:val="1"/>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number of shares used to compute basic and diluted loss per share</w:t>
            </w: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58,905,280</w:t>
            </w:r>
          </w:p>
        </w:tc>
        <w:tc>
          <w:tcPr>
            <w:tcW w:w="19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48,263,134</w:t>
            </w:r>
          </w:p>
        </w:tc>
        <w:tc>
          <w:tcPr>
            <w:tcW w:w="0" w:type="dxa"/>
            <w:vAlign w:val="bottom"/>
          </w:tcPr>
          <w:p>
            <w:pPr>
              <w:spacing w:after="0"/>
              <w:rPr>
                <w:sz w:val="1"/>
                <w:szCs w:val="1"/>
                <w:color w:val="auto"/>
              </w:rPr>
            </w:pPr>
          </w:p>
        </w:tc>
      </w:tr>
      <w:tr>
        <w:trPr>
          <w:trHeight w:val="196"/>
        </w:trPr>
        <w:tc>
          <w:tcPr>
            <w:tcW w:w="76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loss per share for the period, in CHF</w:t>
            </w:r>
          </w:p>
        </w:tc>
        <w:tc>
          <w:tcPr>
            <w:tcW w:w="17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FF0FC"/>
              <w:bottom w:val="single" w:sz="8" w:color="CFF0FC"/>
            </w:tcBorders>
            <w:vMerge w:val="restart"/>
          </w:tcPr>
          <w:p>
            <w:pPr>
              <w:spacing w:after="0"/>
              <w:rPr>
                <w:sz w:val="17"/>
                <w:szCs w:val="17"/>
                <w:color w:val="auto"/>
              </w:rPr>
            </w:pPr>
          </w:p>
        </w:tc>
        <w:tc>
          <w:tcPr>
            <w:tcW w:w="17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(0.49)</w:t>
            </w:r>
          </w:p>
        </w:tc>
        <w:tc>
          <w:tcPr>
            <w:tcW w:w="140" w:type="dxa"/>
            <w:vAlign w:val="bottom"/>
            <w:vMerge w:val="continue"/>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(0.69)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-299720</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Since the Company has a loss for all periods presented, basic net loss per share is the same as diluted net loss per share. Potentially dilutive securities that were not included in the diluted loss per share calculations because they would be anti-dilutive were as follows:</w:t>
      </w:r>
    </w:p>
    <w:p>
      <w:pPr>
        <w:spacing w:after="0" w:line="149" w:lineRule="exact"/>
        <w:rPr>
          <w:sz w:val="20"/>
          <w:szCs w:val="20"/>
          <w:color w:val="auto"/>
        </w:rPr>
      </w:pPr>
    </w:p>
    <w:tbl>
      <w:tblPr>
        <w:tblLayout w:type="fixed"/>
        <w:tblInd w:w="7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5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00" w:type="dxa"/>
            <w:vAlign w:val="bottom"/>
          </w:tcPr>
          <w:p>
            <w:pPr>
              <w:spacing w:after="0"/>
              <w:rPr>
                <w:sz w:val="17"/>
                <w:szCs w:val="17"/>
                <w:color w:val="auto"/>
              </w:rPr>
            </w:pPr>
          </w:p>
        </w:tc>
        <w:tc>
          <w:tcPr>
            <w:tcW w:w="15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 of March 31,</w:t>
            </w:r>
          </w:p>
        </w:tc>
      </w:tr>
      <w:tr>
        <w:trPr>
          <w:trHeight w:val="215"/>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5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20" w:type="dxa"/>
            <w:vAlign w:val="bottom"/>
          </w:tcPr>
          <w:p>
            <w:pPr>
              <w:spacing w:after="0"/>
              <w:rPr>
                <w:sz w:val="17"/>
                <w:szCs w:val="17"/>
                <w:color w:val="auto"/>
              </w:rPr>
            </w:pPr>
          </w:p>
        </w:tc>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options issued and outstanding</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5,795,740</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4,989,191</w:t>
            </w: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Earnout options</w:t>
            </w: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216,998</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228,610</w:t>
            </w:r>
          </w:p>
        </w:tc>
      </w:tr>
      <w:tr>
        <w:trPr>
          <w:trHeight w:val="196"/>
        </w:trPr>
        <w:tc>
          <w:tcPr>
            <w:tcW w:w="20" w:type="dxa"/>
            <w:vAlign w:val="bottom"/>
          </w:tcPr>
          <w:p>
            <w:pPr>
              <w:spacing w:after="0"/>
              <w:rPr>
                <w:sz w:val="17"/>
                <w:szCs w:val="17"/>
                <w:color w:val="auto"/>
              </w:rPr>
            </w:pPr>
          </w:p>
        </w:tc>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and earnout options issued and outstanding</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6,012,738</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5,217,801</w:t>
            </w: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subject to future vesting</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1,519,493</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1,057,287</w:t>
            </w:r>
          </w:p>
        </w:tc>
      </w:tr>
      <w:tr>
        <w:trPr>
          <w:trHeight w:val="202"/>
        </w:trPr>
        <w:tc>
          <w:tcPr>
            <w:tcW w:w="20" w:type="dxa"/>
            <w:vAlign w:val="bottom"/>
          </w:tcPr>
          <w:p>
            <w:pPr>
              <w:spacing w:after="0"/>
              <w:rPr>
                <w:sz w:val="17"/>
                <w:szCs w:val="17"/>
                <w:color w:val="auto"/>
              </w:rPr>
            </w:pPr>
          </w:p>
        </w:tc>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Earnout shares</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948,549</w:t>
            </w: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1,746,076</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2,017,067</w:t>
            </w:r>
          </w:p>
        </w:tc>
      </w:tr>
      <w:tr>
        <w:trPr>
          <w:trHeight w:val="203"/>
        </w:trPr>
        <w:tc>
          <w:tcPr>
            <w:tcW w:w="20" w:type="dxa"/>
            <w:vAlign w:val="bottom"/>
          </w:tcPr>
          <w:p>
            <w:pPr>
              <w:spacing w:after="0"/>
              <w:rPr>
                <w:sz w:val="17"/>
                <w:szCs w:val="17"/>
                <w:color w:val="auto"/>
              </w:rPr>
            </w:pPr>
          </w:p>
        </w:tc>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warrants</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151,699</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151,699</w:t>
            </w: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Amended Blackrock Warrant</w:t>
            </w: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59,310</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43,321</w:t>
            </w:r>
          </w:p>
        </w:tc>
      </w:tr>
      <w:tr>
        <w:trPr>
          <w:trHeight w:val="236"/>
        </w:trPr>
        <w:tc>
          <w:tcPr>
            <w:tcW w:w="20" w:type="dxa"/>
            <w:vAlign w:val="bottom"/>
          </w:tcPr>
          <w:p>
            <w:pPr>
              <w:spacing w:after="0"/>
              <w:rPr>
                <w:sz w:val="20"/>
                <w:szCs w:val="20"/>
                <w:color w:val="auto"/>
              </w:rPr>
            </w:pPr>
          </w:p>
        </w:tc>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9,489,316</w:t>
            </w:r>
          </w:p>
        </w:tc>
        <w:tc>
          <w:tcPr>
            <w:tcW w:w="1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9,435,724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12.</w:t>
        <w:tab/>
        <w:t>RELATED PARTY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management, including the Board of Directors and the executive management team, compensation were: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6" w:name="page17"/>
    <w:bookmarkEnd w:id="16"/>
    <w:p>
      <w:pPr>
        <w:ind w:left="80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Salaries, cash compensation and other short-term benefits</w:t>
            </w: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1,534</w:t>
            </w:r>
          </w:p>
        </w:tc>
        <w:tc>
          <w:tcPr>
            <w:tcW w:w="19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1,755</w:t>
            </w:r>
          </w:p>
        </w:tc>
      </w:tr>
      <w:tr>
        <w:trPr>
          <w:trHeight w:val="203"/>
        </w:trPr>
        <w:tc>
          <w:tcPr>
            <w:tcW w:w="8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Pension</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9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105</w:t>
            </w:r>
          </w:p>
        </w:tc>
      </w:tr>
      <w:tr>
        <w:trPr>
          <w:trHeight w:val="203"/>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3,406</w:t>
            </w:r>
          </w:p>
        </w:tc>
        <w:tc>
          <w:tcPr>
            <w:tcW w:w="140" w:type="dxa"/>
            <w:vAlign w:val="bottom"/>
            <w:tcBorders>
              <w:bottom w:val="single" w:sz="8" w:color="CFF0FC"/>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1,522</w:t>
            </w:r>
          </w:p>
        </w:tc>
      </w:tr>
      <w:tr>
        <w:trPr>
          <w:trHeight w:val="196"/>
        </w:trPr>
        <w:tc>
          <w:tcPr>
            <w:tcW w:w="8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5,092</w:t>
            </w:r>
          </w:p>
        </w:tc>
        <w:tc>
          <w:tcPr>
            <w:tcW w:w="19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3,382</w:t>
            </w:r>
          </w:p>
        </w:tc>
      </w:tr>
      <w:tr>
        <w:trPr>
          <w:trHeight w:val="20"/>
        </w:trPr>
        <w:tc>
          <w:tcPr>
            <w:tcW w:w="7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-162560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Salaries, cash compensation and other short-term benefits include social security and board member fees.</w:t>
      </w:r>
    </w:p>
    <w:p>
      <w:pPr>
        <w:spacing w:after="0" w:line="2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number of key management individuals reported as receiving compensation in the table above increased from 9 to 10 for the three months ended March 31, 2026 as compared to the three months ended March 31, 2025. The number of individuals receiving compensation for service on the Board of Directors as reported in the table above was 4 for both periods presented.</w:t>
      </w:r>
    </w:p>
    <w:p>
      <w:pPr>
        <w:spacing w:after="0" w:line="121"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material subsequent events.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i w:val="1"/>
          <w:iCs w:val="1"/>
          <w:color w:val="auto"/>
        </w:rPr>
        <w:t>The Unaudited Condensed Consolidated Interim Financial Statements as of and for the three months ended March 31, 2026 are included as Exhibit 99.1 to this Report on Form 6-K submitted to the Securities and Exchange Commission (“SEC”). We also recommend that you read our discussion and analysis of financial condition and results of operations together with the audited financial statements and notes thereto for the year ended December 31, 2025 and the section entitled “Risk Factors” included in our Annual Report on Form 20-F for the year ended December 31, 2025 filed on March 4, 2026 and our subsequent filings with the SEC. The following discussion and analysis contain forward-looking statements within the meaning of Section 27A of the Securities Act of 1933, as amended (the “Securities Act”) and Section 21E of the Exchange Act, including, without limitation, statements regarding our expectations, beliefs, intentions or future strategies that are signified by the words “expect,” “anticipate,” “intend,” “believe,” or similar language. As discussed in the below section titled “Cautionary Note Regarding Forward Looking Statements,” all forward looking statements included in this discussion and analysis are based on information available to us on the date hereof, and we assume no obligation to update any such forward looking statements. The terms “Company,” “Oculis,” “we,” “our” or “us” as used herein refer to Oculis Holding AG and its consolidated subsidiaries unless otherwise stated or indicated by context.</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i w:val="1"/>
          <w:iCs w:val="1"/>
          <w:color w:val="auto"/>
        </w:rPr>
        <w:t>The Unaudited Condensed Consolidated Interim Financial Statements as of and for the three months ended March 31, 2026 were prepared in accordance with IFRS Accounting Standards (“IFRS”), specifically International Accounting Standard (“IAS”) 34, Interim Financial Reporting, as issued by the International Accounting Standards Board (“IASB”) and are presented in Swiss Francs (CHF) unless otherwise indicated. Amounts, aside from share data, are also presented in thousands unless otherwise indicated.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are a global late clinical-stage biopharmaceutical company focused on breakthrough innovations to address significant unmet medical needs in neuro-ophthalmology and ophthalmology, headquartered in Switzerland with operations in Switzerland, the U.S. and Iceland. Our highly differentiated late-stage clinical pipeline includes three core product candidates: OCS-01, an eye drop in pivotal registration studies, aiming to become the first non-invasive topical treatment for diabetic macular edema (</w:t>
      </w:r>
      <w:r>
        <w:rPr>
          <w:rFonts w:ascii="Times New Roman" w:cs="Times New Roman" w:eastAsia="Times New Roman" w:hAnsi="Times New Roman"/>
          <w:sz w:val="16"/>
          <w:szCs w:val="16"/>
          <w:i w:val="1"/>
          <w:iCs w:val="1"/>
          <w:color w:val="auto"/>
        </w:rPr>
        <w:t>“DME”</w:t>
      </w:r>
      <w:r>
        <w:rPr>
          <w:rFonts w:ascii="Times New Roman" w:cs="Times New Roman" w:eastAsia="Times New Roman" w:hAnsi="Times New Roman"/>
          <w:sz w:val="16"/>
          <w:szCs w:val="16"/>
          <w:color w:val="auto"/>
        </w:rPr>
        <w:t>); Licaminlimab, a novel, topical anti-TNFα in registrational trial, which is being developed with a genotype-based approach to drive precision medicine in dry eye disease (</w:t>
      </w:r>
      <w:r>
        <w:rPr>
          <w:rFonts w:ascii="Times New Roman" w:cs="Times New Roman" w:eastAsia="Times New Roman" w:hAnsi="Times New Roman"/>
          <w:sz w:val="16"/>
          <w:szCs w:val="16"/>
          <w:i w:val="1"/>
          <w:iCs w:val="1"/>
          <w:color w:val="auto"/>
        </w:rPr>
        <w:t>“DED”</w:t>
      </w:r>
      <w:r>
        <w:rPr>
          <w:rFonts w:ascii="Times New Roman" w:cs="Times New Roman" w:eastAsia="Times New Roman" w:hAnsi="Times New Roman"/>
          <w:sz w:val="16"/>
          <w:szCs w:val="16"/>
          <w:color w:val="auto"/>
        </w:rPr>
        <w:t>), and Privosegtor, a breakthrough neuroprotective candidate in the PIONEER program which consists of studies intended to support registration plans for treatment in optic neuropathies like optic neuritis (</w:t>
      </w:r>
      <w:r>
        <w:rPr>
          <w:rFonts w:ascii="Times New Roman" w:cs="Times New Roman" w:eastAsia="Times New Roman" w:hAnsi="Times New Roman"/>
          <w:sz w:val="16"/>
          <w:szCs w:val="16"/>
          <w:i w:val="1"/>
          <w:iCs w:val="1"/>
          <w:color w:val="auto"/>
        </w:rPr>
        <w:t>“ON”</w:t>
      </w:r>
      <w:r>
        <w:rPr>
          <w:rFonts w:ascii="Times New Roman" w:cs="Times New Roman" w:eastAsia="Times New Roman" w:hAnsi="Times New Roman"/>
          <w:sz w:val="16"/>
          <w:szCs w:val="16"/>
          <w:color w:val="auto"/>
        </w:rPr>
        <w:t>) and non-arteritic anterior ischemic optic neuropathy (</w:t>
      </w:r>
      <w:r>
        <w:rPr>
          <w:rFonts w:ascii="Times New Roman" w:cs="Times New Roman" w:eastAsia="Times New Roman" w:hAnsi="Times New Roman"/>
          <w:sz w:val="16"/>
          <w:szCs w:val="16"/>
          <w:i w:val="1"/>
          <w:iCs w:val="1"/>
          <w:color w:val="auto"/>
        </w:rPr>
        <w:t>“NAION”</w:t>
      </w:r>
      <w:r>
        <w:rPr>
          <w:rFonts w:ascii="Times New Roman" w:cs="Times New Roman" w:eastAsia="Times New Roman" w:hAnsi="Times New Roman"/>
          <w:sz w:val="16"/>
          <w:szCs w:val="16"/>
          <w:color w:val="auto"/>
        </w:rPr>
        <w:t>), with potentially broad clinical applications in various other neuro-ophthalmic and neurological diseases.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pipeline currently includes three clinical-stage therapeutic candidates: OCS-01, Licaminlimab (OCS-02) and Privosegtor (OCS-05). OCS-01 is an eye drop candidate which aims to be the first non-invasive topical treatment for DME. In April 2026, the last patient visits were completed in the two Phase 3 clinical trials for DME, with topline results expected in June 2026. Licaminlimab is a product candidate for the treatment of keratoconjunctivitis sicca, or DED, which we are advancing with a precision medicine approach. After a successful FDA meeting in the first quarter of 2025, we initiated the PREDICT-1 registrational Phase 2/3 trial with a genotype-based approach to investigate Licaminlimab in DED in the fourth quarter of 2025 for which topline results are expected around the end of 2026. Privosegtor is a neuroprotective candidate that has the potential to become a novel therapy for ON and NAION, with broad potential for other neuro-ophthalmic diseases, neurological diseases and beyond. Following a successful meeting with the FDA in the third quarter of 2025, we advanced Privosegtor into the PIONEER registrational program for ON and NAION. PIONEER-1 was initiated in the fourth quarter of 2025, with PIONEER-2 planned to follow later in the year. The third trial in the PIONEER program, PIONEER-3, will evaluate Privosegtor after the acute onset of NAION and is expected to follow after PIONEER-1 and -2. Privosegtor was granted PRIME (PRIority MEdicines) designation by the European Medicines Agency, a highly selective process to provide early and proactive support to developers of promising medicines that may offer a major therapeutic advantage over existing treatments or provide benefits to patients without treatment options. This follows the recent granting of Breakthrough Therapy designation for Privosegtor for the treatment of ON by the FDA, reinforcing global regulatory support for this unique neuroprotective asset.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OCS-01 is an innovative high concentration eye drop candidate to treat DME. Following the positive Phase 3 DIAMOND Stage 1 trial outcome, we advanced the OCS-01 DME DIAMOND program into Stage 2, which includes two global pivotal Phase 3 clinical trials, DIAMOND-1 and DIAMOND-2, for the treatment of DME. The last patient visit was completed in the DIAMOND program during April 2026. The topline results from the DIAMOND trials are expected in June 2026. If the results are positive, we plan to submit a new drug application (“NDA”) to the FDA for OCS-01 for the treatment of DME in the fourth quarter of 2026.</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Privosegtor is a novel small molecule peptoid that penetrates blood-brain and retinal barriers and was selected by high-throughput screening for neurotrophic and neuroprotective properties. Following a successful meeting with the FDA in the third quarter of 2025, we advanced Privosegtor into the PIONEER registrational program for ON and NAION. PIONEER-1 was initiated in the fourth quarter of 2025, with PIONEER-2 planned to follow later in the year. The third trial in the PIONEER program, PIONEER-3, will evaluate Privosegtor after the acute onset of NAION and is expected to follow after PIONEER-1 and -2. Privosegtor was granted PRIME (PRIority MEdicines) designation by the European Medicines Agency, a highly selective process to provide early and proactive support to developers of promising medicines that may offer a major therapeutic advantage over existing treatments or provide benefits to patients without treatment options. This follows the recent granting of Breakthrough Therapy designation for Privosegtor for the treatment of ON by the FDA, reinforcing global regulatory support for this unique neuroprotective asset. In May 2026, we received written agreement from the FDA under a Special Protocol Assessment (SPA) regarding PIONEER-1 to confirm that the design and planned analysis of the PIONEER-1 study are adequate to address the objectives necessary to support a future NDA submission, subject to a successful trial outcome and FDA review of the complete submission.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have not generated any revenue from product sales since our inception and do not expect to generate any revenue from the sale of products in the near future. If our development efforts for our product candidates are successful and result in regulatory approval or if we enter into collaboration or licensing agreements with third parties, we may generate revenue in the future from a combination of product sales and payments from such collaboration or licensing agreements. However, there can be no assurance as to when we will generate such revenue,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i w:val="1"/>
          <w:iCs w:val="1"/>
          <w:color w:val="auto"/>
        </w:rPr>
        <w:t>Grant income</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Grant income reflects reimbursement of research and development expenses and income from certain research projects managed by Icelandic governmental institutions. We maintain a subsidiary in Iceland that provides research and development for our product candidates. Certain expenses qualify for incentives from the Icelandic government in the form of tax credits or cash reimbursements. We do not anticipate generating significant grant income in the near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Research and development expenses consist primarily of costs incurred in connection with the research and development of our product candidates and programs. We expense research and development costs and the cost of acquired intangible assets used in research and development activities as incurred. Research and development expenditures are capitalized only if they meet the recognition criteria of IAS 38 (“</w:t>
      </w:r>
      <w:r>
        <w:rPr>
          <w:rFonts w:ascii="Times New Roman" w:cs="Times New Roman" w:eastAsia="Times New Roman" w:hAnsi="Times New Roman"/>
          <w:sz w:val="16"/>
          <w:szCs w:val="16"/>
          <w:i w:val="1"/>
          <w:iCs w:val="1"/>
          <w:color w:val="auto"/>
        </w:rPr>
        <w:t>Intangible Assets</w:t>
      </w:r>
      <w:r>
        <w:rPr>
          <w:rFonts w:ascii="Times New Roman" w:cs="Times New Roman" w:eastAsia="Times New Roman" w:hAnsi="Times New Roman"/>
          <w:sz w:val="16"/>
          <w:szCs w:val="16"/>
          <w:color w:val="auto"/>
        </w:rPr>
        <w:t>”). Capitalization does not result in amortization until the related product is approved for commercialization, where a finite useful economic life can be more reliably determined. To date, all capitalized research and development intangible assets remain unamortized.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include:</w:t>
      </w:r>
    </w:p>
    <w:p>
      <w:pPr>
        <w:spacing w:after="0" w:line="140" w:lineRule="exact"/>
        <w:rPr>
          <w:sz w:val="20"/>
          <w:szCs w:val="20"/>
          <w:color w:val="auto"/>
        </w:rPr>
      </w:pPr>
    </w:p>
    <w:p>
      <w:pPr>
        <w:ind w:left="1020" w:hanging="503"/>
        <w:spacing w:after="0" w:line="26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personnel-related expenses, including salaries, related benefits and equity-based compensation expense, for employees and third-party consultants engaged in research and development functions;</w:t>
      </w:r>
    </w:p>
    <w:p>
      <w:pPr>
        <w:spacing w:after="0" w:line="89"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expenses incurred in connection with the preclinical and clinical development of our product candidates and programs, including under agreements with clinical research organizations (“</w:t>
      </w:r>
      <w:r>
        <w:rPr>
          <w:rFonts w:ascii="Times New Roman" w:cs="Times New Roman" w:eastAsia="Times New Roman" w:hAnsi="Times New Roman"/>
          <w:sz w:val="16"/>
          <w:szCs w:val="16"/>
          <w:i w:val="1"/>
          <w:iCs w:val="1"/>
          <w:color w:val="auto"/>
        </w:rPr>
        <w:t>CROs</w:t>
      </w:r>
      <w:r>
        <w:rPr>
          <w:rFonts w:ascii="Times New Roman" w:cs="Times New Roman" w:eastAsia="Times New Roman" w:hAnsi="Times New Roman"/>
          <w:sz w:val="16"/>
          <w:szCs w:val="16"/>
          <w:color w:val="auto"/>
        </w:rPr>
        <w:t>”), as well as clinical trial investigative sites and consultants that conduct our clinical trials;</w:t>
      </w:r>
    </w:p>
    <w:p>
      <w:pPr>
        <w:spacing w:after="0" w:line="89" w:lineRule="exact"/>
        <w:rPr>
          <w:rFonts w:ascii="Times New Roman" w:cs="Times New Roman" w:eastAsia="Times New Roman" w:hAnsi="Times New Roman"/>
          <w:sz w:val="18"/>
          <w:szCs w:val="18"/>
          <w:color w:val="auto"/>
        </w:rPr>
      </w:pPr>
    </w:p>
    <w:p>
      <w:pPr>
        <w:jc w:val="both"/>
        <w:ind w:left="1020" w:hanging="503"/>
        <w:spacing w:after="0" w:line="26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costs related to contract manufacturing organizations that are primarily engaged to provide drug substance and product for our clinical trials, research and development programs, as well as costs of acquiring and manufacturing non-clinical and clinical trial materials, including manufacturing registration and validation batches;</w:t>
      </w:r>
    </w:p>
    <w:p>
      <w:pPr>
        <w:spacing w:after="0" w:line="9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costs related to non-clinical studies and other scientific development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costs related to formulation research, intellectual property expenses, facilities, overhead, depreciation and amortization of laboratory equipment and other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three months ended March 31, 2026 and 2025, no research and development costs were capitalized by the Company.</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ongoing and planned clinical development activities in the near term and in the future. At this time, we cannot accurately estimate or know the nature, timing and costs of the efforts that will be necessary to complete the clinical development of any current or future product candidates.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2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General and administrative expenses consist primarily of internal and external costs related to executive management, finance and accounting functions, legal, business development, corporate insurance, corporate and investor communications, pre-commercial and other administrative functions and operating costs.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Finance income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Finance income (expense) consists primarily of interest income on fixed term deposits.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adjustment on warrant liabilities</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Fair value adjustment on warrant liabilities reflects the changes in fair value of the Company’s warrant instruments. The fair value is dependent on the change in the underlying market price of the public and private placement warrants, the change in the Black-Scholes fair value of the warrant issued to Kreos Capital VII Aggregator SCSp (the “</w:t>
      </w:r>
      <w:r>
        <w:rPr>
          <w:rFonts w:ascii="Times New Roman" w:cs="Times New Roman" w:eastAsia="Times New Roman" w:hAnsi="Times New Roman"/>
          <w:sz w:val="16"/>
          <w:szCs w:val="16"/>
          <w:i w:val="1"/>
          <w:iCs w:val="1"/>
          <w:color w:val="auto"/>
        </w:rPr>
        <w:t>Amended BlackRock Warrant</w:t>
      </w:r>
      <w:r>
        <w:rPr>
          <w:rFonts w:ascii="Times New Roman" w:cs="Times New Roman" w:eastAsia="Times New Roman" w:hAnsi="Times New Roman"/>
          <w:sz w:val="16"/>
          <w:szCs w:val="16"/>
          <w:color w:val="auto"/>
        </w:rPr>
        <w:t>”), and the number of outstanding warrants at the reporting date. The fair value of the public and private placement warrants is, in general, directly correlated with the market price of our warrants. Assuming the number of outstanding warrants remains constant, we would expect a fair value loss due to an increase in the market price of the warrants, and a fair value gain due to a decrease in the market price of the warrants. The fair value of the Amended BlackRock Warrant is dependent on the change in the Black-Scholes fair value and the number of outstanding warrants at the reporting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exchange gain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 exchange gains and losses consist of currency exchange differences that arise from transactions denominated in currencies other than Swiss Francs.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i w:val="1"/>
          <w:iCs w:val="1"/>
          <w:color w:val="auto"/>
        </w:rPr>
        <w:t>Income tax benefit (expense)</w:t>
      </w:r>
    </w:p>
    <w:p>
      <w:pPr>
        <w:spacing w:after="0" w:line="223"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We are subject to corporate Swiss federal, cantonal and communal taxation, respectively, in Switzerland, Canton of Zug, and Commune of Zug, as well as in the Canton of Vaud and Commune of Lausanne. We are also subject to taxation in other jurisdictions in which we operate, in particular the United States, France, Hong Kong and Iceland where our wholly owned subsidiaries are incorporated.</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We are entitled under Swiss laws to carry forward any losses incurred for a period of seven years and can offset our losses carried forward against future taxes owed. As of December 31, 2025, we had tax loss carry-forwards totaling CHF 106.9 million. There is no certainty that we will make sufficient profits to be able to utilize tax loss carry-forwards in full and no deferred tax assets have been recognized in the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Operating Results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March 31, 2026 and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gridSpan w:val="3"/>
          </w:tcPr>
          <w:p>
            <w:pPr>
              <w:jc w:val="right"/>
              <w:ind w:right="23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periods presented:</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20" w:type="dxa"/>
            <w:vAlign w:val="bottom"/>
          </w:tcPr>
          <w:p>
            <w:pPr>
              <w:spacing w:after="0"/>
              <w:rPr>
                <w:sz w:val="24"/>
                <w:szCs w:val="24"/>
                <w:color w:val="auto"/>
              </w:rPr>
            </w:pPr>
          </w:p>
        </w:tc>
        <w:tc>
          <w:tcPr>
            <w:tcW w:w="16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4"/>
                <w:szCs w:val="24"/>
                <w:color w:val="auto"/>
              </w:rPr>
            </w:pPr>
          </w:p>
        </w:tc>
        <w:tc>
          <w:tcPr>
            <w:tcW w:w="182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17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725</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(21,937)</w:t>
            </w:r>
          </w:p>
        </w:tc>
        <w:tc>
          <w:tcPr>
            <w:tcW w:w="1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(20,259)</w:t>
            </w:r>
          </w:p>
        </w:tc>
        <w:tc>
          <w:tcPr>
            <w:tcW w:w="1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(1,678)</w:t>
            </w:r>
          </w:p>
        </w:tc>
        <w:tc>
          <w:tcPr>
            <w:tcW w:w="1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(21,728)</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(19,974)</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(1,754)</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on warrant liabilities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7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3,928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result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(7,222)</w:t>
            </w:r>
          </w:p>
        </w:tc>
        <w:tc>
          <w:tcPr>
            <w:tcW w:w="1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(13,232)</w:t>
            </w:r>
          </w:p>
        </w:tc>
        <w:tc>
          <w:tcPr>
            <w:tcW w:w="1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6,010</w:t>
            </w:r>
          </w:p>
        </w:tc>
        <w:tc>
          <w:tcPr>
            <w:tcW w:w="1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 for the period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(28,950)</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(33,206)</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4,256</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0"/>
        </w:trPr>
        <w:tc>
          <w:tcPr>
            <w:tcW w:w="4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(28,852)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(33,213)</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4,361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-1885315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-1885315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-1885315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-1310640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-1310640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-1310640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-462280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-462280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-462280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-170815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Grant income</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Grant income for the three months ended March 31, 2026 and 2025 was CHF 0.2 million and CHF 0.3 million, respectively. The grant income is dependent upon the Icelandic government making such reimbursement available for qualified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00" w:type="dxa"/>
            <w:vAlign w:val="bottom"/>
          </w:tcPr>
          <w:p>
            <w:pPr>
              <w:spacing w:after="0"/>
              <w:rPr>
                <w:sz w:val="24"/>
                <w:szCs w:val="24"/>
                <w:color w:val="auto"/>
              </w:rPr>
            </w:pPr>
          </w:p>
        </w:tc>
        <w:tc>
          <w:tcPr>
            <w:tcW w:w="16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4"/>
                <w:szCs w:val="24"/>
                <w:color w:val="auto"/>
              </w:rPr>
            </w:pPr>
          </w:p>
        </w:tc>
        <w:tc>
          <w:tcPr>
            <w:tcW w:w="184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040" w:type="dxa"/>
            <w:vAlign w:val="bottom"/>
            <w:gridSpan w:val="2"/>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Personnel expenses</w:t>
            </w: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5,379</w:t>
            </w:r>
          </w:p>
        </w:tc>
        <w:tc>
          <w:tcPr>
            <w:tcW w:w="1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4,349</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1,030</w:t>
            </w:r>
          </w:p>
        </w:tc>
        <w:tc>
          <w:tcPr>
            <w:tcW w:w="10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2,706</w:t>
            </w:r>
          </w:p>
        </w:tc>
        <w:tc>
          <w:tcPr>
            <w:tcW w:w="1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2,448</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1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8,667</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10,422</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(1,755)</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9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8,142</w:t>
            </w:r>
          </w:p>
        </w:tc>
        <w:tc>
          <w:tcPr>
            <w:tcW w:w="1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10,187</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435</w:t>
            </w:r>
          </w:p>
        </w:tc>
        <w:tc>
          <w:tcPr>
            <w:tcW w:w="1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5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14,046</w:t>
            </w:r>
          </w:p>
        </w:tc>
        <w:tc>
          <w:tcPr>
            <w:tcW w:w="10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14,771</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-1019175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-1019175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-1019175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-736600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-736600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-736600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 xml:space="preserve">Research and development expense was CHF 14.0 million for the three months ended March 31, 2026, compared to CHF 14.8 million for the three months ended March 31, 2025. The decrease of CHF 0.7 million, or 5%, was primarily due to a CHF 2.0 million decrease in external service providers </w:t>
      </w:r>
      <w:r>
        <w:rPr>
          <w:rFonts w:ascii="Times New Roman" w:cs="Times New Roman" w:eastAsia="Times New Roman" w:hAnsi="Times New Roman"/>
          <w:sz w:val="16"/>
          <w:szCs w:val="16"/>
          <w:color w:val="2B333D"/>
        </w:rPr>
        <w:t>driven by the DIAMOND-1 and DIAMOND-2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B333D"/>
        </w:rPr>
        <w:t>trials of OCS-01 in DME, which are expected to readout during the second quarter of 2026</w:t>
      </w:r>
      <w:r>
        <w:rPr>
          <w:rFonts w:ascii="Times New Roman" w:cs="Times New Roman" w:eastAsia="Times New Roman" w:hAnsi="Times New Roman"/>
          <w:sz w:val="16"/>
          <w:szCs w:val="16"/>
          <w:color w:val="000000"/>
        </w:rPr>
        <w:t>. This decrease was offset by increased personnel costs primarily due to share-based compensation expense resulting from new equity grants and increased grant value for awards granted in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represents the breakdown of research and development expenses by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20" w:name="page21"/>
    <w:bookmarkEnd w:id="20"/>
    <w:tbl>
      <w:tblPr>
        <w:tblLayout w:type="fixed"/>
        <w:tblInd w:w="18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60" w:type="dxa"/>
            <w:vAlign w:val="bottom"/>
          </w:tcPr>
          <w:p>
            <w:pPr>
              <w:spacing w:after="0"/>
              <w:rPr>
                <w:sz w:val="20"/>
                <w:szCs w:val="20"/>
                <w:color w:val="auto"/>
              </w:rPr>
            </w:pPr>
          </w:p>
        </w:tc>
        <w:tc>
          <w:tcPr>
            <w:tcW w:w="16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0"/>
                <w:szCs w:val="20"/>
                <w:color w:val="auto"/>
              </w:rPr>
            </w:pPr>
          </w:p>
        </w:tc>
        <w:tc>
          <w:tcPr>
            <w:tcW w:w="16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OCS-01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Privosegtor (OCS-05)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Licaminlimab (OCS-02)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development projects</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14,046</w:t>
            </w:r>
          </w:p>
        </w:tc>
        <w:tc>
          <w:tcPr>
            <w:tcW w:w="1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14,771</w:t>
            </w:r>
          </w:p>
        </w:tc>
        <w:tc>
          <w:tcPr>
            <w:tcW w:w="1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14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-25400</wp:posOffset>
            </wp:positionV>
            <wp:extent cx="939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93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939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93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 xml:space="preserve">During the three months ended March 31, 2026 and 2025, the decrease in research and development expenses </w:t>
      </w:r>
      <w:r>
        <w:rPr>
          <w:rFonts w:ascii="Times New Roman" w:cs="Times New Roman" w:eastAsia="Times New Roman" w:hAnsi="Times New Roman"/>
          <w:sz w:val="16"/>
          <w:szCs w:val="16"/>
          <w:color w:val="2B333D"/>
        </w:rPr>
        <w:t>was primarily due to a decrease in external service provider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B333D"/>
        </w:rPr>
        <w:t>expense driven by the impending conclusion of the DIAMOND-1 and DIAMOND-2 trials in DME, with topline results expected in June 2026.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060" w:type="dxa"/>
            <w:vAlign w:val="bottom"/>
          </w:tcPr>
          <w:p>
            <w:pPr>
              <w:spacing w:after="0"/>
              <w:rPr>
                <w:sz w:val="24"/>
                <w:szCs w:val="24"/>
                <w:color w:val="auto"/>
              </w:rPr>
            </w:pPr>
          </w:p>
        </w:tc>
        <w:tc>
          <w:tcPr>
            <w:tcW w:w="34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00" w:type="dxa"/>
            <w:vAlign w:val="bottom"/>
          </w:tcPr>
          <w:p>
            <w:pPr>
              <w:spacing w:after="0"/>
              <w:rPr>
                <w:sz w:val="24"/>
                <w:szCs w:val="24"/>
                <w:color w:val="auto"/>
              </w:rPr>
            </w:pPr>
          </w:p>
        </w:tc>
        <w:tc>
          <w:tcPr>
            <w:tcW w:w="17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4"/>
                <w:szCs w:val="24"/>
                <w:color w:val="auto"/>
              </w:rPr>
            </w:pPr>
          </w:p>
        </w:tc>
        <w:tc>
          <w:tcPr>
            <w:tcW w:w="18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Personnel expenses</w:t>
            </w: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4,652</w:t>
            </w:r>
          </w:p>
        </w:tc>
        <w:tc>
          <w:tcPr>
            <w:tcW w:w="1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2,857</w:t>
            </w:r>
          </w:p>
        </w:tc>
        <w:tc>
          <w:tcPr>
            <w:tcW w:w="10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1,795</w:t>
            </w:r>
          </w:p>
        </w:tc>
        <w:tc>
          <w:tcPr>
            <w:tcW w:w="1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0" w:type="dxa"/>
            <w:vAlign w:val="bottom"/>
          </w:tcPr>
          <w:p>
            <w:pPr>
              <w:spacing w:after="0"/>
              <w:rPr>
                <w:sz w:val="1"/>
                <w:szCs w:val="1"/>
                <w:color w:val="auto"/>
              </w:rPr>
            </w:pPr>
          </w:p>
        </w:tc>
      </w:tr>
      <w:tr>
        <w:trPr>
          <w:trHeight w:val="209"/>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2,324</w:t>
            </w: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2,128</w:t>
            </w: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2,328</w:t>
            </w:r>
          </w:p>
        </w:tc>
        <w:tc>
          <w:tcPr>
            <w:tcW w:w="1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3,239</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2,631</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608</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9"/>
        </w:trPr>
        <w:tc>
          <w:tcPr>
            <w:tcW w:w="5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2,530</w:t>
            </w:r>
          </w:p>
        </w:tc>
        <w:tc>
          <w:tcPr>
            <w:tcW w:w="1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2,068</w:t>
            </w:r>
          </w:p>
        </w:tc>
        <w:tc>
          <w:tcPr>
            <w:tcW w:w="1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expense</w:t>
            </w: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7,891</w:t>
            </w:r>
          </w:p>
        </w:tc>
        <w:tc>
          <w:tcPr>
            <w:tcW w:w="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5,488</w:t>
            </w:r>
          </w:p>
        </w:tc>
        <w:tc>
          <w:tcPr>
            <w:tcW w:w="10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2,403</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-1019175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-1019175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-1019175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-736600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-736600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-736600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General and administrative expenses were CHF 7.9 million for the three months ended March 31, 2026, compared to CHF 5.5 million for the three months ended March 31, 2025. The increase of CHF 2.4 million, or 44%, was primarily driven by an increase in share-based compensation expense due to new equity grants and increased grant value for equity awards granted in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Finance income and Finance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4020" w:type="dxa"/>
            <w:vAlign w:val="bottom"/>
          </w:tcPr>
          <w:p>
            <w:pPr>
              <w:spacing w:after="0"/>
              <w:rPr>
                <w:sz w:val="24"/>
                <w:szCs w:val="24"/>
                <w:color w:val="auto"/>
              </w:rPr>
            </w:pPr>
          </w:p>
        </w:tc>
        <w:tc>
          <w:tcPr>
            <w:tcW w:w="34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20" w:type="dxa"/>
            <w:vAlign w:val="bottom"/>
          </w:tcPr>
          <w:p>
            <w:pPr>
              <w:spacing w:after="0"/>
              <w:rPr>
                <w:sz w:val="24"/>
                <w:szCs w:val="24"/>
                <w:color w:val="auto"/>
              </w:rPr>
            </w:pPr>
          </w:p>
        </w:tc>
        <w:tc>
          <w:tcPr>
            <w:tcW w:w="16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4"/>
                <w:szCs w:val="24"/>
                <w:color w:val="auto"/>
              </w:rPr>
            </w:pPr>
          </w:p>
        </w:tc>
        <w:tc>
          <w:tcPr>
            <w:tcW w:w="18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96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8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10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246</w:t>
            </w:r>
          </w:p>
        </w:tc>
        <w:tc>
          <w:tcPr>
            <w:tcW w:w="12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realized net finance income of CHF 0.2 million for the three months ended March 31, 2026 and 2025, which is primarily comprised of interest income from our short-term bank deposits, offset by amortization of prior period financing transaction costs.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gridSpan w:val="3"/>
          </w:tcPr>
          <w:p>
            <w:pPr>
              <w:jc w:val="right"/>
              <w:ind w:right="2110"/>
              <w:spacing w:after="0"/>
              <w:rPr>
                <w:sz w:val="20"/>
                <w:szCs w:val="20"/>
                <w:color w:val="auto"/>
              </w:rPr>
            </w:pPr>
            <w:r>
              <w:rPr>
                <w:rFonts w:ascii="Times New Roman" w:cs="Times New Roman" w:eastAsia="Times New Roman" w:hAnsi="Times New Roman"/>
                <w:sz w:val="16"/>
                <w:szCs w:val="16"/>
                <w:i w:val="1"/>
                <w:iCs w:val="1"/>
                <w:color w:val="auto"/>
              </w:rPr>
              <w:t>Fair value adjustment on warrant liabilities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20" w:type="dxa"/>
            <w:vAlign w:val="bottom"/>
          </w:tcPr>
          <w:p>
            <w:pPr>
              <w:spacing w:after="0"/>
              <w:rPr>
                <w:sz w:val="24"/>
                <w:szCs w:val="24"/>
                <w:color w:val="auto"/>
              </w:rPr>
            </w:pPr>
          </w:p>
        </w:tc>
        <w:tc>
          <w:tcPr>
            <w:tcW w:w="16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4"/>
                <w:szCs w:val="24"/>
                <w:color w:val="auto"/>
              </w:rPr>
            </w:pPr>
          </w:p>
        </w:tc>
        <w:tc>
          <w:tcPr>
            <w:tcW w:w="18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040" w:type="dxa"/>
            <w:vAlign w:val="bottom"/>
            <w:gridSpan w:val="2"/>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3960" w:type="dxa"/>
            <w:vAlign w:val="bottom"/>
            <w:tcBorders>
              <w:bottom w:val="single" w:sz="8" w:color="CFF0FC"/>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98"/>
              </w:rPr>
              <w:t>Fair value adjustment on warrant liabilities</w:t>
            </w:r>
          </w:p>
        </w:tc>
        <w:tc>
          <w:tcPr>
            <w:tcW w:w="10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2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2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3,928</w:t>
            </w:r>
          </w:p>
        </w:tc>
        <w:tc>
          <w:tcPr>
            <w:tcW w:w="12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realized fair value losses on warrant liabilities of CHF 8.0 million and CHF 11.9 million for the three months ended March 31, 2026 and 2025, respectively, primarily due to increases in the market price of the public warrants during the periods presented. The public and private placement warrants were assumed from European Biotech Acquisition Corp. as part of the 2023 business combination agreement (“</w:t>
      </w:r>
      <w:r>
        <w:rPr>
          <w:rFonts w:ascii="Times New Roman" w:cs="Times New Roman" w:eastAsia="Times New Roman" w:hAnsi="Times New Roman"/>
          <w:sz w:val="16"/>
          <w:szCs w:val="16"/>
          <w:i w:val="1"/>
          <w:iCs w:val="1"/>
          <w:color w:val="auto"/>
        </w:rPr>
        <w:t>BCA Warrants</w:t>
      </w:r>
      <w:r>
        <w:rPr>
          <w:rFonts w:ascii="Times New Roman" w:cs="Times New Roman" w:eastAsia="Times New Roman" w:hAnsi="Times New Roman"/>
          <w:sz w:val="16"/>
          <w:szCs w:val="16"/>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Foreign currency exchange gain (loss)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4040" w:type="dxa"/>
            <w:vAlign w:val="bottom"/>
          </w:tcPr>
          <w:p>
            <w:pPr>
              <w:spacing w:after="0"/>
              <w:rPr>
                <w:sz w:val="24"/>
                <w:szCs w:val="24"/>
                <w:color w:val="auto"/>
              </w:rPr>
            </w:pPr>
          </w:p>
        </w:tc>
        <w:tc>
          <w:tcPr>
            <w:tcW w:w="34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00" w:type="dxa"/>
            <w:vAlign w:val="bottom"/>
          </w:tcPr>
          <w:p>
            <w:pPr>
              <w:spacing w:after="0"/>
              <w:rPr>
                <w:sz w:val="24"/>
                <w:szCs w:val="24"/>
                <w:color w:val="auto"/>
              </w:rPr>
            </w:pPr>
          </w:p>
        </w:tc>
        <w:tc>
          <w:tcPr>
            <w:tcW w:w="16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4"/>
                <w:szCs w:val="24"/>
                <w:color w:val="auto"/>
              </w:rPr>
            </w:pPr>
          </w:p>
        </w:tc>
        <w:tc>
          <w:tcPr>
            <w:tcW w:w="18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11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2,134</w:t>
            </w:r>
          </w:p>
        </w:tc>
        <w:tc>
          <w:tcPr>
            <w:tcW w:w="12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recognized a foreign currency exchange gain of CHF 0.6 million for the three months ended March 31, 2026, compared to a loss of CHF 1.6 million for the three months ended March 31, 2025. The foreign currency exchange gain (loss) reflects fluctuations of the U.S. dollar against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both"/>
        <w:spacing w:after="0" w:line="298" w:lineRule="auto"/>
        <w:rPr>
          <w:sz w:val="20"/>
          <w:szCs w:val="20"/>
          <w:color w:val="auto"/>
        </w:rPr>
      </w:pPr>
      <w:r>
        <w:rPr>
          <w:rFonts w:ascii="Times New Roman" w:cs="Times New Roman" w:eastAsia="Times New Roman" w:hAnsi="Times New Roman"/>
          <w:sz w:val="16"/>
          <w:szCs w:val="16"/>
          <w:color w:val="auto"/>
        </w:rPr>
        <w:t>Swiss Franc impacting our cash and short-term financial assets balances and currency transaction activities, which were favorable in 2026 due to a strengthening U.S. dollar as compared to the same period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Liquidity and Capital Resources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Since our inception, we have incurred significant operating losses. We have not yet commercialized any products and we do not expect to generate revenue from sales of products in the near future. We incurred a loss of CHF 28.9 million and a cash outflow from operations of CHF 15.3 million for the three months ended March 31, 2026. We had a total of CHF 222.0 million, or $277.6 million, in cash, cash equivalents and short-term financial assets as of March 31, 2026.</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March 4, 2026, we entered into an amended and restated sales agreement with Leerink Partners LLC with respect to an at-the-market offering program (the “</w:t>
      </w:r>
      <w:r>
        <w:rPr>
          <w:rFonts w:ascii="Times New Roman" w:cs="Times New Roman" w:eastAsia="Times New Roman" w:hAnsi="Times New Roman"/>
          <w:sz w:val="16"/>
          <w:szCs w:val="16"/>
          <w:i w:val="1"/>
          <w:iCs w:val="1"/>
          <w:color w:val="auto"/>
        </w:rPr>
        <w:t>ATM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Program</w:t>
      </w:r>
      <w:r>
        <w:rPr>
          <w:rFonts w:ascii="Times New Roman" w:cs="Times New Roman" w:eastAsia="Times New Roman" w:hAnsi="Times New Roman"/>
          <w:sz w:val="16"/>
          <w:szCs w:val="16"/>
          <w:color w:val="auto"/>
        </w:rPr>
        <w:t>”) under which we may offer and sell, from time to time at our sole discretion, ordinary shares having an aggregate offering price of up to $100.0 million (CHF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79.6 million) through Leerink Partners LLC as our sales agent. In the first quarter of 2026, we issued 1,050,000 ordinary shares under the ATM Program for gross proceeds of CHF 22.4 million, or $28.8 million. We have recognized CHF 1.3 million of transaction costs that were offset against the proceeds and recorded as a reduction of share premium for the three month period ended March 31, 2026.</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On November 3, 2025, we closed concurrent underwritten and registered direct offerings for the issuance and sale of an aggregate of 5,432,098 ordinary shares at a price per share of $20.25 (CHF 16.33) for total gross proceeds of $110.0 million (CHF 88.7 million) before deducting underwriting discounts and commissions and offering expenses.</w:t>
      </w:r>
    </w:p>
    <w:p>
      <w:pPr>
        <w:spacing w:after="0" w:line="14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On July 31, 2025 we amended our existing loan facility with Kreos Capital VII (UK) Limited (the “</w:t>
      </w:r>
      <w:r>
        <w:rPr>
          <w:rFonts w:ascii="Times New Roman" w:cs="Times New Roman" w:eastAsia="Times New Roman" w:hAnsi="Times New Roman"/>
          <w:sz w:val="16"/>
          <w:szCs w:val="16"/>
          <w:i w:val="1"/>
          <w:iCs w:val="1"/>
          <w:color w:val="auto"/>
        </w:rPr>
        <w:t>Lender</w:t>
      </w:r>
      <w:r>
        <w:rPr>
          <w:rFonts w:ascii="Times New Roman" w:cs="Times New Roman" w:eastAsia="Times New Roman" w:hAnsi="Times New Roman"/>
          <w:sz w:val="16"/>
          <w:szCs w:val="16"/>
          <w:color w:val="auto"/>
        </w:rPr>
        <w:t>”), which are funds and accounts managed by BlackRock, Inc. (the “</w:t>
      </w:r>
      <w:r>
        <w:rPr>
          <w:rFonts w:ascii="Times New Roman" w:cs="Times New Roman" w:eastAsia="Times New Roman" w:hAnsi="Times New Roman"/>
          <w:sz w:val="16"/>
          <w:szCs w:val="16"/>
          <w:i w:val="1"/>
          <w:iCs w:val="1"/>
          <w:color w:val="auto"/>
        </w:rPr>
        <w:t>Amended Loan Agreement</w:t>
      </w:r>
      <w:r>
        <w:rPr>
          <w:rFonts w:ascii="Times New Roman" w:cs="Times New Roman" w:eastAsia="Times New Roman" w:hAnsi="Times New Roman"/>
          <w:sz w:val="16"/>
          <w:szCs w:val="16"/>
          <w:color w:val="auto"/>
        </w:rPr>
        <w:t>”). The Amended Loan Agreement is structured to provide the EUR equivalent of up to CHF 75.0 million in borrowing capacity (which may be increased to up to CHF 100.0 million), comprising tranches 1, 2 and 3, in the amounts of the EUR equivalents of CHF 25.0 million each, as well as an additional loan of the EUR equivalent of up to CHF 25.0 million, which may be made available by the Lender to us if mutually agreed in writing between us and the Lender.</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On February 18, 2025, we closed an underwritten offering for the issuance and sale of 5,000,000 ordinary shares at a price of $20.00 or CHF 18.05 per share, for total gross proceeds of CHF 90.2 million or $100.0 million before deducting underwriting discounts and commissions and offering expenses.</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expect to incur additional operating losses in the near future and our operating expenses will increase as we continue to invest in the development of our product candidates through additional research and development activities, including clinical trials, and prepare for potential commercialization. Based on our current operating plan, we believe that our existing cash, cash equivalents and short-term financial assets will be sufficient to fund our operations and capital expenditures for at least 12 months from the date of this Report without additional capital or drawdown from our loan facility. We have based our estimate on assumptions that may prove to be wrong, and we may use our available capital resources sooner than we currently expect. We may require additional capital resources due to underestimation of the nature, timing and costs of the efforts that will be necessary to complete the development of our product candidates. We may also need to raise additional funds more quickly if we choose to expand our development activities or our portfolio or if we consider acquisitions or other strategic transactions, including licensing transactions.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sources and uses of cash and cash equivalents for each of the periods presented: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20" w:type="dxa"/>
            <w:vAlign w:val="bottom"/>
          </w:tcPr>
          <w:p>
            <w:pPr>
              <w:spacing w:after="0"/>
              <w:rPr>
                <w:sz w:val="20"/>
                <w:szCs w:val="20"/>
                <w:color w:val="auto"/>
              </w:rPr>
            </w:pPr>
          </w:p>
        </w:tc>
        <w:tc>
          <w:tcPr>
            <w:tcW w:w="16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8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outflow for operating activities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(18,963)</w:t>
            </w:r>
          </w:p>
        </w:tc>
        <w:tc>
          <w:tcPr>
            <w:tcW w:w="18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3,626</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outflow for investing activities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(25,516)</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(51,505)</w:t>
            </w: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25,989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inflow from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23,603</w:t>
            </w:r>
          </w:p>
        </w:tc>
        <w:tc>
          <w:tcPr>
            <w:tcW w:w="1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103,831</w:t>
            </w:r>
          </w:p>
        </w:tc>
        <w:tc>
          <w:tcPr>
            <w:tcW w:w="1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(80,228)</w:t>
            </w:r>
          </w:p>
        </w:tc>
        <w:tc>
          <w:tcPr>
            <w:tcW w:w="12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(17,250)</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33,363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(50,613)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-170815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Total cash, cash equivalents and short-term investments were CHF 222.0 million as of March 31, 2026, which represents an increase of CHF 9.0 million from CHF 213.0 million at December 31, 2025. The increase was primarily due to proceeds from the ATM sale, partially offset by ongoing operating expenses of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For the three months ended March 31, 2026, operating activities used CHF 15.3 million of cash, primarily consisting of a loss before tax of CHF 29.0 million, partially offset by non-cash adjustments of CHF 12.3 million and working capital adjustments of CHF 1.3 million. Non-cash adjustments primarily consisted of CHF 8.0 million fair value adjustment loss on warrant liabilities, CHF 5.0 million of share-based compensation expense, partially offset by CHF 0.9 million of financial result comprised primarily of foreign exchange losses on U.S. dollar liquid asset balances during the period and interest income. Working capital adjustments consisted of a CHF 0.7 million decrease in other current assets related to a decrease in prepaid general and administrative expenses related to capitalized transaction costs associated with the Company’s ATM Program that were recorded as a reduction of share premium as a result of the ATM sale in the three months ended March 31, 2026, and a CHF 0.9 million timing related increase in payables and accrued liabilities, partially offset by a CHF 0.2 million increase in accrued income related to Icelandic government research and development cost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2" w:name="page23"/>
    <w:bookmarkEnd w:id="22"/>
    <w:p>
      <w:pPr>
        <w:jc w:val="both"/>
        <w:spacing w:after="0" w:line="275" w:lineRule="auto"/>
        <w:rPr>
          <w:sz w:val="20"/>
          <w:szCs w:val="20"/>
          <w:color w:val="auto"/>
        </w:rPr>
      </w:pPr>
      <w:r>
        <w:rPr>
          <w:rFonts w:ascii="Times New Roman" w:cs="Times New Roman" w:eastAsia="Times New Roman" w:hAnsi="Times New Roman"/>
          <w:sz w:val="16"/>
          <w:szCs w:val="16"/>
          <w:color w:val="auto"/>
        </w:rPr>
        <w:t>For the three months ended March 31, 2025, operating activities used CHF 19.0 million of cash, primarily consisting of a loss before tax of CHF 33.2 million, partially offset by non-cash adjustments of CHF 14.9 million. Our total operating expense and resulting operating loss was primarily driven by development expenses for our core assets, OCS-01, Licaminlimab and Privosegtor. Non-cash charges primarily consisted of a CHF 11.9 million fair value adjustment loss on warrant liabilities and CHF 2.6 million of share-based compensation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22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For the three months ended March 31, 2026, the Company recorded cash outflow for investing activities of CHF 25.5 million, primarily driven by CHF 25.7 million for investments in current fixed term bank deposits, net of maturities.</w:t>
      </w:r>
    </w:p>
    <w:p>
      <w:pPr>
        <w:spacing w:after="0" w:line="15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For the three months ended March 31, 2025, the Company recorded cash outflow for investing activities of CHF 51.5 million, primarily consisting of CHF 50.6 million for investments in current fixed term bank deposits, net of maturities, and a CHF 1.1 million milestone payment pursuant to our licensing agreement with Accure Therapeutics SL (the “</w:t>
      </w:r>
      <w:r>
        <w:rPr>
          <w:rFonts w:ascii="Times New Roman" w:cs="Times New Roman" w:eastAsia="Times New Roman" w:hAnsi="Times New Roman"/>
          <w:sz w:val="16"/>
          <w:szCs w:val="16"/>
          <w:i w:val="1"/>
          <w:iCs w:val="1"/>
          <w:color w:val="auto"/>
        </w:rPr>
        <w:t>Accure Agreement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For the three months ended March 31, 2026, net cash provided by financing activities was CHF 23.6 million which consisted primarily of CHF 22.0 million of net proceeds received from the issuance and sale of shares from the ATM program, CHF 1.3 million received from the exercise of warrants and CHF 0.5 million of proceeds from the exercise of stock options.</w:t>
      </w:r>
    </w:p>
    <w:p>
      <w:pPr>
        <w:spacing w:after="0" w:line="1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For the three months ended March 31, 2025, net cash provided by financing activities was CHF 103.8 million, which consisted primarily of CHF 84.8 million of net proceeds received from the issuance and sale of shares in the February 2025 underwritten offering, CHF 18.9 million received from the exercise of warrants and CHF 0.3 million of proceeds from the exercise of stock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Funding Requirements</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Product development is expensive and involves a high degree of risk. Only a small number of research and development programs result in the commercialization of a product. We will not generate revenue from product sales unless and until we successfully complete clinical development and are able to obtain regulatory approval for and successfully commercialize the product candidates we are currently developing or that we may develop.</w:t>
      </w:r>
    </w:p>
    <w:p>
      <w:pPr>
        <w:spacing w:after="0" w:line="16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Our product candidates, currently under development or that we may develop, will require significant additional research and development efforts, including extensive clinical testing and regulatory approval prior to commercialization.</w:t>
      </w:r>
    </w:p>
    <w:p>
      <w:pPr>
        <w:spacing w:after="0" w:line="1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If we obtain regulatory approval for one or more of our product candidates, we have the options of seeking strategic partnerships or commercializing such products ourselves. If we decide to pursue direct commercialization, we expect to incur significant expenses to develop our commercialization capabilities to support product sales, medical affairs, market access, and marketing and distribution activities, either alone or in collaboration with others. As a result, we may need substantial additional funding to support our continuing operations and pursue our growth strategy.</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Until such time, if ever, when we can generate substantial product revenue, we may finance our operations through a combination of private or public equity offerings, debt financings, collaborations, strategic alliances, marketing, distribution or licensing arrangements or through other sources of funding. Adequate capital may not be available to us when needed or on acceptable terms. To the extent that we raise additional capital through the sale of equity or convertible debt securities, your ownership interest will be diluted, and the terms of these securities may include liquidation or other preferences that adversely affect your rights as a holder of ordinary shares. Debt financing, such as the Amended Loan Agreement we entered into in July 2025, may involve agreements that include covenants limiting or restricting our ability to take specific actions, such as incurring additional debt, making acquisitions or capital expenditures. Debt financing would also result in fixed payment obligations.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grant third parties rights to develop and market product candidates that we would otherwise prefer to develop and market ourselves, obtain funds through arrangements with collaborators on terms unfavorable to us or pursue merger or acquisition strategies, all of which could adversely affect the holdings or the rights of our shareholders.</w:t>
      </w:r>
    </w:p>
    <w:p>
      <w:pPr>
        <w:spacing w:after="0" w:line="3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expect our expenses to increase substantially in connection with our ongoing activities, particularly as we advance the preclinical activities, manufacturing and clinical development of our product candidates, and prepare for potential commercialization. In addition, we will continue to incur additional costs associated with operating as a dual-listed public company, including significant legal, accounting, investor relations and other expenses. Our expenses will also increase as we:</w:t>
      </w:r>
    </w:p>
    <w:p>
      <w:pPr>
        <w:spacing w:after="0" w:line="29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progress our Phase 3 clinical trials for OCS-01 for DME;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advance our Licaminlimab program into registrational trials starting with the PREDICT-1 for DED and related manufacturing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advance Privosegtor in ON and NAION into the PIONEER registrational program and explore its potential in other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advance our preclinical stage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seek to identify, acquire and develop additional product candidates, including through business development efforts to invest in or in-license other technologies or product candidates;</w:t>
      </w:r>
    </w:p>
    <w:p>
      <w:pPr>
        <w:spacing w:after="0" w:line="89"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hire additional clinical, regulatory, technical development, quality assurance and control, medical, scientific and other technical personnel to support our product development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3" w:name="page24"/>
    <w:bookmarkEnd w:id="23"/>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expand our operational, financial and management systems and increase personnel to support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meet the requirements and demands of being a dual-listed public company, including compliance with regulatory regimes and stock exchange rules in both the U.S. and Iceland;</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make milestone, royalty or other payments due under the license agreements with Novartis Technology LLC and Accure Therapeutics SL, each described in Note 9 of our Annual Report on Form 20-F filed with the SEC on March 4, 2026, and any future in-license or collaboration agreements;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seek regulatory approvals for any product candidates that successfully complete clinical trials; and</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undertake any pre-commercialization activities to establish sales, medical affairs, market access, marketing and distribution capabilities for any product candidates for which we may receive regulatory approval in regions where we choose to commercialize our products on our own or jointly with third parties.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Material Cash Requirements for Known Contractual Obligations and Commitments</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have certain payment obligations under existing license and collaboration agreements. Under these agreements, we are required to pay non-refundable, upfront license fees, predefined development and commercial milestone payments and royalties on net sales of licensed products. The next clinical and regulatory milestone under the Accure Agreement, which we expect to become payable in 2026, would trigger a payment of CHF 2.1 million ($2.6 million).</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majority of our near-term cash needs relate to our clinical and chemistry, manufacturing and controls (CMC) projects. We have conducted research and development programs through collaboration arrangements that include, among others, arrangements with universities, CROs and clinical research sites. In addition, we enter into agreements in the normal course of business with CROs for clinical trials and with vendors for preclinical studies, manufacturing services, and other services and products for operating purposes, which are generally cancelable upon written notice.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Critical Accounting Policies and Accounting Estimates</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There have been no material changes to the key estimates, assumptions and judgments from those disclosed in our audited financial statements and notes thereto for the year ended December 31, 2025, included in our Annual Report on Form 20-F filed with the SEC on March 4, 2026. Refer to Note 2 to our Unaudited Condensed Consolidated Interim Financial Statements included elsewhere in this Report on Form 6-K for further details on the most material accounting policies applied in the preparation of our consolidated financial statements and our critical accounting estimates and judgments.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to the risk factors as set out in our Annual Report on Form 20-F filed with the SEC on March 4,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Some of the statements in this Report on Form 6-K constitute forward-looking statements that do not directly or exclusively relate to historical facts. You should not place undue reliance on such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are often, but not always, made through the use of words or phrases such as “believe,” “anticipate,” “could,” “may,” “would,” “should,” “intend,” “plan,” “potential,” “predict,” “will,” “expect,” “estimate,” “project,” “positioned,” “strategy,” “outlook” and similar expressions. All such forward looking statements involve estimates and assumptions that are subject to risks, uncertainties and other factors that could cause actual results to differ materially from the results expressed in the statements. As a result of a number of known and unknown risks and uncertainties, our actual results or performance may be materially different from those expressed or implied by these forward-looking statements. Among the key factors that could cause actual results to differ materially from those projected in the forward-looking statements are the following:</w:t>
      </w:r>
    </w:p>
    <w:p>
      <w:pPr>
        <w:spacing w:after="0" w:line="9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ability to maintain the listing of our ordinary shares and warrants on the Nasdaq Global Market and the Nasdaq Iceland Main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timing and expected outcomes of clinical trials, preclinical studies, regulatory submissions and approvals, as well as commercial outcomes;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timing of expected milestones in connection with our in-licensed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expected benefits of our business and scientific approach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potential safety and efficacy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successfully develop, advance, and partner or commercialize our pipeline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establish and maintain arrangements for the manufacture of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effectiveness and profitability of our collaborations and partnerships, our ability to maintain current collaborations and partnerships and enter into new collaborations and partnerships;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expectations related to future milestone and royalty payments and other economic terms under our collaborations and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estimates regarding cash runway, future revenue, expenses, capital requirements, financial condition, and need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estimates of market opportunity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effects of increased competition as well as innovations by new and existing competitors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strategic advantages and the impact those advantages may have on future financial and operational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expansion plans and opportunities;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grow our business in a cost-effective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expectations regarding our ability to obtain and maintain intellectual property protection and not infringe on the rights of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impact of any macroeconomic factors and other global events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changes in applicable laws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maintain our status as a “foreign private issuer”;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outcome of any known and unknown litigation and regulatory proceedings.</w:t>
      </w:r>
    </w:p>
    <w:p>
      <w:pPr>
        <w:spacing w:after="0" w:line="1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These forward-looking statements are based on information available as of the date of this Report, and current expectations, forecasts and assumptions, and involve a number of judgments, risks and uncertainties. Accordingly, forward 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 addition, statements that “we believe” and similar statements reflect our beliefs and opinions on the relevant subject. These statements are based on information available to us as of the date of this Report. And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500380</wp:posOffset>
            </wp:positionV>
            <wp:extent cx="2554605" cy="8655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Oculis Reports Q1 2026 Financial Results and Provides Company Update</w:t>
      </w:r>
    </w:p>
    <w:p>
      <w:pPr>
        <w:spacing w:after="0" w:line="200" w:lineRule="exact"/>
        <w:rPr>
          <w:sz w:val="20"/>
          <w:szCs w:val="20"/>
          <w:color w:val="auto"/>
        </w:rPr>
      </w:pPr>
    </w:p>
    <w:p>
      <w:pPr>
        <w:ind w:left="380" w:right="540" w:hanging="372"/>
        <w:spacing w:after="0" w:line="243" w:lineRule="auto"/>
        <w:tabs>
          <w:tab w:leader="none" w:pos="3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Pipeline Advancing as Planned, Leading with OCS-01 Key Milestone Completion of LPLV in Both DIAMOND Phase 3 Trials; Data Readout on Track for June 2026</w:t>
      </w:r>
    </w:p>
    <w:p>
      <w:pPr>
        <w:spacing w:after="0" w:line="1" w:lineRule="exact"/>
        <w:rPr>
          <w:rFonts w:ascii="Times New Roman" w:cs="Times New Roman" w:eastAsia="Times New Roman" w:hAnsi="Times New Roman"/>
          <w:sz w:val="18"/>
          <w:szCs w:val="18"/>
          <w:color w:val="auto"/>
        </w:rPr>
      </w:pPr>
    </w:p>
    <w:p>
      <w:pPr>
        <w:ind w:left="380" w:right="160" w:hanging="372"/>
        <w:spacing w:after="0" w:line="234" w:lineRule="auto"/>
        <w:tabs>
          <w:tab w:leader="none" w:pos="3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Licaminlimab PREDICT-1 Trial in Active Site Recruitment Phase, Pioneering a Genotype-Driven Path to Precision Medicine in Dry Eye Disease</w:t>
      </w: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Privosegtor Regulatory Path Cleared via FDA SPA; PIONEER-1 Phase 3 Trial Advances with Ongoing Site Activation</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Cash, cash equivalents, and short-term investments of $277.6 million as of March 31, 2026, providing cash runway into 2H 2029</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ZUG, Switzerland, May 11, 2026 -- Oculis Holding AG (Nasdaq: OCS / XICE: OCS) (Oculis), a global biopharmaceutical company focused on breakthrough innovations to address significant unmet medical needs in ophthalmology and neuro-ophthalmology, today announced results for the first quarter ended March 31, 2026, and provided an overview of the Company’s progress.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Riad Sherif, M.D., Chief Executive Officer of Oculis, stated </w:t>
      </w:r>
      <w:r>
        <w:rPr>
          <w:rFonts w:ascii="Arial" w:cs="Arial" w:eastAsia="Arial" w:hAnsi="Arial"/>
          <w:sz w:val="18"/>
          <w:szCs w:val="18"/>
          <w:color w:val="auto"/>
        </w:rPr>
        <w:t>“We began 2026 with strong execution momentum across our late-stage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trials. We are positioned for a pivotal year, with key readouts for OCS-01 in diabetic macular edema (DME) expected in June and Licaminlimab in dry eye disease (DED) around year-end, while the Privosegtor PIONEER program is making significant progress, including PRIME designation in Europe and an agreement with the FDA on the Special Protocol Assessment (SPA) regarding PIONEER-1 and ongoing centers activation. Driven by a mission to restore vision, we are targeting global market opportunities exceeding $30 billion.”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 Highlights and Upcoming Milestones: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OCS-01:</w:t>
      </w:r>
    </w:p>
    <w:p>
      <w:pPr>
        <w:spacing w:after="0" w:line="104" w:lineRule="exact"/>
        <w:rPr>
          <w:sz w:val="20"/>
          <w:szCs w:val="20"/>
          <w:color w:val="auto"/>
        </w:rPr>
      </w:pPr>
    </w:p>
    <w:p>
      <w:pPr>
        <w:jc w:val="both"/>
        <w:ind w:left="1020" w:hanging="503"/>
        <w:spacing w:after="0" w:line="24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Last patient last visit (LPLV) completed in the DIAMOND (</w:t>
      </w:r>
      <w:r>
        <w:rPr>
          <w:rFonts w:ascii="Arial" w:cs="Arial" w:eastAsia="Arial" w:hAnsi="Arial"/>
          <w:sz w:val="18"/>
          <w:szCs w:val="18"/>
          <w:b w:val="1"/>
          <w:bCs w:val="1"/>
          <w:color w:val="auto"/>
        </w:rPr>
        <w:t>DIA</w:t>
      </w:r>
      <w:r>
        <w:rPr>
          <w:rFonts w:ascii="Arial" w:cs="Arial" w:eastAsia="Arial" w:hAnsi="Arial"/>
          <w:sz w:val="18"/>
          <w:szCs w:val="18"/>
          <w:color w:val="auto"/>
        </w:rPr>
        <w:t xml:space="preserve">betic </w:t>
      </w:r>
      <w:r>
        <w:rPr>
          <w:rFonts w:ascii="Arial" w:cs="Arial" w:eastAsia="Arial" w:hAnsi="Arial"/>
          <w:sz w:val="18"/>
          <w:szCs w:val="18"/>
          <w:b w:val="1"/>
          <w:bCs w:val="1"/>
          <w:color w:val="auto"/>
        </w:rPr>
        <w:t>M</w:t>
      </w:r>
      <w:r>
        <w:rPr>
          <w:rFonts w:ascii="Arial" w:cs="Arial" w:eastAsia="Arial" w:hAnsi="Arial"/>
          <w:sz w:val="18"/>
          <w:szCs w:val="18"/>
          <w:color w:val="auto"/>
        </w:rPr>
        <w:t xml:space="preserve">acular edema patients </w:t>
      </w:r>
      <w:r>
        <w:rPr>
          <w:rFonts w:ascii="Arial" w:cs="Arial" w:eastAsia="Arial" w:hAnsi="Arial"/>
          <w:sz w:val="18"/>
          <w:szCs w:val="18"/>
          <w:b w:val="1"/>
          <w:bCs w:val="1"/>
          <w:color w:val="auto"/>
        </w:rPr>
        <w:t>ON</w:t>
      </w:r>
      <w:r>
        <w:rPr>
          <w:rFonts w:ascii="Arial" w:cs="Arial" w:eastAsia="Arial" w:hAnsi="Arial"/>
          <w:sz w:val="18"/>
          <w:szCs w:val="18"/>
          <w:color w:val="auto"/>
        </w:rPr>
        <w:t xml:space="preserve"> a </w:t>
      </w:r>
      <w:r>
        <w:rPr>
          <w:rFonts w:ascii="Arial" w:cs="Arial" w:eastAsia="Arial" w:hAnsi="Arial"/>
          <w:sz w:val="18"/>
          <w:szCs w:val="18"/>
          <w:b w:val="1"/>
          <w:bCs w:val="1"/>
          <w:color w:val="auto"/>
        </w:rPr>
        <w:t>D</w:t>
      </w:r>
      <w:r>
        <w:rPr>
          <w:rFonts w:ascii="Arial" w:cs="Arial" w:eastAsia="Arial" w:hAnsi="Arial"/>
          <w:sz w:val="18"/>
          <w:szCs w:val="18"/>
          <w:color w:val="auto"/>
        </w:rPr>
        <w:t>rop) program, consisting of two Phase 3, double-masked, randomized, multi-center trials to evaluate the efficacy and safety of OCS-01 eye drops in patients with DME following 52-weeks of treatment. Topline results are expected to readout in June 2026, and, if positive, an NDA submission to the FDA is planned for Q4 2026.</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13" w:lineRule="exact"/>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DME AWARE Delphi study results were recently presented at the 17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annual congress on Controversies in Ophthalmology (COPHy) and at the Association for Research in Vision and Ophthalmology (ARVO) 2026 annual meeting. In this study, supported by Oculis, 25 leading global retina and ophthalmology experts were surveyed to establish consensus on unmet needs in DME. Among other results, the DME AWARE Delphi study revealed broad consensus on the need for novel therapies to enable early treatment. In fact, consensus was reached: 70% of respondents agreed they would initiate therapy with a non-invasive treatment following a 5-letter BCVA vision loss, compared with 5% with the current standard of care, intravitreal treatments. This strongly aligns with our efforts to develop OCS</w:t>
      </w:r>
      <w:r>
        <w:rPr>
          <w:rFonts w:ascii="MS PGothic" w:cs="MS PGothic" w:eastAsia="MS PGothic" w:hAnsi="MS PGothic"/>
          <w:sz w:val="18"/>
          <w:szCs w:val="18"/>
          <w:color w:val="auto"/>
        </w:rPr>
        <w:t>‑</w:t>
      </w:r>
      <w:r>
        <w:rPr>
          <w:rFonts w:ascii="Arial" w:cs="Arial" w:eastAsia="Arial" w:hAnsi="Arial"/>
          <w:sz w:val="18"/>
          <w:szCs w:val="18"/>
          <w:color w:val="auto"/>
        </w:rPr>
        <w:t>01 eye drops and our ambition to potentially bring to market the first non</w:t>
      </w:r>
      <w:r>
        <w:rPr>
          <w:rFonts w:ascii="MS PGothic" w:cs="MS PGothic" w:eastAsia="MS PGothic" w:hAnsi="MS PGothic"/>
          <w:sz w:val="18"/>
          <w:szCs w:val="18"/>
          <w:color w:val="auto"/>
        </w:rPr>
        <w:t>‑</w:t>
      </w:r>
      <w:r>
        <w:rPr>
          <w:rFonts w:ascii="Arial" w:cs="Arial" w:eastAsia="Arial" w:hAnsi="Arial"/>
          <w:sz w:val="18"/>
          <w:szCs w:val="18"/>
          <w:color w:val="auto"/>
        </w:rPr>
        <w:t>invasive topical treatment for DME.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Despite available therapies, in the U.S. alone, an estimated 1 million patients out of the 1.8 million people diagnosed with the disease remain untreated with mild to moderate vision impairments, or are inadequately responding to the current standard of care.</w:t>
      </w:r>
      <w:r>
        <w:rPr>
          <w:rFonts w:ascii="Arial" w:cs="Arial" w:eastAsia="Arial" w:hAnsi="Arial"/>
          <w:sz w:val="24"/>
          <w:szCs w:val="24"/>
          <w:color w:val="auto"/>
          <w:vertAlign w:val="superscript"/>
        </w:rPr>
        <w:t>1,2,3</w:t>
      </w:r>
      <w:r>
        <w:rPr>
          <w:rFonts w:ascii="Arial" w:cs="Arial" w:eastAsia="Arial" w:hAnsi="Arial"/>
          <w:sz w:val="18"/>
          <w:szCs w:val="18"/>
          <w:color w:val="auto"/>
        </w:rPr>
        <w:t xml:space="preserve"> OCS-01 is intended to be strategically positioned to capture this significant opportunity by providing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816610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500380</wp:posOffset>
            </wp:positionV>
            <wp:extent cx="2554605" cy="8655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20"/>
        <w:spacing w:after="0" w:line="271" w:lineRule="auto"/>
        <w:rPr>
          <w:sz w:val="20"/>
          <w:szCs w:val="20"/>
          <w:color w:val="auto"/>
        </w:rPr>
      </w:pPr>
      <w:r>
        <w:rPr>
          <w:rFonts w:ascii="Arial" w:cs="Arial" w:eastAsia="Arial" w:hAnsi="Arial"/>
          <w:sz w:val="18"/>
          <w:szCs w:val="18"/>
          <w:color w:val="auto"/>
        </w:rPr>
        <w:t>non-invasive, topical eye drop for those requiring early intervention and a versatile option for patients who do not respond to existing injections.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Licaminlimab:</w:t>
      </w:r>
    </w:p>
    <w:p>
      <w:pPr>
        <w:spacing w:after="0" w:line="104" w:lineRule="exact"/>
        <w:rPr>
          <w:sz w:val="20"/>
          <w:szCs w:val="20"/>
          <w:color w:val="auto"/>
        </w:rPr>
      </w:pPr>
    </w:p>
    <w:p>
      <w:pPr>
        <w:jc w:val="both"/>
        <w:ind w:left="1020" w:hanging="503"/>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 prior Phase 2 studies, Licaminlimab showed a substantially greater treatment effect in patients carrying a specific TNFR1 genotype, with profound improvements ranging from 5-fold greater in signs to 7-fold greater in symptoms. PREDICT-1 is designed to leverage these findings to deliver potentially the first precision medicine treatment in ophthalmology and topline results (TLR) are expected to read out around year end.</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17"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 the U.S. alone, approximately 10 million patients suffer from moderate to severe DED.</w:t>
      </w:r>
      <w:r>
        <w:rPr>
          <w:rFonts w:ascii="Arial" w:cs="Arial" w:eastAsia="Arial" w:hAnsi="Arial"/>
          <w:sz w:val="24"/>
          <w:szCs w:val="24"/>
          <w:color w:val="auto"/>
          <w:vertAlign w:val="superscript"/>
        </w:rPr>
        <w:t>4</w:t>
      </w:r>
      <w:r>
        <w:rPr>
          <w:rFonts w:ascii="Arial" w:cs="Arial" w:eastAsia="Arial" w:hAnsi="Arial"/>
          <w:sz w:val="18"/>
          <w:szCs w:val="18"/>
          <w:color w:val="auto"/>
        </w:rPr>
        <w:t xml:space="preserve"> Current disease management relies on trial and error, with a minority (~13%) of patients reporting sustained relief,</w:t>
      </w:r>
      <w:r>
        <w:rPr>
          <w:rFonts w:ascii="Arial" w:cs="Arial" w:eastAsia="Arial" w:hAnsi="Arial"/>
          <w:sz w:val="24"/>
          <w:szCs w:val="24"/>
          <w:color w:val="auto"/>
          <w:vertAlign w:val="superscript"/>
        </w:rPr>
        <w:t>5</w:t>
      </w:r>
      <w:r>
        <w:rPr>
          <w:rFonts w:ascii="Arial" w:cs="Arial" w:eastAsia="Arial" w:hAnsi="Arial"/>
          <w:sz w:val="18"/>
          <w:szCs w:val="18"/>
          <w:color w:val="auto"/>
        </w:rPr>
        <w:t xml:space="preserve"> leading to an 85-90% discontinuation rate within the first 6 months, underscoring the strong need for a targeted, effective treatment approach.</w:t>
      </w:r>
      <w:r>
        <w:rPr>
          <w:rFonts w:ascii="Arial" w:cs="Arial" w:eastAsia="Arial" w:hAnsi="Arial"/>
          <w:sz w:val="24"/>
          <w:szCs w:val="24"/>
          <w:color w:val="auto"/>
          <w:vertAlign w:val="superscript"/>
        </w:rPr>
        <w:t>6</w:t>
      </w:r>
      <w:r>
        <w:rPr>
          <w:rFonts w:ascii="Arial" w:cs="Arial" w:eastAsia="Arial" w:hAnsi="Arial"/>
          <w:sz w:val="18"/>
          <w:szCs w:val="18"/>
          <w:color w:val="auto"/>
        </w:rPr>
        <w:t xml:space="preserve"> Licaminlimab has the potential to transform the current DED treatment paradigm by providing a precision medicine approach with high efficacy, rapid onset of action, and a comfort level similar to artificial tears.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Privosegtor:</w:t>
      </w:r>
    </w:p>
    <w:p>
      <w:pPr>
        <w:spacing w:after="0" w:line="104" w:lineRule="exact"/>
        <w:rPr>
          <w:sz w:val="20"/>
          <w:szCs w:val="20"/>
          <w:color w:val="auto"/>
        </w:rPr>
      </w:pPr>
    </w:p>
    <w:p>
      <w:pPr>
        <w:jc w:val="both"/>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Privosegtor was granted PRIME (PRIority MEdicines) designation by the EMA (European Medicines Agency), a highly selective process to provide early and proactive support to developers of promising medicines that may offer a major therapeutic advantage over existing treatments or provide benefits to patients without treatment options. These medicines are considered priority medicines by the EMA, which aims to optimize development plans and expedite evaluations so that medicines addressing significant unmet medical needs can reach patients faster. This follows the recent granting of Breakthrough Therapy designation for Privosegtor for the treatment of optic neuritis (ON) by the U.S. Food and Drug Administration (FDA), reinforcing global regulatory support for this unique neuroprotective asset.</w:t>
      </w:r>
    </w:p>
    <w:p>
      <w:pPr>
        <w:spacing w:after="0" w:line="75" w:lineRule="exact"/>
        <w:rPr>
          <w:rFonts w:ascii="Times New Roman" w:cs="Times New Roman" w:eastAsia="Times New Roman" w:hAnsi="Times New Roman"/>
          <w:sz w:val="18"/>
          <w:szCs w:val="18"/>
          <w:color w:val="auto"/>
        </w:rPr>
      </w:pPr>
    </w:p>
    <w:p>
      <w:pPr>
        <w:jc w:val="both"/>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Special Protocol Assessment (SPA) agreement received from the FDA regarding the design of the PIONEER-1 (</w:t>
      </w:r>
      <w:r>
        <w:rPr>
          <w:rFonts w:ascii="Arial" w:cs="Arial" w:eastAsia="Arial" w:hAnsi="Arial"/>
          <w:sz w:val="18"/>
          <w:szCs w:val="18"/>
          <w:b w:val="1"/>
          <w:bCs w:val="1"/>
          <w:color w:val="auto"/>
        </w:rPr>
        <w:t>P</w:t>
      </w:r>
      <w:r>
        <w:rPr>
          <w:rFonts w:ascii="Arial" w:cs="Arial" w:eastAsia="Arial" w:hAnsi="Arial"/>
          <w:sz w:val="18"/>
          <w:szCs w:val="18"/>
          <w:color w:val="auto"/>
        </w:rPr>
        <w:t xml:space="preserve">rivosegtor </w:t>
      </w:r>
      <w:r>
        <w:rPr>
          <w:rFonts w:ascii="Arial" w:cs="Arial" w:eastAsia="Arial" w:hAnsi="Arial"/>
          <w:sz w:val="18"/>
          <w:szCs w:val="18"/>
          <w:b w:val="1"/>
          <w:bCs w:val="1"/>
          <w:color w:val="auto"/>
        </w:rPr>
        <w:t>I</w:t>
      </w:r>
      <w:r>
        <w:rPr>
          <w:rFonts w:ascii="Arial" w:cs="Arial" w:eastAsia="Arial" w:hAnsi="Arial"/>
          <w:sz w:val="18"/>
          <w:szCs w:val="18"/>
          <w:color w:val="auto"/>
        </w:rPr>
        <w:t>nvestigation in</w:t>
      </w:r>
      <w:r>
        <w:rPr>
          <w:rFonts w:ascii="Arial" w:cs="Arial" w:eastAsia="Arial" w:hAnsi="Arial"/>
          <w:sz w:val="18"/>
          <w:szCs w:val="18"/>
          <w:b w:val="1"/>
          <w:bCs w:val="1"/>
          <w:color w:val="auto"/>
        </w:rPr>
        <w:t xml:space="preserve"> O</w:t>
      </w:r>
      <w:r>
        <w:rPr>
          <w:rFonts w:ascii="Arial" w:cs="Arial" w:eastAsia="Arial" w:hAnsi="Arial"/>
          <w:sz w:val="18"/>
          <w:szCs w:val="18"/>
          <w:color w:val="auto"/>
        </w:rPr>
        <w:t>ptic</w:t>
      </w:r>
      <w:r>
        <w:rPr>
          <w:rFonts w:ascii="Arial" w:cs="Arial" w:eastAsia="Arial" w:hAnsi="Arial"/>
          <w:sz w:val="18"/>
          <w:szCs w:val="18"/>
          <w:b w:val="1"/>
          <w:bCs w:val="1"/>
          <w:color w:val="auto"/>
        </w:rPr>
        <w:t xml:space="preserve"> N</w:t>
      </w:r>
      <w:r>
        <w:rPr>
          <w:rFonts w:ascii="Arial" w:cs="Arial" w:eastAsia="Arial" w:hAnsi="Arial"/>
          <w:sz w:val="18"/>
          <w:szCs w:val="18"/>
          <w:color w:val="auto"/>
        </w:rPr>
        <w:t>europathies</w:t>
      </w:r>
      <w:r>
        <w:rPr>
          <w:rFonts w:ascii="Arial" w:cs="Arial" w:eastAsia="Arial" w:hAnsi="Arial"/>
          <w:sz w:val="18"/>
          <w:szCs w:val="18"/>
          <w:b w:val="1"/>
          <w:bCs w:val="1"/>
          <w:color w:val="auto"/>
        </w:rPr>
        <w:t xml:space="preserve"> E</w:t>
      </w:r>
      <w:r>
        <w:rPr>
          <w:rFonts w:ascii="Arial" w:cs="Arial" w:eastAsia="Arial" w:hAnsi="Arial"/>
          <w:sz w:val="18"/>
          <w:szCs w:val="18"/>
          <w:color w:val="auto"/>
        </w:rPr>
        <w:t>fficacy</w:t>
      </w:r>
      <w:r>
        <w:rPr>
          <w:rFonts w:ascii="Arial" w:cs="Arial" w:eastAsia="Arial" w:hAnsi="Arial"/>
          <w:sz w:val="18"/>
          <w:szCs w:val="18"/>
          <w:b w:val="1"/>
          <w:bCs w:val="1"/>
          <w:color w:val="auto"/>
        </w:rPr>
        <w:t xml:space="preserve"> E</w:t>
      </w:r>
      <w:r>
        <w:rPr>
          <w:rFonts w:ascii="Arial" w:cs="Arial" w:eastAsia="Arial" w:hAnsi="Arial"/>
          <w:sz w:val="18"/>
          <w:szCs w:val="18"/>
          <w:color w:val="auto"/>
        </w:rPr>
        <w:t>valuation</w:t>
      </w:r>
      <w:r>
        <w:rPr>
          <w:rFonts w:ascii="Arial" w:cs="Arial" w:eastAsia="Arial" w:hAnsi="Arial"/>
          <w:sz w:val="18"/>
          <w:szCs w:val="18"/>
          <w:b w:val="1"/>
          <w:bCs w:val="1"/>
          <w:color w:val="auto"/>
        </w:rPr>
        <w:t xml:space="preserve"> R</w:t>
      </w:r>
      <w:r>
        <w:rPr>
          <w:rFonts w:ascii="Arial" w:cs="Arial" w:eastAsia="Arial" w:hAnsi="Arial"/>
          <w:sz w:val="18"/>
          <w:szCs w:val="18"/>
          <w:color w:val="auto"/>
        </w:rPr>
        <w:t>esearch) registrational trial of Privosegtor in ON. The SPA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a clear pathway to NDA and validates that the clinical trial protocol, size, planned analysis and endpoints are adequate to address scientific and regulatory requirements to support marketing approval, subject to a successful outcome of the trial and review of all data in the NDA. The design of PIONEER-2 is planned to be identical to PIONEER-1. With no currently approved neuroprotective treatments for ON, this SPA agreement is a critical step toward aligning with the FDA on our PIONEER development program.</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Oculis’ PIONEER program, supported by the positive Phase 2 ACUITY trial, includes three registrational trials in ON and non-arteritic anterior ischemic optic neuropathy (NAION). These two optic neuropathies can cause permanent visual impairments and represent a potential market opportunity estimated at $7+ billion in the U.S.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500380</wp:posOffset>
            </wp:positionV>
            <wp:extent cx="2554605" cy="8655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655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2026 Financial Highlights: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March 31, 2026, Oculis held cash, cash equivalents and short-term investments of CHF 222.0 million or $277.6 million, compared to CHF 213.0 million or $268.7 million as of December 31, 2025. The increase in cash, cash equivalents, and short-term investments was primarily due to proceeds received from sales under the Company’s existing at-the-market offering program during the quarter, offset by planned operating expenses. Research and development expenses were CHF 14.0 million or $17.9 million for the three months ended March 31, 2026, compared to CHF 14.8 million or $16.4 million in the same period in 2025. The decrease was primarily due to a reduction in spending on external service providers as the DIAMOND program approaches completion and topline data readout. General and administrative expenses were CHF 7.9 million or $10.1 million for the three months ended March 31, 2026, compared to CHF 5.5 million or $6.1 million in the same period in 2025. The increase was primarily driven by share-based compensation expense due to the increased value of awards granted after Q1 2025. The Company's net loss was CHF 28.9 million or $36.8 million for the quarter ended March 31, 2026, compared to CHF 33.2 million or $36.9 million for the same period in 2025. The decrease was primarily due to a CHF 3.9 million or $5.0 million lower non-cash fair value loss on warrant liabilities resulting from decreased warrant shares outstanding compared to Q1 2025, and a favorable foreign currency fluctuation due to favorable U.S. dollar versus Swiss Franc spot rates for U.S. dollar denominated transactions and assets, compared to a weaker U.S. dollar against the Swiss Franc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Events: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Conferences and Industry Events</w:t>
      </w:r>
    </w:p>
    <w:p>
      <w:pPr>
        <w:spacing w:after="0" w:line="102"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European Neuro-Ophthalmology Society Annual Meeting, June 4-6, Milan, Italy</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at the Summit, June 13, Las Vegas, NV, U.S.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EuDEC Meeting, June 18-20, Milan, Italy</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European Academy of Neurology (EAN) 12</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Congress, June 27-30, Geneva, Switzerland</w:t>
      </w:r>
    </w:p>
    <w:p>
      <w:pPr>
        <w:spacing w:after="0" w:line="6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American Society of Retina Specialists, July 15-18, Montreal,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1264920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500380</wp:posOffset>
            </wp:positionV>
            <wp:extent cx="2554605" cy="8655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655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1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CHF thousands)</w:t>
            </w:r>
          </w:p>
        </w:tc>
        <w:tc>
          <w:tcPr>
            <w:tcW w:w="1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18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7"/>
                <w:szCs w:val="17"/>
                <w:color w:val="auto"/>
              </w:rPr>
            </w:pPr>
          </w:p>
        </w:tc>
        <w:tc>
          <w:tcPr>
            <w:tcW w:w="18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13,292</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16,956</w:t>
            </w:r>
          </w:p>
        </w:tc>
        <w:tc>
          <w:tcPr>
            <w:tcW w:w="22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17,074</w:t>
            </w:r>
          </w:p>
        </w:tc>
        <w:tc>
          <w:tcPr>
            <w:tcW w:w="0" w:type="dxa"/>
            <w:vAlign w:val="bottom"/>
          </w:tcPr>
          <w:p>
            <w:pPr>
              <w:spacing w:after="0"/>
              <w:rPr>
                <w:sz w:val="1"/>
                <w:szCs w:val="1"/>
                <w:color w:val="auto"/>
              </w:rPr>
            </w:pPr>
          </w:p>
        </w:tc>
      </w:tr>
      <w:tr>
        <w:trPr>
          <w:trHeight w:val="385"/>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4,883</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Accrued income</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Short-term financial assets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131,684</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64,564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81,329</w:t>
            </w:r>
          </w:p>
        </w:tc>
        <w:tc>
          <w:tcPr>
            <w:tcW w:w="0" w:type="dxa"/>
            <w:vAlign w:val="bottom"/>
          </w:tcPr>
          <w:p>
            <w:pPr>
              <w:spacing w:after="0"/>
              <w:rPr>
                <w:sz w:val="1"/>
                <w:szCs w:val="1"/>
                <w:color w:val="auto"/>
              </w:rPr>
            </w:pP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227,037</w:t>
            </w:r>
          </w:p>
        </w:tc>
        <w:tc>
          <w:tcPr>
            <w:tcW w:w="22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218,889</w:t>
            </w:r>
          </w:p>
        </w:tc>
        <w:tc>
          <w:tcPr>
            <w:tcW w:w="0" w:type="dxa"/>
            <w:vAlign w:val="bottom"/>
          </w:tcPr>
          <w:p>
            <w:pPr>
              <w:spacing w:after="0"/>
              <w:rPr>
                <w:sz w:val="1"/>
                <w:szCs w:val="1"/>
                <w:color w:val="auto"/>
              </w:rPr>
            </w:pPr>
          </w:p>
        </w:tc>
      </w:tr>
      <w:tr>
        <w:trPr>
          <w:trHeight w:val="196"/>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2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243,993</w:t>
            </w:r>
          </w:p>
        </w:tc>
        <w:tc>
          <w:tcPr>
            <w:tcW w:w="220" w:type="dxa"/>
            <w:vAlign w:val="bottom"/>
            <w:vMerge w:val="continue"/>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235,963</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1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Share premium</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579,217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551,731</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Reserve for share-based payment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30,387</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Actuarial loss on post-employment benefit obligations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0" w:type="dxa"/>
            <w:vAlign w:val="bottom"/>
          </w:tcPr>
          <w:p>
            <w:pPr>
              <w:spacing w:after="0"/>
              <w:rPr>
                <w:sz w:val="1"/>
                <w:szCs w:val="1"/>
                <w:color w:val="auto"/>
              </w:rPr>
            </w:pP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losses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(413,366)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(384,514)</w:t>
            </w:r>
          </w:p>
        </w:tc>
        <w:tc>
          <w:tcPr>
            <w:tcW w:w="0" w:type="dxa"/>
            <w:vAlign w:val="bottom"/>
          </w:tcPr>
          <w:p>
            <w:pPr>
              <w:spacing w:after="0"/>
              <w:rPr>
                <w:sz w:val="1"/>
                <w:szCs w:val="1"/>
                <w:color w:val="auto"/>
              </w:rPr>
            </w:pP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196,648</w:t>
            </w:r>
          </w:p>
        </w:tc>
        <w:tc>
          <w:tcPr>
            <w:tcW w:w="22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196,070</w:t>
            </w:r>
          </w:p>
        </w:tc>
        <w:tc>
          <w:tcPr>
            <w:tcW w:w="0" w:type="dxa"/>
            <w:vAlign w:val="bottom"/>
          </w:tcPr>
          <w:p>
            <w:pPr>
              <w:spacing w:after="0"/>
              <w:rPr>
                <w:sz w:val="1"/>
                <w:szCs w:val="1"/>
                <w:color w:val="auto"/>
              </w:rPr>
            </w:pPr>
          </w:p>
        </w:tc>
      </w:tr>
      <w:tr>
        <w:trPr>
          <w:trHeight w:val="385"/>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Defined benefit pension liabilities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3,482</w:t>
            </w:r>
          </w:p>
        </w:tc>
        <w:tc>
          <w:tcPr>
            <w:tcW w:w="22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3,146</w:t>
            </w:r>
          </w:p>
        </w:tc>
        <w:tc>
          <w:tcPr>
            <w:tcW w:w="0" w:type="dxa"/>
            <w:vAlign w:val="bottom"/>
          </w:tcPr>
          <w:p>
            <w:pPr>
              <w:spacing w:after="0"/>
              <w:rPr>
                <w:sz w:val="1"/>
                <w:szCs w:val="1"/>
                <w:color w:val="auto"/>
              </w:rPr>
            </w:pPr>
          </w:p>
        </w:tc>
      </w:tr>
      <w:tr>
        <w:trPr>
          <w:trHeight w:val="385"/>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19,967</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14,478</w:t>
            </w:r>
          </w:p>
        </w:tc>
        <w:tc>
          <w:tcPr>
            <w:tcW w:w="0" w:type="dxa"/>
            <w:vAlign w:val="bottom"/>
          </w:tcPr>
          <w:p>
            <w:pPr>
              <w:spacing w:after="0"/>
              <w:rPr>
                <w:sz w:val="1"/>
                <w:szCs w:val="1"/>
                <w:color w:val="auto"/>
              </w:rPr>
            </w:pP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43,863</w:t>
            </w:r>
          </w:p>
        </w:tc>
        <w:tc>
          <w:tcPr>
            <w:tcW w:w="22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36,747</w:t>
            </w:r>
          </w:p>
        </w:tc>
        <w:tc>
          <w:tcPr>
            <w:tcW w:w="0" w:type="dxa"/>
            <w:vAlign w:val="bottom"/>
          </w:tcPr>
          <w:p>
            <w:pPr>
              <w:spacing w:after="0"/>
              <w:rPr>
                <w:sz w:val="1"/>
                <w:szCs w:val="1"/>
                <w:color w:val="auto"/>
              </w:rPr>
            </w:pPr>
          </w:p>
        </w:tc>
      </w:tr>
      <w:tr>
        <w:trPr>
          <w:trHeight w:val="196"/>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2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47,345</w:t>
            </w:r>
          </w:p>
        </w:tc>
        <w:tc>
          <w:tcPr>
            <w:tcW w:w="220" w:type="dxa"/>
            <w:vAlign w:val="bottom"/>
            <w:vMerge w:val="continue"/>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39,893</w:t>
            </w:r>
          </w:p>
        </w:tc>
        <w:tc>
          <w:tcPr>
            <w:tcW w:w="0" w:type="dxa"/>
            <w:vAlign w:val="bottom"/>
          </w:tcPr>
          <w:p>
            <w:pPr>
              <w:spacing w:after="0"/>
              <w:rPr>
                <w:sz w:val="1"/>
                <w:szCs w:val="1"/>
                <w:color w:val="auto"/>
              </w:rPr>
            </w:pPr>
          </w:p>
        </w:tc>
      </w:tr>
      <w:tr>
        <w:trPr>
          <w:trHeight w:val="196"/>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182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243,993</w:t>
            </w:r>
          </w:p>
        </w:tc>
        <w:tc>
          <w:tcPr>
            <w:tcW w:w="220" w:type="dxa"/>
            <w:vAlign w:val="bottom"/>
            <w:vMerge w:val="continue"/>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235,963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1530350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500380</wp:posOffset>
            </wp:positionV>
            <wp:extent cx="2554605" cy="8655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655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Loss (Unaudited)</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ended March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(Amounts in CHF thousands, except per share data)</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Grant income</w:t>
            </w: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285</w:t>
            </w:r>
          </w:p>
        </w:tc>
        <w:tc>
          <w:tcPr>
            <w:tcW w:w="0" w:type="dxa"/>
            <w:vAlign w:val="bottom"/>
          </w:tcPr>
          <w:p>
            <w:pPr>
              <w:spacing w:after="0"/>
              <w:rPr>
                <w:sz w:val="1"/>
                <w:szCs w:val="1"/>
                <w:color w:val="auto"/>
              </w:rPr>
            </w:pPr>
          </w:p>
        </w:tc>
      </w:tr>
      <w:tr>
        <w:trPr>
          <w:trHeight w:val="182"/>
        </w:trPr>
        <w:tc>
          <w:tcPr>
            <w:tcW w:w="51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Research and development expenses</w:t>
            </w:r>
          </w:p>
        </w:tc>
        <w:tc>
          <w:tcPr>
            <w:tcW w:w="112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(14,046)</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(14,771)</w:t>
            </w: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0" w:type="dxa"/>
            <w:vAlign w:val="bottom"/>
          </w:tcPr>
          <w:p>
            <w:pPr>
              <w:spacing w:after="0"/>
              <w:rPr>
                <w:sz w:val="1"/>
                <w:szCs w:val="1"/>
                <w:color w:val="auto"/>
              </w:rPr>
            </w:pP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(21,937)</w:t>
            </w:r>
          </w:p>
        </w:tc>
        <w:tc>
          <w:tcPr>
            <w:tcW w:w="220" w:type="dxa"/>
            <w:vAlign w:val="bottom"/>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(20,259)</w:t>
            </w:r>
          </w:p>
        </w:tc>
        <w:tc>
          <w:tcPr>
            <w:tcW w:w="0" w:type="dxa"/>
            <w:vAlign w:val="bottom"/>
          </w:tcPr>
          <w:p>
            <w:pPr>
              <w:spacing w:after="0"/>
              <w:rPr>
                <w:sz w:val="1"/>
                <w:szCs w:val="1"/>
                <w:color w:val="auto"/>
              </w:rPr>
            </w:pPr>
          </w:p>
        </w:tc>
      </w:tr>
      <w:tr>
        <w:trPr>
          <w:trHeight w:val="196"/>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(21,728)</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(19,974)</w:t>
            </w:r>
          </w:p>
        </w:tc>
        <w:tc>
          <w:tcPr>
            <w:tcW w:w="0" w:type="dxa"/>
            <w:vAlign w:val="bottom"/>
          </w:tcPr>
          <w:p>
            <w:pPr>
              <w:spacing w:after="0"/>
              <w:rPr>
                <w:sz w:val="1"/>
                <w:szCs w:val="1"/>
                <w:color w:val="auto"/>
              </w:rPr>
            </w:pPr>
          </w:p>
        </w:tc>
      </w:tr>
      <w:tr>
        <w:trPr>
          <w:trHeight w:val="385"/>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03"/>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expense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3"/>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adjustment on warrant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exchange gain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Finance result</w:t>
            </w:r>
          </w:p>
        </w:tc>
        <w:tc>
          <w:tcPr>
            <w:tcW w:w="1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(7,222)</w:t>
            </w:r>
          </w:p>
        </w:tc>
        <w:tc>
          <w:tcPr>
            <w:tcW w:w="220" w:type="dxa"/>
            <w:vAlign w:val="bottom"/>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(13,232)</w:t>
            </w:r>
          </w:p>
        </w:tc>
        <w:tc>
          <w:tcPr>
            <w:tcW w:w="0" w:type="dxa"/>
            <w:vAlign w:val="bottom"/>
          </w:tcPr>
          <w:p>
            <w:pPr>
              <w:spacing w:after="0"/>
              <w:rPr>
                <w:sz w:val="1"/>
                <w:szCs w:val="1"/>
                <w:color w:val="auto"/>
              </w:rPr>
            </w:pPr>
          </w:p>
        </w:tc>
      </w:tr>
      <w:tr>
        <w:trPr>
          <w:trHeight w:val="196"/>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Loss before tax for the period</w:t>
            </w: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(28,950)</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(33,206)</w:t>
            </w:r>
          </w:p>
        </w:tc>
        <w:tc>
          <w:tcPr>
            <w:tcW w:w="0" w:type="dxa"/>
            <w:vAlign w:val="bottom"/>
          </w:tcPr>
          <w:p>
            <w:pPr>
              <w:spacing w:after="0"/>
              <w:rPr>
                <w:sz w:val="1"/>
                <w:szCs w:val="1"/>
                <w:color w:val="auto"/>
              </w:rPr>
            </w:pPr>
          </w:p>
        </w:tc>
      </w:tr>
      <w:tr>
        <w:trPr>
          <w:trHeight w:val="393"/>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8"/>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(28,852)</w:t>
            </w: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(33,213)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per share: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and diluted loss attributable to equity 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1333500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500380</wp:posOffset>
            </wp:positionV>
            <wp:extent cx="2554605" cy="8655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655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Oculis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Oculis is a global biopharmaceutical company (Nasdaq: OCS; XICE: OCS) focused on breakthrough innovations to address significant unmet medical needs in neuro-ophthalmology and ophthalmology. Oculis’ highly differentiated late-stage clinical pipeline includes three core product candidates: OCS-01, an eye drop in pivotal registration studies, aiming to become the first non-invasive topical treatment for diabetic macular edema (DME); Licaminlimab, a novel, topical anti-TNFα in registrational trial, which is being developed with a genotype-based approach to drive precision medicine in dry eye disease (DED),and Privosegtor, a breakthrough neuroprotective candidate in the PIONEER program which consists of studies intended to support registration plans for treatment in optic neuropathies like optic neuritis (ON) and non-arteritic anterior ischemic optic neuropathy (NAION), with potentially broad clinical applications in various other neuro-ophthalmic and neurological diseases. Headquartered in Switzerland with operations in the U.S., Iceland and Switzerland, Oculis is led by an experienced management team with a successful track record and supported by leading international healthcare investors.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www.oculis.com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Oculis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Sylvia Cheung, CFO</w:t>
      </w:r>
    </w:p>
    <w:p>
      <w:pPr>
        <w:spacing w:after="0"/>
        <w:rPr>
          <w:sz w:val="20"/>
          <w:szCs w:val="20"/>
          <w:color w:val="auto"/>
        </w:rPr>
      </w:pPr>
      <w:r>
        <w:rPr>
          <w:rFonts w:ascii="Arial" w:cs="Arial" w:eastAsia="Arial" w:hAnsi="Arial"/>
          <w:sz w:val="18"/>
          <w:szCs w:val="18"/>
          <w:color w:val="auto"/>
        </w:rPr>
        <w:t>sylvia.cheung@oculis.com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w:t>
      </w:r>
    </w:p>
    <w:p>
      <w:pPr>
        <w:spacing w:after="0" w:line="234" w:lineRule="auto"/>
        <w:rPr>
          <w:sz w:val="20"/>
          <w:szCs w:val="20"/>
          <w:color w:val="auto"/>
        </w:rPr>
      </w:pPr>
      <w:r>
        <w:rPr>
          <w:rFonts w:ascii="Arial" w:cs="Arial" w:eastAsia="Arial" w:hAnsi="Arial"/>
          <w:sz w:val="18"/>
          <w:szCs w:val="18"/>
          <w:color w:val="auto"/>
        </w:rPr>
        <w:t>Corey Davis, Ph.D.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cdavis@lifesciadvisors.com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Healthcare</w:t>
      </w:r>
    </w:p>
    <w:p>
      <w:pPr>
        <w:spacing w:after="0" w:line="234" w:lineRule="auto"/>
        <w:rPr>
          <w:sz w:val="20"/>
          <w:szCs w:val="20"/>
          <w:color w:val="auto"/>
        </w:rPr>
      </w:pPr>
      <w:r>
        <w:rPr>
          <w:rFonts w:ascii="Arial" w:cs="Arial" w:eastAsia="Arial" w:hAnsi="Arial"/>
          <w:sz w:val="18"/>
          <w:szCs w:val="18"/>
          <w:color w:val="auto"/>
        </w:rPr>
        <w:t>Amber Fennell / David Daley / Sean Leous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oculis@icrhealthcare.com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forward-looking statements and information. For example, statements regarding the potential benefits of the Company’s product candidates, the initiation, timing, progress and results of current and future clinical trials, Oculis’ research and development programs, regulatory and business strategy; Oculis’ future development plans; the timing or likelihood of regulatory filings and approvals; statements about market opportunity, and the Company’s expected financial position and cash runway, are forward-looking. All forward-looking statements are based on estimates and assumptions that, while considered reasonable by Oculis and its management, are inherently uncertain and are inherently subject to risks, variability, and contingencies, many of which are beyond Oculis’ control. These forward-looking statements are provided for illustrative purposes only and are not intended to serve as, and must not be relied on by an investor as, a guarantee, assurance, prediction or definitive statement of a fact or probability. Actual events and circumstances are difficult or impossible to predict and will differ from assumptions. All forward-looking statements are subject to risks, uncertainties and other factors that may cause actual results to differ materially from those that we expected and/or those expressed or implied by such forward-looking statements. Forward-looking statements are subject to numerous conditions, many of which are beyond the control of Oculis, including those set forth in the Risk Factors section of Oculis’ annual report on Form 20-F and any other documents filed with the SEC. Copies of these documents are available on the SEC’s website, www.sec.gov. Oculis undertakes no obligation to update these statements for revisions or changes after the date of this release,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104"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Decision Resources Group: DME – DR Landscape Forecast – Disease Landscape Forecast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500380</wp:posOffset>
            </wp:positionV>
            <wp:extent cx="2554605" cy="8655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2" w:hanging="372"/>
        <w:spacing w:after="0"/>
        <w:tabs>
          <w:tab w:leader="none" w:pos="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Iris Registry – Baseline characteristics and demographics of treatment naïve patients at diagnosis (Table S1)</w:t>
      </w:r>
    </w:p>
    <w:p>
      <w:pPr>
        <w:spacing w:after="0" w:line="103" w:lineRule="exact"/>
        <w:rPr>
          <w:rFonts w:ascii="Arial" w:cs="Arial" w:eastAsia="Arial" w:hAnsi="Arial"/>
          <w:sz w:val="18"/>
          <w:szCs w:val="18"/>
          <w:color w:val="auto"/>
        </w:rPr>
      </w:pPr>
    </w:p>
    <w:p>
      <w:pPr>
        <w:ind w:left="372" w:hanging="372"/>
        <w:spacing w:after="0"/>
        <w:tabs>
          <w:tab w:leader="none" w:pos="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Gonzalez 2016 Early and Long-term Responses to VEGF Therapy in DME: Analysis of protocol I data</w:t>
      </w:r>
    </w:p>
    <w:p>
      <w:pPr>
        <w:spacing w:after="0" w:line="103" w:lineRule="exact"/>
        <w:rPr>
          <w:rFonts w:ascii="Arial" w:cs="Arial" w:eastAsia="Arial" w:hAnsi="Arial"/>
          <w:sz w:val="18"/>
          <w:szCs w:val="18"/>
          <w:color w:val="auto"/>
        </w:rPr>
      </w:pPr>
    </w:p>
    <w:p>
      <w:pPr>
        <w:ind w:left="372" w:hanging="372"/>
        <w:spacing w:after="0"/>
        <w:tabs>
          <w:tab w:leader="none" w:pos="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GlobalData - Dry Eye Syndrome Global Drug Forecast and market analysis to 2026</w:t>
      </w:r>
    </w:p>
    <w:p>
      <w:pPr>
        <w:spacing w:after="0" w:line="103" w:lineRule="exact"/>
        <w:rPr>
          <w:rFonts w:ascii="Arial" w:cs="Arial" w:eastAsia="Arial" w:hAnsi="Arial"/>
          <w:sz w:val="18"/>
          <w:szCs w:val="18"/>
          <w:color w:val="auto"/>
        </w:rPr>
      </w:pPr>
    </w:p>
    <w:p>
      <w:pPr>
        <w:ind w:left="372" w:hanging="372"/>
        <w:spacing w:after="0" w:line="271" w:lineRule="auto"/>
        <w:tabs>
          <w:tab w:leader="none" w:pos="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Health Union Community Editorial Team. 2021 In America Survey Findings: Living With Chronic Dry Eye. Chronic Dry Eye. 2021. https://chronicdryeye.net/infographic/in-america-findings.</w:t>
      </w:r>
    </w:p>
    <w:p>
      <w:pPr>
        <w:spacing w:after="0" w:line="45" w:lineRule="exact"/>
        <w:rPr>
          <w:rFonts w:ascii="Arial" w:cs="Arial" w:eastAsia="Arial" w:hAnsi="Arial"/>
          <w:sz w:val="18"/>
          <w:szCs w:val="18"/>
          <w:color w:val="auto"/>
        </w:rPr>
      </w:pPr>
    </w:p>
    <w:p>
      <w:pPr>
        <w:jc w:val="both"/>
        <w:ind w:left="372" w:hanging="372"/>
        <w:spacing w:after="0" w:line="253" w:lineRule="auto"/>
        <w:tabs>
          <w:tab w:leader="none" w:pos="3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Mbagwu M, et al. Characterization of Discontinuation and Switching Patterns of Dry Eye Disease Medications Using Linked EHR Registry and Claims Data. Presented at: ASCRS Annual Meeting 2024 https://ophthalmology360.com/study-finds-high-discontinuation-rate-of-dry-eye-medications/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1126490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7"/>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4"/>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2026-05-11T15:20:22Z</dcterms:created>
  <dcterms:modified xsi:type="dcterms:W3CDTF">2026-05-11T15:20:22Z</dcterms:modified>
</cp:coreProperties>
</file>