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Eduardo Bravo Fernandez de Araoz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Principal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Oculis Holding AG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Bahnhofstrasse 7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CH-6300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Zug, Switzerland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Oculis Holding AG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7,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333-268201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Eduardo Bravo Fernandez de Araoz: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0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 about the Business Combination and the Extraordinary General Meeting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Shareholders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60" w:hanging="315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What equity stake will the current holders of public shares of EBAC .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 . ., page 18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sponsor and its affiliates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potential ownership interest in the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740" w:space="420"/>
            <w:col w:w="697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assuming exercise and conversion of all securities.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59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highlight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that the sponsor will benefit from the completion of a business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combination and may be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incentivized to complete an acquisition of a less favorable target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or on terms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less favorable to shareholders rather than liquidate.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Eduardo Bravo Fernandez de Araoz</w:t>
      </w:r>
    </w:p>
    <w:p>
      <w:pPr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LastNameEduardo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Bravo Fernandez de Araoz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Oculis Holding AG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Comapany2,</w:t>
      </w:r>
    </w:p>
    <w:p>
      <w:pPr>
        <w:spacing w:after="0" w:line="237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NameOculis</w:t>
      </w:r>
    </w:p>
    <w:p>
      <w:pPr>
        <w:ind w:left="1380"/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 AG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2, 2022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Information, page 176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disclosure to show the potential impact of redemptions on the per share value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shares owned by non-redeeming shareholders by including a sensitivity analysis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showing a range of redemption scenarios, including minimum, maximum and interim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 levels.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disclose all possible sources and extent of dilution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shareholders who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elect not to redeem their shares may experience in connection with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Provide disclosure of the impact of each significant source of dilution,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 amount of equity held by founders, convertible securities, including warrants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retained by redeeming shareholders, at each of the redemption levels detailed in your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sensitivity analysis, including any needed assumptions.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 appears that underwriting fees remain constant and are not adjusted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redemptions. Revise your disclosure to disclose the effective underwriting fee on a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basis for shares at each redemption level presented in your sensitivity analysis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dilution.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Statement of Financial Position as of June 30, 2022,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181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4,251,595 Public Warrants and 151,699 Private Warrants issued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EBAC in connection with its IPO, please tell us whether you anticipate any change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classification between liabilities and equity upon consummation of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If so, please revise your pro forma financial statements accordingly.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Statement of Operations for the Year Ended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2021, page 184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Note 4 related party transaction of EBAC financial statement at page F-15,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disclosed EBAC founder shares are subject to share based compensation accounting upon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occurrence of a business combination as a performance condition under ASC 718.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you anticipate such accounting under IFRS as issued by the IASB. If so,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your pro forma financial statements accordingly. Business of Oculis and Certain Information about Oculis, page 193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several statements that if your product candidates were approved today, they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be the first and only such treatment for certain indications. These statements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speculative and are inappropriate given the length of time and uncertainty with respect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securing marketing approval. If your intention is to convey your belief that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candidates utilize a novel technology or approach, you may discuss how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 differs from technology used by competitors or that you are not aware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competing products that are further along in the development process. Statements such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should be accompanied by cautionary language that the statements are not intended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659" w:firstLine="105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Eduardo Bravo Fernandez de Araoz Oculis Holding AG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2, 2022 Page 3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give any indication that your product candidates have been proven effective or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 regulatory approval. Company Overview, page 193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where appropriate to provide the data and assumptions relied on for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estimated indication populations and estimated addressable market of your product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for each indication.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inclusion of the glaucoma, geographic atrophy, diabetic retinopathy,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neurotrophic keratitis indications for OCS-05, and the OCS-03 and OCS-04 programs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pipeline table on page 193. Please explain why each program is sufficiently material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business to warrant inclusion in your pipeline table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provide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disclosure about these programs in your Business of Oculis and Certain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Oculis section including, without limitation, the current status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 development and future development plans. Alternatively, remove the programs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your pipeline table.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early stage and lack of disclosure regarding the undisclosed product candidate,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remove the undisclosed product candidate row from the pipeline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statements on pages 194 and 204 that topical ocular administration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OCS-02 showed efficacy as efficacy determinations are solely within the authority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 or similar regulatory body. You may provide a summary of the objective data from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trials without including conclusions related to efficacy. Similarly, please revise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page 196 that you are conducting a Phase 3 clinical trial of OCS-01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"confirm its efficacy" in treating inflammation and pain following ocular surgery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remove the reference to "positive" Phase 2 clinical trial results achieved with OCS-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80" w:hanging="324"/>
        <w:spacing w:after="0" w:line="238" w:lineRule="auto"/>
        <w:tabs>
          <w:tab w:leader="none" w:pos="1280" w:val="left"/>
        </w:tabs>
        <w:numPr>
          <w:ilvl w:val="1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treating DME on page 201.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82 that OCS-05 has been subject to a clinical hold by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FDA since 2016. Please revise your discussion of OCS-05 on pages 193,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208, and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pipeline table to discuss the clinical hold and the steps that you must take to clear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hold. Please also include in your discussion the fact that if you are unable to clear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hold, OCS-05 may not receive clearance from the FDA to proceed with human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trials, may never receive regulatory approval from the FDA, and you may 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unable to market and commercialize OCS-05 in the United States. Our Executive Management Team, page 195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limit the disclosure of specific investors to those identified in the Principal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 table on page 320. Additionally, indicate that prospective investors should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LastNameEduardo Bravo Fernandez de Araoz</w:t>
      </w:r>
    </w:p>
    <w:p>
      <w:pPr>
        <w:ind w:left="74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rely on the named investors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investment decision, that these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may have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NameOculis</w:t>
      </w:r>
    </w:p>
    <w:p>
      <w:pPr>
        <w:ind w:left="740"/>
        <w:spacing w:after="0" w:line="238" w:lineRule="auto"/>
        <w:tabs>
          <w:tab w:leader="none" w:pos="2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</w:t>
      </w:r>
    </w:p>
    <w:p>
      <w:pPr>
        <w:ind w:left="1800"/>
        <w:spacing w:after="0"/>
        <w:tabs>
          <w:tab w:leader="none" w:pos="3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tolerances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AG</w:t>
      </w:r>
    </w:p>
    <w:p>
      <w:pPr>
        <w:ind w:left="34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that the investors acquired their shares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a significant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discount</w:t>
      </w:r>
    </w:p>
    <w:p>
      <w:pPr>
        <w:spacing w:after="0" w:line="237" w:lineRule="auto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to the</w:t>
      </w:r>
    </w:p>
    <w:p>
      <w:pPr>
        <w:ind w:left="116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2, 2022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Pagemarket</w:t>
      </w: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price, if true.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60" w:space="120"/>
            <w:col w:w="6859"/>
          </w:cols>
          <w:pgMar w:left="320" w:top="136" w:right="1440" w:bottom="0" w:gutter="0" w:footer="0" w:header="0"/>
          <w:type w:val="continuous"/>
        </w:sectPr>
      </w:pP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Eduardo Bravo Fernandez de Araoz</w:t>
      </w:r>
    </w:p>
    <w:p>
      <w:pPr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LastNameEduardo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Bravo Fernandez de Araoz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Oculis Holding AG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Comapany2,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NameOculis</w:t>
      </w:r>
    </w:p>
    <w:p>
      <w:pPr>
        <w:ind w:left="1380"/>
        <w:spacing w:after="0" w:line="237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 AG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2, 2022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clinical development candidates, page 197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jursidiction of your DIAMOND trial.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page 199 to provide the basis for your belief that approximately 40%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 have a suboptimal response to therapy after 12 weeks of anti-VEGF treatment.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Licenses, Partnerships and Collaborations, page 211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of the tiered royalties percentage for both license agreements</w:t>
      </w:r>
    </w:p>
    <w:p>
      <w:pPr>
        <w:ind w:left="960"/>
        <w:spacing w:after="0"/>
        <w:tabs>
          <w:tab w:leader="none" w:pos="3360" w:val="left"/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further define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low double-digit percentage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 a range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10% percentage points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  <w:type w:val="continuous"/>
        </w:sectPr>
      </w:pPr>
    </w:p>
    <w:bookmarkStart w:id="3" w:name="page4"/>
    <w:bookmarkEnd w:id="3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mid-single digit. Please also revise the disclosure of the royalty term for both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to specify the number of years following the first commercial sale that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royalties are payable.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Oculis 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Expenses, page 242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further disclose the costs incurred on each of your key research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projects. If you do not track your research and development costs by project,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that fact and explain why you do not maintain and evaluate research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0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development costs by project. Background of the Business Combination, page 349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additional detail of how EBAC eliminated the six potential targets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than Oculis from consideration. For example, without limitation, disclose who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initiated discussions with each target, describe the negotiations, including when they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started and ended, the reasons negotiations ceased, and describe each target s business.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Oculis SA Consolidated Financial Statements for the Years Ended December 31, 2021 and 2020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8. Intangible Assets, page F-63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you disclose that Oculis recognized CHF 4,025 thousand as the license was partially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acquired from Novartis in a share-based compensation transaction completed in 2019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increased the amount of share premium for the corresponding value. Please expand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disclosures to describe the share-based compensation transaction and how you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arrived at the CHF 4,025 thousand valuation from that transaction. Beneficial Ownership of New Parent Securities, page 319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identify the natural person or persons who have voting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investment control of the shares held by certain funds managed by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Pivotal</w:t>
      </w:r>
    </w:p>
    <w:p>
      <w:pPr>
        <w:ind w:left="960"/>
        <w:spacing w:after="0"/>
        <w:tabs>
          <w:tab w:leader="none" w:pos="4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Partners, Brunnur vaxtarsj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ur slhf. and BEYEOTECH.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Eduardo Bravo Fernandez de Araoz</w:t>
      </w:r>
    </w:p>
    <w:p>
      <w:pPr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LastNameEduardo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Bravo Fernandez de Araoz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Oculis Holding AG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Comapany2,</w:t>
      </w:r>
    </w:p>
    <w:p>
      <w:pPr>
        <w:spacing w:after="0" w:line="237" w:lineRule="auto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  <w:tab/>
        <w:t>NameOculis</w:t>
      </w:r>
    </w:p>
    <w:p>
      <w:pPr>
        <w:ind w:left="1380"/>
        <w:spacing w:after="0" w:line="238" w:lineRule="auto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Holding AG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2, 2022 Page 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Property, page 214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in this section regarding granted patents in foreign jurisdictions.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identify the material foreign jurisdictions for each granted patent.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a number of financial institutions have acted as advisors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the Business Combination and PIPE Financing or as underwriters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EBAC SPAC IPO. We also note press reports that certain financial advisors are ending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involvement in SPAC business combination transactions. Please tell us, with a view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disclosure, whether you have received notice from any of the firms advising on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transaction about them ceasing involvement in your transaction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that may impact your deal or the deferred underwriting compensation owed to such</w:t>
      </w:r>
    </w:p>
    <w:p>
      <w:pPr>
        <w:ind w:left="960"/>
        <w:spacing w:after="0"/>
        <w:tabs>
          <w:tab w:leader="none" w:pos="3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firms for the SPAC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initial public offering.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 disclosure, please tell us whether your sponsor is, is controlled by, has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4" w:name="page5"/>
    <w:bookmarkEnd w:id="4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members who are, or has substantial ties with, a non-U.S. person. Please also tell us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anyone or any entity associated with or otherwise involved in the transaction, is,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controlled by, or has substantial ties with a non-U.S. person. If so, please revise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filing to include risk factor disclosure that addresses how this fact could impact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ability to complete your initial business combination. For instance, discuss the risk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that you may not be able to complete an initial business combination with a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target company should the transaction be subject to review by a U.S. government entity,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as the Committee on Foreign Investment in the United States (CFIUS), or ultimately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prohibited. Further, disclose that the time necessary for government review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or a decision to prohibit the transaction could prevent you from completing 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business combination and require you to liquidate. Disclose the consequences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liquidation to investors, such as the losses of the investment opportunity in a target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company, any price appreciation in the combined company, and the warrants, which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expire worthless.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Eduardo Bravo Fernandez de Araoz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Oculis Holding AG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Li Xiao at 202-551-4391 or Daniel Gordon at 202-551-3486 if you have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Daniel Crawford at 202-551-7767 or Ada D. Sarmento at 202-551-3798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LastNameEduardo Bravo Fernandez de Araoz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NameOculis Holding AG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2, 2022 Page 6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7179" w:firstLine="8"/>
        <w:spacing w:after="0" w:line="235" w:lineRule="auto"/>
        <w:tabs>
          <w:tab w:leader="none" w:pos="1053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Derek Dostal, Esq. 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07ED7AB"/>
    <w:multiLevelType w:val="hybridMultilevel"/>
    <w:lvl w:ilvl="0">
      <w:lvlJc w:val="left"/>
      <w:lvlText w:val="%1:"/>
      <w:numFmt w:val="upperLetter"/>
      <w:start w:val="17"/>
    </w:lvl>
  </w:abstractNum>
  <w:abstractNum w:abstractNumId="1">
    <w:nsid w:val="2EB141F2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41B71EFB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79E2A9E3"/>
    <w:multiLevelType w:val="hybridMultilevel"/>
    <w:lvl w:ilvl="0">
      <w:lvlJc w:val="left"/>
      <w:lvlText w:val="%1."/>
      <w:numFmt w:val="decimal"/>
      <w:start w:val="11"/>
    </w:lvl>
    <w:lvl w:ilvl="1">
      <w:lvlJc w:val="left"/>
      <w:lvlText w:val="%2"/>
      <w:numFmt w:val="decimal"/>
      <w:start w:val="1"/>
    </w:lvl>
  </w:abstractNum>
  <w:abstractNum w:abstractNumId="4">
    <w:nsid w:val="7545E146"/>
    <w:multiLevelType w:val="hybridMultilevel"/>
    <w:lvl w:ilvl="0">
      <w:lvlJc w:val="left"/>
      <w:lvlText w:val="%1"/>
      <w:numFmt w:val="decimal"/>
      <w:start w:val="195"/>
    </w:lvl>
    <w:lvl w:ilvl="1">
      <w:lvlJc w:val="left"/>
      <w:lvlText w:val="%2"/>
      <w:numFmt w:val="decimal"/>
      <w:start w:val="1"/>
    </w:lvl>
  </w:abstractNum>
  <w:abstractNum w:abstractNumId="5">
    <w:nsid w:val="515F007C"/>
    <w:multiLevelType w:val="hybridMultilevel"/>
    <w:lvl w:ilvl="0">
      <w:lvlJc w:val="left"/>
      <w:lvlText w:val="%1."/>
      <w:numFmt w:val="decimal"/>
      <w:start w:val="14"/>
    </w:lvl>
    <w:lvl w:ilvl="1">
      <w:lvlJc w:val="left"/>
      <w:lvlText w:val="%2"/>
      <w:numFmt w:val="decimal"/>
      <w:start w:val="1"/>
    </w:lvl>
  </w:abstractNum>
  <w:abstractNum w:abstractNumId="6">
    <w:nsid w:val="5BD062C2"/>
    <w:multiLevelType w:val="hybridMultilevel"/>
    <w:lvl w:ilvl="0">
      <w:lvlJc w:val="left"/>
      <w:lvlText w:val="%1."/>
      <w:numFmt w:val="decimal"/>
      <w:start w:val="15"/>
    </w:lvl>
  </w:abstractNum>
  <w:abstractNum w:abstractNumId="7">
    <w:nsid w:val="12200854"/>
    <w:multiLevelType w:val="hybridMultilevel"/>
    <w:lvl w:ilvl="0">
      <w:lvlJc w:val="left"/>
      <w:lvlText w:val="%1."/>
      <w:numFmt w:val="decimal"/>
      <w:start w:val="18"/>
    </w:lvl>
  </w:abstractNum>
  <w:abstractNum w:abstractNumId="8">
    <w:nsid w:val="4DB127F8"/>
    <w:multiLevelType w:val="hybridMultilevel"/>
    <w:lvl w:ilvl="0">
      <w:lvlJc w:val="left"/>
      <w:lvlText w:val="%1."/>
      <w:numFmt w:val="decimal"/>
      <w:start w:val="22"/>
    </w:lvl>
  </w:abstractNum>
  <w:abstractNum w:abstractNumId="9">
    <w:nsid w:val="216231B"/>
    <w:multiLevelType w:val="hybridMultilevel"/>
    <w:lvl w:ilvl="0">
      <w:lvlJc w:val="left"/>
      <w:lvlText w:val="%1."/>
      <w:numFmt w:val="decimal"/>
      <w:start w:val="24"/>
    </w:lvl>
  </w:abstractNum>
  <w:abstractNum w:abstractNumId="10">
    <w:nsid w:val="1F16E9E8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2023-03-13T23:13:44Z</dcterms:created>
  <dcterms:modified xsi:type="dcterms:W3CDTF">2023-03-13T23:13:44Z</dcterms:modified>
</cp:coreProperties>
</file>