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ocs-20260806.htm"/>
      <w:bookmarkStart w:id="1" w:name="ksocs20260806"/>
      <w:bookmarkEnd w:id="0"/>
      <w:bookmarkEnd w:id="1"/>
      <w:r>
        <w:rPr>
          <w:rFonts w:ascii="Times New Roman" w:hAnsi="Times New Roman"/>
          <w:b/>
          <w:color w:val="000000"/>
          <w:sz w:val="20"/>
        </w:rPr>
        <w:t>As filed with the Securities and Exchange Commission on August 6, 2026</w:t>
      </w:r>
      <w:r>
        <w:rPr>
          <w:rFonts w:ascii="Times New Roman" w:hAnsi="Times New Roman"/>
          <w:color w:val="000000"/>
          <w:sz w:val="20"/>
        </w:rPr>
        <w:t xml:space="preserve"> </w:t>
      </w:r>
      <w:r>
        <mc:AlternateContent>
          <mc:Choice Requires="wps">
            <w:drawing>
              <wp:anchor behindDoc="0" distT="0" distB="0" distL="0" distR="0" simplePos="0" locked="0" layoutInCell="1" allowOverlap="1" relativeHeight="2">
                <wp:simplePos x="0" y="0"/>
                <wp:positionH relativeFrom="page">
                  <wp:posOffset>172720</wp:posOffset>
                </wp:positionH>
                <wp:positionV relativeFrom="page">
                  <wp:posOffset>4003675</wp:posOffset>
                </wp:positionV>
                <wp:extent cx="1463040" cy="6688455"/>
                <wp:effectExtent l="0" t="0" r="0" b="0"/>
                <wp:wrapNone/>
                <wp:docPr id="1" name="Frame1"/>
                <a:graphic xmlns:a="http://schemas.openxmlformats.org/drawingml/2006/main">
                  <a:graphicData uri="http://schemas.microsoft.com/office/word/2010/wordprocessingShape">
                    <wps:wsp>
                      <wps:cNvSpPr txBox="1"/>
                      <wps:spPr>
                        <a:xfrm>
                          <a:off x="0" y="0"/>
                          <a:ext cx="1463040" cy="6688455"/>
                        </a:xfrm>
                        <a:prstGeom prst="rect"/>
                        <a:solidFill>
                          <a:srgbClr val="FFFFFF"/>
                        </a:solidFill>
                      </wps:spPr>
                      <wps:txbx>
                        <w:txbxContent>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VISCHER Ltd</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Basel</w:t>
                            </w:r>
                          </w:p>
                          <w:p>
                            <w:pPr>
                              <w:pStyle w:val="TextBody"/>
                              <w:bidi w:val="0"/>
                              <w:jc w:val="left"/>
                              <w:rPr>
                                <w:rFonts w:ascii="Verdana;sans-serif" w:hAnsi="Verdana;sans-serif"/>
                                <w:color w:val="000000"/>
                                <w:sz w:val="14"/>
                              </w:rPr>
                            </w:pPr>
                            <w:r>
                              <w:rPr>
                                <w:rFonts w:ascii="Verdana;sans-serif" w:hAnsi="Verdana;sans-serif"/>
                                <w:color w:val="000000"/>
                                <w:sz w:val="14"/>
                              </w:rPr>
                              <w:t>Aeschenvorstadt 4</w:t>
                              <w:br/>
                              <w:t>P.O. Box</w:t>
                            </w:r>
                          </w:p>
                          <w:p>
                            <w:pPr>
                              <w:pStyle w:val="TextBody"/>
                              <w:bidi w:val="0"/>
                              <w:jc w:val="left"/>
                              <w:rPr>
                                <w:rFonts w:ascii="Verdana;sans-serif" w:hAnsi="Verdana;sans-serif"/>
                                <w:color w:val="000000"/>
                                <w:sz w:val="14"/>
                              </w:rPr>
                            </w:pPr>
                            <w:r>
                              <w:rPr>
                                <w:rFonts w:ascii="Verdana;sans-serif" w:hAnsi="Verdana;sans-serif"/>
                                <w:color w:val="000000"/>
                                <w:sz w:val="14"/>
                              </w:rPr>
                              <w:t>CH-4010 Basel</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Phone +41 58 211 33 00</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Zurich</w:t>
                            </w:r>
                          </w:p>
                          <w:p>
                            <w:pPr>
                              <w:pStyle w:val="TextBody"/>
                              <w:bidi w:val="0"/>
                              <w:jc w:val="left"/>
                              <w:rPr>
                                <w:rFonts w:ascii="Verdana;sans-serif" w:hAnsi="Verdana;sans-serif"/>
                                <w:color w:val="000000"/>
                                <w:sz w:val="14"/>
                              </w:rPr>
                            </w:pPr>
                            <w:r>
                              <w:rPr>
                                <w:rFonts w:ascii="Verdana;sans-serif" w:hAnsi="Verdana;sans-serif"/>
                                <w:color w:val="000000"/>
                                <w:sz w:val="14"/>
                              </w:rPr>
                              <w:t>Schützengasse 1</w:t>
                            </w:r>
                          </w:p>
                          <w:p>
                            <w:pPr>
                              <w:pStyle w:val="TextBody"/>
                              <w:bidi w:val="0"/>
                              <w:jc w:val="left"/>
                              <w:rPr>
                                <w:rFonts w:ascii="Verdana;sans-serif" w:hAnsi="Verdana;sans-serif"/>
                                <w:color w:val="000000"/>
                                <w:sz w:val="14"/>
                              </w:rPr>
                            </w:pPr>
                            <w:r>
                              <w:rPr>
                                <w:rFonts w:ascii="Verdana;sans-serif" w:hAnsi="Verdana;sans-serif"/>
                                <w:color w:val="000000"/>
                                <w:sz w:val="14"/>
                              </w:rPr>
                              <w:t>P.O. Box</w:t>
                            </w:r>
                          </w:p>
                          <w:p>
                            <w:pPr>
                              <w:pStyle w:val="TextBody"/>
                              <w:bidi w:val="0"/>
                              <w:jc w:val="left"/>
                              <w:rPr>
                                <w:rFonts w:ascii="Verdana;sans-serif" w:hAnsi="Verdana;sans-serif"/>
                                <w:color w:val="000000"/>
                                <w:sz w:val="14"/>
                              </w:rPr>
                            </w:pPr>
                            <w:r>
                              <w:rPr>
                                <w:rFonts w:ascii="Verdana;sans-serif" w:hAnsi="Verdana;sans-serif"/>
                                <w:color w:val="000000"/>
                                <w:sz w:val="14"/>
                              </w:rPr>
                              <w:t>CH-8021 Zurich</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Phone +41 58 211 34 00</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Geneva</w:t>
                            </w:r>
                          </w:p>
                          <w:p>
                            <w:pPr>
                              <w:pStyle w:val="TextBody"/>
                              <w:bidi w:val="0"/>
                              <w:jc w:val="left"/>
                              <w:rPr>
                                <w:rFonts w:ascii="Verdana;sans-serif" w:hAnsi="Verdana;sans-serif"/>
                                <w:color w:val="000000"/>
                                <w:sz w:val="14"/>
                              </w:rPr>
                            </w:pPr>
                            <w:r>
                              <w:rPr>
                                <w:rFonts w:ascii="Verdana;sans-serif" w:hAnsi="Verdana;sans-serif"/>
                                <w:color w:val="000000"/>
                                <w:sz w:val="14"/>
                              </w:rPr>
                              <w:t>Esplanade de Pont-Rouge 9C</w:t>
                            </w:r>
                          </w:p>
                          <w:p>
                            <w:pPr>
                              <w:pStyle w:val="TextBody"/>
                              <w:bidi w:val="0"/>
                              <w:jc w:val="left"/>
                              <w:rPr>
                                <w:rFonts w:ascii="Verdana;sans-serif" w:hAnsi="Verdana;sans-serif"/>
                                <w:color w:val="000000"/>
                                <w:sz w:val="14"/>
                              </w:rPr>
                            </w:pPr>
                            <w:r>
                              <w:rPr>
                                <w:rFonts w:ascii="Verdana;sans-serif" w:hAnsi="Verdana;sans-serif"/>
                                <w:color w:val="000000"/>
                                <w:sz w:val="14"/>
                              </w:rPr>
                              <w:t>P.O. Box</w:t>
                            </w:r>
                          </w:p>
                          <w:p>
                            <w:pPr>
                              <w:pStyle w:val="TextBody"/>
                              <w:bidi w:val="0"/>
                              <w:jc w:val="left"/>
                              <w:rPr>
                                <w:rFonts w:ascii="Verdana;sans-serif" w:hAnsi="Verdana;sans-serif"/>
                                <w:color w:val="000000"/>
                                <w:sz w:val="14"/>
                              </w:rPr>
                            </w:pPr>
                            <w:r>
                              <w:rPr>
                                <w:rFonts w:ascii="Verdana;sans-serif" w:hAnsi="Verdana;sans-serif"/>
                                <w:color w:val="000000"/>
                                <w:sz w:val="14"/>
                              </w:rPr>
                              <w:t>CH-1200 Geneva</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Tel +41 58 211 35 00</w:t>
                            </w:r>
                          </w:p>
                          <w:p>
                            <w:pPr>
                              <w:pStyle w:val="TextBody"/>
                              <w:bidi w:val="0"/>
                              <w:jc w:val="left"/>
                              <w:rPr/>
                            </w:pPr>
                            <w:r>
                              <w:rPr/>
                              <w:t> </w:t>
                            </w:r>
                          </w:p>
                          <w:p>
                            <w:pPr>
                              <w:pStyle w:val="TextBody"/>
                              <w:bidi w:val="0"/>
                              <w:jc w:val="left"/>
                              <w:rPr>
                                <w:rFonts w:ascii="Verdana;sans-serif" w:hAnsi="Verdana;sans-serif"/>
                                <w:color w:val="000000"/>
                                <w:sz w:val="14"/>
                              </w:rPr>
                            </w:pPr>
                            <w:r>
                              <w:rPr>
                                <w:rFonts w:ascii="Verdana;sans-serif" w:hAnsi="Verdana;sans-serif"/>
                                <w:color w:val="000000"/>
                                <w:sz w:val="14"/>
                              </w:rPr>
                              <w:t xml:space="preserve">Civil Law Notaries in </w:t>
                              <w:br/>
                              <w:t>Basel-City and Baselland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120"/>
                              <w:jc w:val="both"/>
                              <w:rPr/>
                            </w:pPr>
                            <w:r>
                              <w:rPr/>
                              <w:t> </w:t>
                            </w:r>
                          </w:p>
                        </w:txbxContent>
                      </wps:txbx>
                      <wps:bodyPr anchor="t" lIns="0" tIns="0" rIns="0" bIns="0">
                        <a:noAutofit/>
                      </wps:bodyPr>
                    </wps:wsp>
                  </a:graphicData>
                </a:graphic>
              </wp:anchor>
            </w:drawing>
          </mc:Choice>
          <mc:Fallback>
            <w:pict>
              <v:rect style="position:absolute;rotation:-0;width:115.2pt;height:526.65pt;mso-wrap-distance-left:0pt;mso-wrap-distance-right:0pt;mso-wrap-distance-top:0pt;mso-wrap-distance-bottom:0pt;margin-top:315.25pt;mso-position-vertical-relative:page;margin-left:13.6pt;mso-position-horizontal-relative:page">
                <v:textbox inset="0in,0in,0in,0in">
                  <w:txbxContent>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VISCHER Ltd</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Basel</w:t>
                      </w:r>
                    </w:p>
                    <w:p>
                      <w:pPr>
                        <w:pStyle w:val="TextBody"/>
                        <w:bidi w:val="0"/>
                        <w:jc w:val="left"/>
                        <w:rPr>
                          <w:rFonts w:ascii="Verdana;sans-serif" w:hAnsi="Verdana;sans-serif"/>
                          <w:color w:val="000000"/>
                          <w:sz w:val="14"/>
                        </w:rPr>
                      </w:pPr>
                      <w:r>
                        <w:rPr>
                          <w:rFonts w:ascii="Verdana;sans-serif" w:hAnsi="Verdana;sans-serif"/>
                          <w:color w:val="000000"/>
                          <w:sz w:val="14"/>
                        </w:rPr>
                        <w:t>Aeschenvorstadt 4</w:t>
                        <w:br/>
                        <w:t>P.O. Box</w:t>
                      </w:r>
                    </w:p>
                    <w:p>
                      <w:pPr>
                        <w:pStyle w:val="TextBody"/>
                        <w:bidi w:val="0"/>
                        <w:jc w:val="left"/>
                        <w:rPr>
                          <w:rFonts w:ascii="Verdana;sans-serif" w:hAnsi="Verdana;sans-serif"/>
                          <w:color w:val="000000"/>
                          <w:sz w:val="14"/>
                        </w:rPr>
                      </w:pPr>
                      <w:r>
                        <w:rPr>
                          <w:rFonts w:ascii="Verdana;sans-serif" w:hAnsi="Verdana;sans-serif"/>
                          <w:color w:val="000000"/>
                          <w:sz w:val="14"/>
                        </w:rPr>
                        <w:t>CH-4010 Basel</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Phone +41 58 211 33 00</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Zurich</w:t>
                      </w:r>
                    </w:p>
                    <w:p>
                      <w:pPr>
                        <w:pStyle w:val="TextBody"/>
                        <w:bidi w:val="0"/>
                        <w:jc w:val="left"/>
                        <w:rPr>
                          <w:rFonts w:ascii="Verdana;sans-serif" w:hAnsi="Verdana;sans-serif"/>
                          <w:color w:val="000000"/>
                          <w:sz w:val="14"/>
                        </w:rPr>
                      </w:pPr>
                      <w:r>
                        <w:rPr>
                          <w:rFonts w:ascii="Verdana;sans-serif" w:hAnsi="Verdana;sans-serif"/>
                          <w:color w:val="000000"/>
                          <w:sz w:val="14"/>
                        </w:rPr>
                        <w:t>Schützengasse 1</w:t>
                      </w:r>
                    </w:p>
                    <w:p>
                      <w:pPr>
                        <w:pStyle w:val="TextBody"/>
                        <w:bidi w:val="0"/>
                        <w:jc w:val="left"/>
                        <w:rPr>
                          <w:rFonts w:ascii="Verdana;sans-serif" w:hAnsi="Verdana;sans-serif"/>
                          <w:color w:val="000000"/>
                          <w:sz w:val="14"/>
                        </w:rPr>
                      </w:pPr>
                      <w:r>
                        <w:rPr>
                          <w:rFonts w:ascii="Verdana;sans-serif" w:hAnsi="Verdana;sans-serif"/>
                          <w:color w:val="000000"/>
                          <w:sz w:val="14"/>
                        </w:rPr>
                        <w:t>P.O. Box</w:t>
                      </w:r>
                    </w:p>
                    <w:p>
                      <w:pPr>
                        <w:pStyle w:val="TextBody"/>
                        <w:bidi w:val="0"/>
                        <w:jc w:val="left"/>
                        <w:rPr>
                          <w:rFonts w:ascii="Verdana;sans-serif" w:hAnsi="Verdana;sans-serif"/>
                          <w:color w:val="000000"/>
                          <w:sz w:val="14"/>
                        </w:rPr>
                      </w:pPr>
                      <w:r>
                        <w:rPr>
                          <w:rFonts w:ascii="Verdana;sans-serif" w:hAnsi="Verdana;sans-serif"/>
                          <w:color w:val="000000"/>
                          <w:sz w:val="14"/>
                        </w:rPr>
                        <w:t>CH-8021 Zurich</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Phone +41 58 211 34 00</w:t>
                      </w:r>
                    </w:p>
                    <w:p>
                      <w:pPr>
                        <w:pStyle w:val="TextBody"/>
                        <w:bidi w:val="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Geneva</w:t>
                      </w:r>
                    </w:p>
                    <w:p>
                      <w:pPr>
                        <w:pStyle w:val="TextBody"/>
                        <w:bidi w:val="0"/>
                        <w:jc w:val="left"/>
                        <w:rPr>
                          <w:rFonts w:ascii="Verdana;sans-serif" w:hAnsi="Verdana;sans-serif"/>
                          <w:color w:val="000000"/>
                          <w:sz w:val="14"/>
                        </w:rPr>
                      </w:pPr>
                      <w:r>
                        <w:rPr>
                          <w:rFonts w:ascii="Verdana;sans-serif" w:hAnsi="Verdana;sans-serif"/>
                          <w:color w:val="000000"/>
                          <w:sz w:val="14"/>
                        </w:rPr>
                        <w:t>Esplanade de Pont-Rouge 9C</w:t>
                      </w:r>
                    </w:p>
                    <w:p>
                      <w:pPr>
                        <w:pStyle w:val="TextBody"/>
                        <w:bidi w:val="0"/>
                        <w:jc w:val="left"/>
                        <w:rPr>
                          <w:rFonts w:ascii="Verdana;sans-serif" w:hAnsi="Verdana;sans-serif"/>
                          <w:color w:val="000000"/>
                          <w:sz w:val="14"/>
                        </w:rPr>
                      </w:pPr>
                      <w:r>
                        <w:rPr>
                          <w:rFonts w:ascii="Verdana;sans-serif" w:hAnsi="Verdana;sans-serif"/>
                          <w:color w:val="000000"/>
                          <w:sz w:val="14"/>
                        </w:rPr>
                        <w:t>P.O. Box</w:t>
                      </w:r>
                    </w:p>
                    <w:p>
                      <w:pPr>
                        <w:pStyle w:val="TextBody"/>
                        <w:bidi w:val="0"/>
                        <w:jc w:val="left"/>
                        <w:rPr>
                          <w:rFonts w:ascii="Verdana;sans-serif" w:hAnsi="Verdana;sans-serif"/>
                          <w:color w:val="000000"/>
                          <w:sz w:val="14"/>
                        </w:rPr>
                      </w:pPr>
                      <w:r>
                        <w:rPr>
                          <w:rFonts w:ascii="Verdana;sans-serif" w:hAnsi="Verdana;sans-serif"/>
                          <w:color w:val="000000"/>
                          <w:sz w:val="14"/>
                        </w:rPr>
                        <w:t>CH-1200 Geneva</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Tel +41 58 211 35 00</w:t>
                      </w:r>
                    </w:p>
                    <w:p>
                      <w:pPr>
                        <w:pStyle w:val="TextBody"/>
                        <w:bidi w:val="0"/>
                        <w:jc w:val="left"/>
                        <w:rPr/>
                      </w:pPr>
                      <w:r>
                        <w:rPr/>
                        <w:t> </w:t>
                      </w:r>
                    </w:p>
                    <w:p>
                      <w:pPr>
                        <w:pStyle w:val="TextBody"/>
                        <w:bidi w:val="0"/>
                        <w:jc w:val="left"/>
                        <w:rPr>
                          <w:rFonts w:ascii="Verdana;sans-serif" w:hAnsi="Verdana;sans-serif"/>
                          <w:color w:val="000000"/>
                          <w:sz w:val="14"/>
                        </w:rPr>
                      </w:pPr>
                      <w:r>
                        <w:rPr>
                          <w:rFonts w:ascii="Verdana;sans-serif" w:hAnsi="Verdana;sans-serif"/>
                          <w:color w:val="000000"/>
                          <w:sz w:val="14"/>
                        </w:rPr>
                        <w:t xml:space="preserve">Civil Law Notaries in </w:t>
                        <w:br/>
                        <w:t>Basel-City and Baselland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120"/>
                        <w:jc w:val="both"/>
                        <w:rPr/>
                      </w:pPr>
                      <w:r>
                        <w:rPr/>
                        <w:t> </w:t>
                      </w:r>
                    </w:p>
                  </w:txbxContent>
                </v:textbox>
                <w10:wrap type="none"/>
              </v:rect>
            </w:pict>
          </mc:Fallback>
        </mc:AlternateConten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OCULIS HOLDING AG</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7555" w:type="dxa"/>
        <w:jc w:val="left"/>
        <w:tblInd w:w="0" w:type="dxa"/>
        <w:tblLayout w:type="fixed"/>
        <w:tblCellMar>
          <w:top w:w="28" w:type="dxa"/>
          <w:left w:w="28" w:type="dxa"/>
          <w:bottom w:w="28" w:type="dxa"/>
          <w:right w:w="28" w:type="dxa"/>
        </w:tblCellMar>
      </w:tblPr>
      <w:tblGrid>
        <w:gridCol w:w="2506"/>
        <w:gridCol w:w="146"/>
        <w:gridCol w:w="3271"/>
        <w:gridCol w:w="146"/>
        <w:gridCol w:w="148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Switzerland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(Jurisdiction of Incorporation or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(Primary Standard Industrial Classification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Code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Zug, Switzerland</w:t>
      </w:r>
    </w:p>
    <w:p>
      <w:pPr>
        <w:pStyle w:val="TextBody"/>
        <w:bidi w:val="0"/>
        <w:jc w:val="center"/>
        <w:rPr>
          <w:rFonts w:ascii="Times New Roman" w:hAnsi="Times New Roman"/>
          <w:sz w:val="20"/>
        </w:rPr>
      </w:pPr>
      <w:r>
        <w:rPr>
          <w:rFonts w:ascii="Times New Roman" w:hAnsi="Times New Roman"/>
          <w:b/>
          <w:color w:val="000000"/>
          <w:sz w:val="20"/>
        </w:rPr>
        <w:t>Tel.: +41-41-711-3960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Stock Option and Incentive Plan Regulation 2023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Oculis US Inc.</w:t>
      </w:r>
    </w:p>
    <w:p>
      <w:pPr>
        <w:pStyle w:val="TextBody"/>
        <w:bidi w:val="0"/>
        <w:jc w:val="center"/>
        <w:rPr>
          <w:rFonts w:ascii="Times New Roman" w:hAnsi="Times New Roman"/>
          <w:b/>
          <w:color w:val="000000"/>
          <w:sz w:val="19"/>
        </w:rPr>
      </w:pPr>
      <w:r>
        <w:rPr>
          <w:rFonts w:ascii="Times New Roman" w:hAnsi="Times New Roman"/>
          <w:b/>
          <w:color w:val="000000"/>
          <w:sz w:val="19"/>
        </w:rPr>
        <w:t>One Gateway Center</w:t>
      </w:r>
    </w:p>
    <w:p>
      <w:pPr>
        <w:pStyle w:val="TextBody"/>
        <w:bidi w:val="0"/>
        <w:jc w:val="center"/>
        <w:rPr>
          <w:rFonts w:ascii="Times New Roman" w:hAnsi="Times New Roman"/>
          <w:b/>
          <w:color w:val="000000"/>
          <w:sz w:val="19"/>
        </w:rPr>
      </w:pPr>
      <w:r>
        <w:rPr>
          <w:rFonts w:ascii="Times New Roman" w:hAnsi="Times New Roman"/>
          <w:b/>
          <w:color w:val="000000"/>
          <w:sz w:val="19"/>
        </w:rPr>
        <w:t>300 Washington Street, Suite 700</w:t>
      </w:r>
    </w:p>
    <w:p>
      <w:pPr>
        <w:pStyle w:val="TextBody"/>
        <w:bidi w:val="0"/>
        <w:jc w:val="center"/>
        <w:rPr>
          <w:rFonts w:ascii="Times New Roman" w:hAnsi="Times New Roman"/>
          <w:b/>
          <w:color w:val="000000"/>
          <w:sz w:val="19"/>
        </w:rPr>
      </w:pPr>
      <w:r>
        <w:rPr>
          <w:rFonts w:ascii="Times New Roman" w:hAnsi="Times New Roman"/>
          <w:b/>
          <w:color w:val="000000"/>
          <w:sz w:val="19"/>
        </w:rPr>
        <w:t>Newton, MA 02458</w:t>
      </w:r>
    </w:p>
    <w:p>
      <w:pPr>
        <w:pStyle w:val="TextBody"/>
        <w:bidi w:val="0"/>
        <w:jc w:val="center"/>
        <w:rPr>
          <w:rFonts w:ascii="Times New Roman" w:hAnsi="Times New Roman"/>
          <w:b/>
          <w:color w:val="000000"/>
          <w:sz w:val="19"/>
        </w:rPr>
      </w:pPr>
      <w:r>
        <w:rPr>
          <w:rFonts w:ascii="Times New Roman" w:hAnsi="Times New Roman"/>
          <w:b/>
          <w:color w:val="000000"/>
          <w:sz w:val="19"/>
        </w:rPr>
        <w:t>Tel: +1 (617) 928-5886</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tbl>
      <w:tblPr>
        <w:tblW w:w="4352" w:type="dxa"/>
        <w:jc w:val="left"/>
        <w:tblInd w:w="0" w:type="dxa"/>
        <w:tblLayout w:type="fixed"/>
        <w:tblCellMar>
          <w:top w:w="28" w:type="dxa"/>
          <w:left w:w="28" w:type="dxa"/>
          <w:bottom w:w="28" w:type="dxa"/>
          <w:right w:w="28" w:type="dxa"/>
        </w:tblCellMar>
      </w:tblPr>
      <w:tblGrid>
        <w:gridCol w:w="1891"/>
        <w:gridCol w:w="2461"/>
      </w:tblGrid>
      <w:tr>
        <w:trPr/>
        <w:tc>
          <w:tcPr>
            <w:tcW w:w="189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Divakar Gupta</w:t>
            </w:r>
          </w:p>
          <w:p>
            <w:pPr>
              <w:pStyle w:val="TableContents"/>
              <w:bidi w:val="0"/>
              <w:jc w:val="center"/>
              <w:rPr>
                <w:rFonts w:ascii="Times New Roman" w:hAnsi="Times New Roman"/>
                <w:b/>
                <w:color w:val="000000"/>
                <w:sz w:val="19"/>
              </w:rPr>
            </w:pPr>
            <w:r>
              <w:rPr>
                <w:rFonts w:ascii="Times New Roman" w:hAnsi="Times New Roman"/>
                <w:b/>
                <w:color w:val="000000"/>
                <w:sz w:val="19"/>
              </w:rPr>
              <w:t>Eric Blanchard</w:t>
            </w:r>
          </w:p>
          <w:p>
            <w:pPr>
              <w:pStyle w:val="TableContents"/>
              <w:bidi w:val="0"/>
              <w:jc w:val="center"/>
              <w:rPr>
                <w:rFonts w:ascii="Times New Roman" w:hAnsi="Times New Roman"/>
                <w:b/>
                <w:color w:val="000000"/>
                <w:sz w:val="19"/>
              </w:rPr>
            </w:pPr>
            <w:r>
              <w:rPr>
                <w:rFonts w:ascii="Times New Roman" w:hAnsi="Times New Roman"/>
                <w:b/>
                <w:color w:val="000000"/>
                <w:sz w:val="19"/>
              </w:rPr>
              <w:t>Cooley LLP</w:t>
            </w:r>
          </w:p>
          <w:p>
            <w:pPr>
              <w:pStyle w:val="TableContents"/>
              <w:bidi w:val="0"/>
              <w:jc w:val="center"/>
              <w:rPr>
                <w:rFonts w:ascii="Times New Roman" w:hAnsi="Times New Roman"/>
                <w:b/>
                <w:color w:val="000000"/>
                <w:sz w:val="19"/>
              </w:rPr>
            </w:pPr>
            <w:r>
              <w:rPr>
                <w:rFonts w:ascii="Times New Roman" w:hAnsi="Times New Roman"/>
                <w:b/>
                <w:color w:val="000000"/>
                <w:sz w:val="19"/>
              </w:rPr>
              <w:t>55 Hudson Yards</w:t>
            </w:r>
          </w:p>
          <w:p>
            <w:pPr>
              <w:pStyle w:val="TableContents"/>
              <w:bidi w:val="0"/>
              <w:jc w:val="center"/>
              <w:rPr>
                <w:rFonts w:ascii="Times New Roman" w:hAnsi="Times New Roman"/>
                <w:b/>
                <w:color w:val="000000"/>
                <w:sz w:val="19"/>
              </w:rPr>
            </w:pPr>
            <w:r>
              <w:rPr>
                <w:rFonts w:ascii="Times New Roman" w:hAnsi="Times New Roman"/>
                <w:b/>
                <w:color w:val="000000"/>
                <w:sz w:val="19"/>
              </w:rPr>
              <w:t>New York, NY 10001</w:t>
            </w:r>
          </w:p>
          <w:p>
            <w:pPr>
              <w:pStyle w:val="TableContents"/>
              <w:bidi w:val="0"/>
              <w:jc w:val="center"/>
              <w:rPr>
                <w:rFonts w:ascii="Times New Roman" w:hAnsi="Times New Roman"/>
                <w:b/>
                <w:color w:val="000000"/>
                <w:sz w:val="19"/>
              </w:rPr>
            </w:pPr>
            <w:r>
              <w:rPr>
                <w:rFonts w:ascii="Times New Roman" w:hAnsi="Times New Roman"/>
                <w:b/>
                <w:color w:val="000000"/>
                <w:sz w:val="19"/>
              </w:rPr>
              <w:t>+1 212 479 6000</w:t>
            </w:r>
          </w:p>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Dr. Matthias Staehelin</w:t>
            </w:r>
          </w:p>
          <w:p>
            <w:pPr>
              <w:pStyle w:val="TableContents"/>
              <w:bidi w:val="0"/>
              <w:jc w:val="center"/>
              <w:rPr>
                <w:rFonts w:ascii="Times New Roman" w:hAnsi="Times New Roman"/>
                <w:b/>
                <w:color w:val="000000"/>
                <w:sz w:val="19"/>
              </w:rPr>
            </w:pPr>
            <w:r>
              <w:rPr>
                <w:rFonts w:ascii="Times New Roman" w:hAnsi="Times New Roman"/>
                <w:b/>
                <w:color w:val="000000"/>
                <w:sz w:val="19"/>
              </w:rPr>
              <w:t>Dr. Vincent Reardon</w:t>
            </w:r>
          </w:p>
          <w:p>
            <w:pPr>
              <w:pStyle w:val="TableContents"/>
              <w:bidi w:val="0"/>
              <w:jc w:val="center"/>
              <w:rPr>
                <w:rFonts w:ascii="Times New Roman" w:hAnsi="Times New Roman"/>
                <w:b/>
                <w:color w:val="000000"/>
                <w:sz w:val="19"/>
              </w:rPr>
            </w:pPr>
            <w:r>
              <w:rPr>
                <w:rFonts w:ascii="Times New Roman" w:hAnsi="Times New Roman"/>
                <w:b/>
                <w:color w:val="000000"/>
                <w:sz w:val="19"/>
              </w:rPr>
              <w:t>VISCHER AG</w:t>
            </w:r>
          </w:p>
          <w:p>
            <w:pPr>
              <w:pStyle w:val="TableContents"/>
              <w:bidi w:val="0"/>
              <w:jc w:val="center"/>
              <w:rPr>
                <w:rFonts w:ascii="Times New Roman" w:hAnsi="Times New Roman"/>
                <w:b/>
                <w:color w:val="000000"/>
                <w:sz w:val="19"/>
              </w:rPr>
            </w:pPr>
            <w:r>
              <w:rPr>
                <w:rFonts w:ascii="Times New Roman" w:hAnsi="Times New Roman"/>
                <w:b/>
                <w:color w:val="000000"/>
                <w:sz w:val="19"/>
              </w:rPr>
              <w:t>Aeschenvorstadt 4 Postfach</w:t>
            </w:r>
          </w:p>
          <w:p>
            <w:pPr>
              <w:pStyle w:val="TableContents"/>
              <w:bidi w:val="0"/>
              <w:jc w:val="center"/>
              <w:rPr>
                <w:rFonts w:ascii="Times New Roman" w:hAnsi="Times New Roman"/>
                <w:b/>
                <w:color w:val="000000"/>
                <w:sz w:val="19"/>
              </w:rPr>
            </w:pPr>
            <w:r>
              <w:rPr>
                <w:rFonts w:ascii="Times New Roman" w:hAnsi="Times New Roman"/>
                <w:b/>
                <w:color w:val="000000"/>
                <w:sz w:val="19"/>
              </w:rPr>
              <w:t>4010 Basel, Switzerland</w:t>
            </w:r>
          </w:p>
          <w:p>
            <w:pPr>
              <w:pStyle w:val="TableContents"/>
              <w:bidi w:val="0"/>
              <w:jc w:val="center"/>
              <w:rPr>
                <w:rFonts w:ascii="Times New Roman" w:hAnsi="Times New Roman"/>
                <w:b/>
                <w:color w:val="000000"/>
                <w:sz w:val="19"/>
              </w:rPr>
            </w:pPr>
            <w:r>
              <w:rPr>
                <w:rFonts w:ascii="Times New Roman" w:hAnsi="Times New Roman"/>
                <w:b/>
                <w:color w:val="000000"/>
                <w:sz w:val="19"/>
              </w:rPr>
              <w:t>+41 58 211 33 00</w:t>
            </w:r>
          </w:p>
          <w:p>
            <w:pPr>
              <w:pStyle w:val="TableContents"/>
              <w:bidi w:val="0"/>
              <w:spacing w:before="0" w:after="283"/>
              <w:jc w:val="center"/>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Oculis Holding AG, a stock corporation (</w:t>
      </w:r>
      <w:r>
        <w:rPr>
          <w:rFonts w:ascii="Times New Roman" w:hAnsi="Times New Roman"/>
          <w:i/>
          <w:color w:val="000000"/>
          <w:sz w:val="20"/>
        </w:rPr>
        <w:t>Aktiengesellschaft</w:t>
      </w:r>
      <w:r>
        <w:rPr>
          <w:rFonts w:ascii="Times New Roman" w:hAnsi="Times New Roman"/>
          <w:color w:val="000000"/>
          <w:sz w:val="20"/>
        </w:rPr>
        <w:t>) incorporated and existing under the laws of Switzerland (the “</w:t>
      </w:r>
      <w:r>
        <w:rPr>
          <w:rFonts w:ascii="Times New Roman" w:hAnsi="Times New Roman"/>
          <w:color w:val="000000"/>
          <w:sz w:val="20"/>
          <w:u w:val="single"/>
        </w:rPr>
        <w:t>Company</w:t>
      </w:r>
      <w:r>
        <w:rPr>
          <w:rFonts w:ascii="Times New Roman" w:hAnsi="Times New Roman"/>
          <w:color w:val="000000"/>
          <w:sz w:val="20"/>
        </w:rPr>
        <w:t>”) is filing this Registration Statement with the Securities and Exchange Commission (the “</w:t>
      </w:r>
      <w:r>
        <w:rPr>
          <w:rFonts w:ascii="Times New Roman" w:hAnsi="Times New Roman"/>
          <w:color w:val="000000"/>
          <w:sz w:val="20"/>
          <w:u w:val="single"/>
        </w:rPr>
        <w:t>Commission</w:t>
      </w:r>
      <w:r>
        <w:rPr>
          <w:rFonts w:ascii="Times New Roman" w:hAnsi="Times New Roman"/>
          <w:color w:val="000000"/>
          <w:sz w:val="20"/>
        </w:rPr>
        <w:t>”) to register an additional 197,700 ordinary shares issuable under the Company’s Stock Option and Incentive Plan Regulation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used in this Registration Statement, unless the context otherwise requires, references to “we,” “us” and “our” refer to Oculis Holding AG.</w:t>
      </w:r>
    </w:p>
    <w:p>
      <w:pPr>
        <w:pStyle w:val="TextBody"/>
        <w:bidi w:val="0"/>
        <w:jc w:val="both"/>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0" w:after="200"/>
        <w:jc w:val="both"/>
        <w:rPr>
          <w:rFonts w:ascii="Times New Roman" w:hAnsi="Times New Roman"/>
          <w:sz w:val="20"/>
        </w:rPr>
      </w:pPr>
      <w:r>
        <w:rPr>
          <w:rFonts w:ascii="Times New Roman" w:hAnsi="Times New Roman"/>
          <w:color w:val="000000"/>
          <w:sz w:val="20"/>
        </w:rPr>
        <w:t>The documents containing the information specified in Part I of this Registration Statement will be delivered in accordance with Form S-8 and Rule 428(d)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These documents are not required to be, and are not, filed with Commission either as part of this Registration Statement or as prospectuses or prospectus supplements pursuant to Rule 424 of the Securities Act. The documents containing the information specified in Part I will be sent or given to participants as specified by Rule 428(b)(1)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ordinary shares are listed on The Nasdaq Stock Market LLC under the ticker symbol “OCS” and on The Nasdaq Iceland Main Market under the ticker symbol “OCS”. Our warrants are listed on The Nasdaq Stock Market LLC under the ticker symbol “OCSAW”.</w:t>
      </w:r>
    </w:p>
    <w:tbl>
      <w:tblPr>
        <w:tblW w:w="2987" w:type="dxa"/>
        <w:jc w:val="left"/>
        <w:tblInd w:w="0" w:type="dxa"/>
        <w:tblLayout w:type="fixed"/>
        <w:tblCellMar>
          <w:top w:w="28" w:type="dxa"/>
          <w:left w:w="28" w:type="dxa"/>
          <w:bottom w:w="28" w:type="dxa"/>
          <w:right w:w="28" w:type="dxa"/>
        </w:tblCellMar>
      </w:tblPr>
      <w:tblGrid>
        <w:gridCol w:w="841"/>
        <w:gridCol w:w="2146"/>
      </w:tblGrid>
      <w:tr>
        <w:trPr/>
        <w:tc>
          <w:tcPr>
            <w:tcW w:w="84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1.</w:t>
            </w:r>
          </w:p>
        </w:tc>
        <w:tc>
          <w:tcPr>
            <w:tcW w:w="2146"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PLAN INFORMATION</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Not required to be filed with this Registration Statement.</w:t>
      </w:r>
    </w:p>
    <w:tbl>
      <w:tblPr>
        <w:tblW w:w="8252" w:type="dxa"/>
        <w:jc w:val="left"/>
        <w:tblInd w:w="0" w:type="dxa"/>
        <w:tblLayout w:type="fixed"/>
        <w:tblCellMar>
          <w:top w:w="28" w:type="dxa"/>
          <w:left w:w="28" w:type="dxa"/>
          <w:bottom w:w="28" w:type="dxa"/>
          <w:right w:w="28" w:type="dxa"/>
        </w:tblCellMar>
      </w:tblPr>
      <w:tblGrid>
        <w:gridCol w:w="841"/>
        <w:gridCol w:w="7411"/>
      </w:tblGrid>
      <w:tr>
        <w:trPr/>
        <w:tc>
          <w:tcPr>
            <w:tcW w:w="84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2.</w:t>
            </w:r>
          </w:p>
        </w:tc>
        <w:tc>
          <w:tcPr>
            <w:tcW w:w="7411"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REGISTRANT INFORMATION AND EMPLOYEE PLAN ANNUAL INFORMATION</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Not required to be filed with this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INFORMATION REQUIRED IN THE REGISTRATION STATEMENT</w:t>
      </w:r>
    </w:p>
    <w:tbl>
      <w:tblPr>
        <w:tblW w:w="5822" w:type="dxa"/>
        <w:jc w:val="left"/>
        <w:tblInd w:w="0" w:type="dxa"/>
        <w:tblLayout w:type="fixed"/>
        <w:tblCellMar>
          <w:top w:w="28" w:type="dxa"/>
          <w:left w:w="28" w:type="dxa"/>
          <w:bottom w:w="28" w:type="dxa"/>
          <w:right w:w="28" w:type="dxa"/>
        </w:tblCellMar>
      </w:tblPr>
      <w:tblGrid>
        <w:gridCol w:w="841"/>
        <w:gridCol w:w="4981"/>
      </w:tblGrid>
      <w:tr>
        <w:trPr/>
        <w:tc>
          <w:tcPr>
            <w:tcW w:w="841"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3.</w:t>
            </w:r>
          </w:p>
        </w:tc>
        <w:tc>
          <w:tcPr>
            <w:tcW w:w="498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INCORPORATION OF DOCUMENTS BY REFERENCE</w:t>
            </w:r>
          </w:p>
        </w:tc>
      </w:tr>
    </w:tbl>
    <w:p>
      <w:pPr>
        <w:pStyle w:val="TextBody"/>
        <w:bidi w:val="0"/>
        <w:spacing w:before="0" w:after="200"/>
        <w:jc w:val="both"/>
        <w:rPr>
          <w:rFonts w:ascii="Times New Roman" w:hAnsi="Times New Roman"/>
          <w:sz w:val="20"/>
        </w:rPr>
      </w:pPr>
      <w:r>
        <w:rPr>
          <w:rFonts w:ascii="Times New Roman" w:hAnsi="Times New Roman"/>
          <w:color w:val="000000"/>
          <w:sz w:val="20"/>
        </w:rPr>
        <w:t>The following document(s) filed with the Commission by the Company, pursuant to the Securities Act and the Securities Exchange Act of 1934, as amended (the “</w:t>
      </w:r>
      <w:r>
        <w:rPr>
          <w:rFonts w:ascii="Times New Roman" w:hAnsi="Times New Roman"/>
          <w:color w:val="000000"/>
          <w:sz w:val="20"/>
          <w:u w:val="single"/>
        </w:rPr>
        <w:t>Exchan</w:t>
      </w:r>
      <w:r>
        <w:rPr>
          <w:rFonts w:ascii="Times New Roman" w:hAnsi="Times New Roman"/>
          <w:color w:val="000000"/>
          <w:sz w:val="20"/>
        </w:rPr>
        <w:t>g</w:t>
      </w:r>
      <w:r>
        <w:rPr>
          <w:rFonts w:ascii="Times New Roman" w:hAnsi="Times New Roman"/>
          <w:color w:val="000000"/>
          <w:sz w:val="20"/>
          <w:u w:val="single"/>
        </w:rPr>
        <w:t>e Act</w:t>
      </w:r>
      <w:r>
        <w:rPr>
          <w:rFonts w:ascii="Times New Roman" w:hAnsi="Times New Roman"/>
          <w:color w:val="000000"/>
          <w:sz w:val="20"/>
        </w:rPr>
        <w:t>”), are incorporated herein by reference: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pPr>
      <w:r>
        <w:rPr>
          <w:rFonts w:ascii="Times New Roman" w:hAnsi="Times New Roman"/>
          <w:color w:val="000000"/>
          <w:sz w:val="20"/>
        </w:rPr>
        <w:t xml:space="preserve">The Company’s Registration Statements on Form S-8 filed with the Commission on </w:t>
      </w:r>
      <w:hyperlink r:id="rId2">
        <w:r>
          <w:rPr>
            <w:rStyle w:val="InternetLink"/>
            <w:rFonts w:ascii="Times New Roman" w:hAnsi="Times New Roman"/>
            <w:color w:val="0000FF"/>
            <w:sz w:val="20"/>
            <w:u w:val="single"/>
          </w:rPr>
          <w:t>May 15, 2023</w:t>
        </w:r>
      </w:hyperlink>
      <w:r>
        <w:rPr>
          <w:color w:val="000000"/>
        </w:rPr>
        <w:t xml:space="preserve"> </w:t>
      </w:r>
      <w:r>
        <w:rPr>
          <w:rFonts w:ascii="Times New Roman" w:hAnsi="Times New Roman"/>
          <w:color w:val="000000"/>
          <w:sz w:val="20"/>
        </w:rPr>
        <w:t xml:space="preserve">and </w:t>
      </w:r>
      <w:hyperlink r:id="rId3">
        <w:r>
          <w:rPr>
            <w:rStyle w:val="InternetLink"/>
            <w:rFonts w:ascii="Times New Roman" w:hAnsi="Times New Roman"/>
            <w:color w:val="0000FF"/>
            <w:sz w:val="20"/>
            <w:u w:val="single"/>
          </w:rPr>
          <w:t>June 5, 2025</w:t>
        </w:r>
      </w:hyperlink>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pPr>
      <w:r>
        <w:rPr>
          <w:rFonts w:ascii="Times New Roman" w:hAnsi="Times New Roman"/>
          <w:color w:val="000000"/>
          <w:sz w:val="20"/>
        </w:rPr>
        <w:t xml:space="preserve">The Company’s Annual Report on Form 20-F for the year ended December 31, 2025, filed with the Commission on </w:t>
      </w:r>
      <w:hyperlink r:id="rId4">
        <w:r>
          <w:rPr>
            <w:rStyle w:val="InternetLink"/>
            <w:rFonts w:ascii="Times New Roman" w:hAnsi="Times New Roman"/>
            <w:color w:val="0000FF"/>
            <w:sz w:val="20"/>
            <w:u w:val="single"/>
          </w:rPr>
          <w:t>March 4, 2026</w:t>
        </w:r>
      </w:hyperlink>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pPr>
      <w:r>
        <w:rPr>
          <w:rFonts w:ascii="Times New Roman" w:hAnsi="Times New Roman"/>
          <w:color w:val="000000"/>
          <w:sz w:val="20"/>
        </w:rPr>
        <w:t xml:space="preserve">The Company’s Reports on Form 6-K, filed with the Commission on </w:t>
      </w:r>
      <w:hyperlink r:id="rId5">
        <w:r>
          <w:rPr>
            <w:rStyle w:val="InternetLink"/>
            <w:rFonts w:ascii="Times New Roman" w:hAnsi="Times New Roman"/>
            <w:color w:val="0000FF"/>
            <w:sz w:val="20"/>
            <w:u w:val="single"/>
          </w:rPr>
          <w:t>March 4,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May 11, 2026</w:t>
        </w:r>
      </w:hyperlink>
      <w:r>
        <w:rPr>
          <w:color w:val="000000"/>
        </w:rPr>
        <w:t xml:space="preserve"> </w:t>
      </w:r>
      <w:r>
        <w:rPr>
          <w:rFonts w:ascii="Times New Roman" w:hAnsi="Times New Roman"/>
          <w:color w:val="000000"/>
          <w:sz w:val="20"/>
        </w:rPr>
        <w:t xml:space="preserve">(excluding Exhibit 99.3), </w:t>
      </w:r>
      <w:hyperlink r:id="rId7">
        <w:r>
          <w:rPr>
            <w:rStyle w:val="InternetLink"/>
            <w:rFonts w:ascii="Times New Roman" w:hAnsi="Times New Roman"/>
            <w:color w:val="0000FF"/>
            <w:sz w:val="20"/>
            <w:u w:val="single"/>
          </w:rPr>
          <w:t>May 14, 2026</w:t>
        </w:r>
      </w:hyperlink>
      <w:r>
        <w:rPr>
          <w:color w:val="000000"/>
        </w:rPr>
        <w:t xml:space="preserve"> </w:t>
      </w:r>
      <w:r>
        <w:rPr>
          <w:rFonts w:ascii="Times New Roman" w:hAnsi="Times New Roman"/>
          <w:color w:val="000000"/>
          <w:sz w:val="20"/>
        </w:rPr>
        <w:t xml:space="preserve">(excluding Exhibit 99.1), </w:t>
      </w:r>
      <w:hyperlink r:id="rId8">
        <w:r>
          <w:rPr>
            <w:rStyle w:val="InternetLink"/>
            <w:rFonts w:ascii="Times New Roman" w:hAnsi="Times New Roman"/>
            <w:color w:val="0000FF"/>
            <w:sz w:val="20"/>
            <w:u w:val="single"/>
          </w:rPr>
          <w:t>June 1, 2026</w:t>
        </w:r>
      </w:hyperlink>
      <w:hyperlink r:id="rId9">
        <w:r>
          <w:rPr>
            <w:rStyle w:val="InternetLink"/>
            <w:color w:val="0000FF"/>
          </w:rPr>
          <w:t xml:space="preserve"> </w:t>
        </w:r>
      </w:hyperlink>
      <w:r>
        <w:rPr>
          <w:rFonts w:ascii="Times New Roman" w:hAnsi="Times New Roman"/>
          <w:color w:val="000000"/>
          <w:sz w:val="20"/>
        </w:rPr>
        <w:t xml:space="preserve">and </w:t>
      </w:r>
      <w:hyperlink r:id="rId10">
        <w:r>
          <w:rPr>
            <w:rStyle w:val="InternetLink"/>
            <w:rFonts w:ascii="Times New Roman" w:hAnsi="Times New Roman"/>
            <w:color w:val="0000FF"/>
            <w:sz w:val="20"/>
            <w:u w:val="single"/>
          </w:rPr>
          <w:t>August 6, 2026</w:t>
        </w:r>
      </w:hyperlink>
      <w:r>
        <w:rPr>
          <w:color w:val="000000"/>
        </w:rPr>
        <w:t xml:space="preserve"> </w:t>
      </w:r>
      <w:r>
        <w:rPr>
          <w:rFonts w:ascii="Times New Roman" w:hAnsi="Times New Roman"/>
          <w:color w:val="000000"/>
          <w:sz w:val="20"/>
        </w:rPr>
        <w:t>(excluding Exhibit 99.3);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pPr>
      <w:r>
        <w:rPr>
          <w:rFonts w:ascii="Times New Roman" w:hAnsi="Times New Roman"/>
          <w:color w:val="000000"/>
          <w:sz w:val="20"/>
        </w:rPr>
        <w:t xml:space="preserve">The description of the Company’s Ordinary Shares contained in </w:t>
      </w:r>
      <w:hyperlink r:id="rId11">
        <w:r>
          <w:rPr>
            <w:rStyle w:val="InternetLink"/>
            <w:rFonts w:ascii="Times New Roman" w:hAnsi="Times New Roman"/>
            <w:color w:val="0000FF"/>
            <w:sz w:val="20"/>
            <w:u w:val="single"/>
          </w:rPr>
          <w:t>Exhibit 2.5</w:t>
        </w:r>
      </w:hyperlink>
      <w:r>
        <w:rPr>
          <w:color w:val="000000"/>
        </w:rPr>
        <w:t xml:space="preserve"> </w:t>
      </w:r>
      <w:r>
        <w:rPr>
          <w:rFonts w:ascii="Times New Roman" w:hAnsi="Times New Roman"/>
          <w:color w:val="000000"/>
          <w:sz w:val="20"/>
        </w:rPr>
        <w:t>to the Registrant’s Annual Report on Form 20-F for the year ended December 31, 2025, filed with the Commission on March 4, 2026, including any amendment or report filed for the purpose of updating such description.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foregoing, all documents subsequently filed by the Registrant pursuant to Sections 13(a), 13(c), 14 and 15(d) of the Exchange Act, and all reports on Form 6-K, or portions thereof,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document or any statement contained in a document or report incorporated or deemed to be incorporated by reference herein shall be deemed to be modified or superseded for purposes of this Registration Statement to the extent that a document or a statement contained in any subsequently filed document or report that is also incorporated or deemed to be incorporated by reference herein modifies or supersedes such document or statement. Any statement so modified or superseded shall not be deemed, except as so modified or superseded, to constitute a part of this Registration Statement. Subject to the foregoing, all information appearing in the Registration Statement is qualified in its entirety by the information appearing in the documents incorporated by reference.</w:t>
      </w:r>
    </w:p>
    <w:tbl>
      <w:tblPr>
        <w:tblW w:w="3857" w:type="dxa"/>
        <w:jc w:val="left"/>
        <w:tblInd w:w="0" w:type="dxa"/>
        <w:tblLayout w:type="fixed"/>
        <w:tblCellMar>
          <w:top w:w="28" w:type="dxa"/>
          <w:left w:w="28" w:type="dxa"/>
          <w:bottom w:w="28" w:type="dxa"/>
          <w:right w:w="28" w:type="dxa"/>
        </w:tblCellMar>
      </w:tblPr>
      <w:tblGrid>
        <w:gridCol w:w="841"/>
        <w:gridCol w:w="3016"/>
      </w:tblGrid>
      <w:tr>
        <w:trPr/>
        <w:tc>
          <w:tcPr>
            <w:tcW w:w="84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4.</w:t>
            </w:r>
          </w:p>
        </w:tc>
        <w:tc>
          <w:tcPr>
            <w:tcW w:w="301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DESCRIPTION OF SECURITIES</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Not applicable.</w:t>
      </w:r>
    </w:p>
    <w:tbl>
      <w:tblPr>
        <w:tblW w:w="5537" w:type="dxa"/>
        <w:jc w:val="left"/>
        <w:tblInd w:w="0" w:type="dxa"/>
        <w:tblLayout w:type="fixed"/>
        <w:tblCellMar>
          <w:top w:w="28" w:type="dxa"/>
          <w:left w:w="28" w:type="dxa"/>
          <w:bottom w:w="28" w:type="dxa"/>
          <w:right w:w="28" w:type="dxa"/>
        </w:tblCellMar>
      </w:tblPr>
      <w:tblGrid>
        <w:gridCol w:w="841"/>
        <w:gridCol w:w="4696"/>
      </w:tblGrid>
      <w:tr>
        <w:trPr/>
        <w:tc>
          <w:tcPr>
            <w:tcW w:w="841"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5.</w:t>
            </w:r>
          </w:p>
        </w:tc>
        <w:tc>
          <w:tcPr>
            <w:tcW w:w="469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INTERESTS OF NAMED EXPERTS AND COUNSEL</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tbl>
      <w:tblPr>
        <w:tblW w:w="5792" w:type="dxa"/>
        <w:jc w:val="left"/>
        <w:tblInd w:w="0" w:type="dxa"/>
        <w:tblLayout w:type="fixed"/>
        <w:tblCellMar>
          <w:top w:w="28" w:type="dxa"/>
          <w:left w:w="28" w:type="dxa"/>
          <w:bottom w:w="28" w:type="dxa"/>
          <w:right w:w="28" w:type="dxa"/>
        </w:tblCellMar>
      </w:tblPr>
      <w:tblGrid>
        <w:gridCol w:w="841"/>
        <w:gridCol w:w="4951"/>
      </w:tblGrid>
      <w:tr>
        <w:trPr/>
        <w:tc>
          <w:tcPr>
            <w:tcW w:w="84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6.</w:t>
            </w:r>
          </w:p>
        </w:tc>
        <w:tc>
          <w:tcPr>
            <w:tcW w:w="495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INDEMNIFICATION OF DIRECTORS AND OFFICERS</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Under Swiss corporate law, an indemnification by the corporation of a director or member of the executive committee in relation to potential personal liability is not effective to the extent the director or member of the executive committee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intentionally or negligently violated his or her corporate duties towards the corporation. Furthermore, the general meeting of shareholders may discharge (release) the directors and members of the executive committee from liability for their conduct to the extent the shareholders have knowledge of the relevant facts of a potential claim.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Articles of Association provide for indemnification of the existing and former members of the board of directors or the executive committee against liabilities arising in connection with the performance of their duties in such capacity. In addition, under general principles of Swiss employment law, an employer may be required to indemnify an employee against losses and expenses incurred by such employee in the proper execution of his or her duties under the employment agreement with the employer.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entered into indemnification agreements with each of the members of our board of directors and executive officers, the form of which has been filed as an exhibit to our annual report on Form 20-F filed with the Securities and Exchange Commission.</w:t>
      </w:r>
    </w:p>
    <w:tbl>
      <w:tblPr>
        <w:tblW w:w="5342" w:type="dxa"/>
        <w:jc w:val="left"/>
        <w:tblInd w:w="0" w:type="dxa"/>
        <w:tblLayout w:type="fixed"/>
        <w:tblCellMar>
          <w:top w:w="28" w:type="dxa"/>
          <w:left w:w="28" w:type="dxa"/>
          <w:bottom w:w="28" w:type="dxa"/>
          <w:right w:w="28" w:type="dxa"/>
        </w:tblCellMar>
      </w:tblPr>
      <w:tblGrid>
        <w:gridCol w:w="841"/>
        <w:gridCol w:w="4501"/>
      </w:tblGrid>
      <w:tr>
        <w:trPr/>
        <w:tc>
          <w:tcPr>
            <w:tcW w:w="841"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7.</w:t>
            </w:r>
          </w:p>
        </w:tc>
        <w:tc>
          <w:tcPr>
            <w:tcW w:w="450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EXEMPTION FROM REGISTRATION CLAIMED</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Not applicable.</w:t>
      </w:r>
    </w:p>
    <w:tbl>
      <w:tblPr>
        <w:tblW w:w="10205" w:type="dxa"/>
        <w:jc w:val="left"/>
        <w:tblInd w:w="0" w:type="dxa"/>
        <w:tblLayout w:type="fixed"/>
        <w:tblCellMar>
          <w:top w:w="28" w:type="dxa"/>
          <w:left w:w="28" w:type="dxa"/>
          <w:bottom w:w="28" w:type="dxa"/>
          <w:right w:w="28" w:type="dxa"/>
        </w:tblCellMar>
      </w:tblPr>
      <w:tblGrid>
        <w:gridCol w:w="625"/>
        <w:gridCol w:w="159"/>
        <w:gridCol w:w="9421"/>
      </w:tblGrid>
      <w:tr>
        <w:trPr/>
        <w:tc>
          <w:tcPr>
            <w:tcW w:w="6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784" w:type="dxa"/>
            <w:gridSpan w:val="2"/>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8.</w:t>
            </w:r>
          </w:p>
        </w:tc>
        <w:tc>
          <w:tcPr>
            <w:tcW w:w="942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EXHIBITS</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00"/>
              <w:jc w:val="both"/>
              <w:rPr/>
            </w:pPr>
            <w:r>
              <w:rPr/>
              <w:t> </w:t>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pPr>
            <w:r>
              <w:rPr/>
              <w:t> </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pPr>
            <w:hyperlink w:anchor="ocs-ex4_1.htm">
              <w:r>
                <w:rPr>
                  <w:rStyle w:val="InternetLink"/>
                  <w:rFonts w:ascii="Times New Roman" w:hAnsi="Times New Roman"/>
                  <w:color w:val="0000FF"/>
                  <w:sz w:val="20"/>
                  <w:u w:val="single"/>
                </w:rPr>
                <w:t>Amended and Restated Articles of Association of Oculis Holding AG.</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pPr>
            <w:hyperlink r:id="rId12">
              <w:r>
                <w:rPr>
                  <w:rStyle w:val="InternetLink"/>
                  <w:rFonts w:ascii="Times New Roman" w:hAnsi="Times New Roman"/>
                  <w:color w:val="0000FF"/>
                  <w:sz w:val="20"/>
                  <w:u w:val="single"/>
                </w:rPr>
                <w:t>Stock Option and Incentive Plan Regulation 2023 of Oculis Holding AG (incorporated by reference to Exhibit 4.5 to our Report on Form 20-F filed on March 4, 2026)</w:t>
              </w:r>
            </w:hyperlink>
            <w:r>
              <w:rPr>
                <w:rFonts w:ascii="Times New Roman" w:hAnsi="Times New Roman"/>
                <w:color w:val="000000"/>
                <w:sz w:val="20"/>
              </w:rPr>
              <w:t>.</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pPr>
            <w:hyperlink w:anchor="ocs-ex5_1.htm">
              <w:r>
                <w:rPr>
                  <w:rStyle w:val="InternetLink"/>
                  <w:rFonts w:ascii="Times New Roman" w:hAnsi="Times New Roman"/>
                  <w:color w:val="0000FF"/>
                  <w:sz w:val="20"/>
                  <w:u w:val="single"/>
                </w:rPr>
                <w:t>Opinion of Vischer AG, Swiss counsel to Oculis Holding AG, as to the validity of the Ordinary Shares being registered.</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23.1*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pPr>
            <w:hyperlink w:anchor="ocs-ex23_1.htm">
              <w:r>
                <w:rPr>
                  <w:rStyle w:val="InternetLink"/>
                  <w:rFonts w:ascii="Times New Roman" w:hAnsi="Times New Roman"/>
                  <w:color w:val="0000FF"/>
                  <w:sz w:val="20"/>
                  <w:u w:val="single"/>
                </w:rPr>
                <w:t>Consent of PricewaterhouseCoopers, SA., independent registered accounting firm for Oculis Holding AG.</w:t>
              </w:r>
            </w:hyperlink>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23.2*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Consent of Vischer AG (included as part of Exhibit 5.1).</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24.1*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Power of Attorney (included on the signature page hereto).</w:t>
            </w:r>
          </w:p>
        </w:tc>
      </w:tr>
      <w:tr>
        <w:trPr/>
        <w:tc>
          <w:tcPr>
            <w:tcW w:w="625"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107*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shd w:fill="FFFFFF" w:val="clear"/>
            <w:tcMar>
              <w:top w:w="0" w:type="dxa"/>
              <w:left w:w="0" w:type="dxa"/>
              <w:bottom w:w="0" w:type="dxa"/>
              <w:right w:w="0" w:type="dxa"/>
            </w:tcMar>
            <w:vAlign w:val="center"/>
          </w:tcPr>
          <w:p>
            <w:pPr>
              <w:pStyle w:val="TableContents"/>
              <w:bidi w:val="0"/>
              <w:spacing w:before="0" w:after="200"/>
              <w:jc w:val="both"/>
              <w:rPr/>
            </w:pPr>
            <w:hyperlink w:anchor="ocs-exfiling_fees.htm">
              <w:r>
                <w:rPr>
                  <w:rStyle w:val="InternetLink"/>
                  <w:rFonts w:ascii="Times New Roman" w:hAnsi="Times New Roman"/>
                  <w:color w:val="0000FF"/>
                  <w:sz w:val="20"/>
                  <w:u w:val="single"/>
                </w:rPr>
                <w:t>Filing Fee Table.</w:t>
              </w:r>
            </w:hyperlink>
          </w:p>
        </w:tc>
      </w:tr>
    </w:tbl>
    <w:tbl>
      <w:tblPr>
        <w:tblW w:w="1592" w:type="dxa"/>
        <w:jc w:val="left"/>
        <w:tblInd w:w="0" w:type="dxa"/>
        <w:tblLayout w:type="fixed"/>
        <w:tblCellMar>
          <w:top w:w="28" w:type="dxa"/>
          <w:left w:w="28" w:type="dxa"/>
          <w:bottom w:w="28" w:type="dxa"/>
          <w:right w:w="28" w:type="dxa"/>
        </w:tblCellMar>
      </w:tblPr>
      <w:tblGrid>
        <w:gridCol w:w="226"/>
        <w:gridCol w:w="1366"/>
      </w:tblGrid>
      <w:tr>
        <w:trPr/>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0" w:after="20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841"/>
        <w:gridCol w:w="1711"/>
      </w:tblGrid>
      <w:tr>
        <w:trPr/>
        <w:tc>
          <w:tcPr>
            <w:tcW w:w="8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ITEM 9.</w:t>
            </w:r>
          </w:p>
        </w:tc>
        <w:tc>
          <w:tcPr>
            <w:tcW w:w="1711"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UNDERTAKINGS</w:t>
            </w:r>
          </w:p>
        </w:tc>
      </w:tr>
    </w:tbl>
    <w:p>
      <w:pPr>
        <w:pStyle w:val="TextBody"/>
        <w:bidi w:val="0"/>
        <w:spacing w:before="0" w:after="200"/>
        <w:jc w:val="both"/>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this Registration Statement (or the most recent post- 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20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this Registration Statement.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 xml:space="preserve">bona fide </w:t>
      </w:r>
      <w:r>
        <w:rPr>
          <w:rFonts w:ascii="Times New Roman" w:hAnsi="Times New Roman"/>
          <w:color w:val="000000"/>
          <w:sz w:val="20"/>
        </w:rPr>
        <w:t>offering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00"/>
        <w:jc w:val="both"/>
        <w:rPr/>
      </w:pPr>
      <w:bookmarkStart w:id="2" w:name="sig"/>
      <w:bookmarkEnd w:id="2"/>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Switzerland, on August 6, 2026.</w:t>
      </w:r>
    </w:p>
    <w:tbl>
      <w:tblPr>
        <w:tblW w:w="2580" w:type="dxa"/>
        <w:jc w:val="left"/>
        <w:tblInd w:w="0" w:type="dxa"/>
        <w:tblLayout w:type="fixed"/>
        <w:tblCellMar>
          <w:top w:w="28" w:type="dxa"/>
          <w:left w:w="28" w:type="dxa"/>
          <w:bottom w:w="28" w:type="dxa"/>
          <w:right w:w="28" w:type="dxa"/>
        </w:tblCellMar>
      </w:tblPr>
      <w:tblGrid>
        <w:gridCol w:w="579"/>
        <w:gridCol w:w="200"/>
        <w:gridCol w:w="1801"/>
      </w:tblGrid>
      <w:tr>
        <w:trPr/>
        <w:tc>
          <w:tcPr>
            <w:tcW w:w="5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579" w:type="dxa"/>
            <w:tcBorders/>
            <w:tcMar>
              <w:top w:w="0" w:type="dxa"/>
              <w:left w:w="0" w:type="dxa"/>
              <w:bottom w:w="0" w:type="dxa"/>
              <w:right w:w="0" w:type="dxa"/>
            </w:tcMar>
            <w:vAlign w:val="center"/>
          </w:tcPr>
          <w:p>
            <w:pPr>
              <w:pStyle w:val="TableContents"/>
              <w:bidi w:val="0"/>
              <w:spacing w:before="0" w:after="283"/>
              <w:jc w:val="both"/>
              <w:rPr/>
            </w:pPr>
            <w:r>
              <w:rPr/>
              <w:t> </w:t>
            </w:r>
          </w:p>
        </w:tc>
        <w:tc>
          <w:tcPr>
            <w:tcW w:w="200"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OCULIS HOLDING AG</w:t>
            </w:r>
          </w:p>
        </w:tc>
      </w:tr>
      <w:tr>
        <w:trPr/>
        <w:tc>
          <w:tcPr>
            <w:tcW w:w="579" w:type="dxa"/>
            <w:tcBorders/>
            <w:tcMar>
              <w:top w:w="0" w:type="dxa"/>
              <w:left w:w="0" w:type="dxa"/>
              <w:bottom w:w="0" w:type="dxa"/>
              <w:right w:w="0" w:type="dxa"/>
            </w:tcMar>
            <w:vAlign w:val="center"/>
          </w:tcPr>
          <w:p>
            <w:pPr>
              <w:pStyle w:val="TableContents"/>
              <w:bidi w:val="0"/>
              <w:spacing w:before="0" w:after="283"/>
              <w:jc w:val="both"/>
              <w:rPr/>
            </w:pPr>
            <w:r>
              <w:rPr/>
              <w:t> </w:t>
            </w:r>
          </w:p>
        </w:tc>
        <w:tc>
          <w:tcPr>
            <w:tcW w:w="2001"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0"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Riad Sherif</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Riad Sherif</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undersigned individuals hereby severally constitutes and appoints each of Riad Sherif and Sylvia Cheung as the attorneys-in-fact for the undersigned, in any and all capacities, with full power of substitution, to sign on such person’s behalf, individually and in each capacity stated below, any and all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attorneys-in-fact, and each of them, full power and authority to do and perform each and every act and thing requisite or necessary to be done in connection therewith, as fully to all intents and purposes as such person might or could do in person, hereby ratifying and confirming all that said attorneys-in-fact, and each of them, or his or her substitute or substitutes, may lawfully do or cause to be done by virtue hereof.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 in the capacities indicated and on the date indicated below.</w:t>
      </w:r>
    </w:p>
    <w:tbl>
      <w:tblPr>
        <w:tblW w:w="7840" w:type="dxa"/>
        <w:jc w:val="left"/>
        <w:tblInd w:w="0" w:type="dxa"/>
        <w:tblLayout w:type="fixed"/>
        <w:tblCellMar>
          <w:top w:w="28" w:type="dxa"/>
          <w:left w:w="28" w:type="dxa"/>
          <w:bottom w:w="28" w:type="dxa"/>
          <w:right w:w="28" w:type="dxa"/>
        </w:tblCellMar>
      </w:tblPr>
      <w:tblGrid>
        <w:gridCol w:w="2431"/>
        <w:gridCol w:w="146"/>
        <w:gridCol w:w="3721"/>
        <w:gridCol w:w="146"/>
        <w:gridCol w:w="139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7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Date</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Riad Sherif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Riad Sherif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Sylvia Cheung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Sylvia Cheung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Anthony Rosenberg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Anthony Rosenberg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Arshad M. Khanani, M.D.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Arshad M. Khanani, M.D.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Christina Ackermann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Christina Ackermann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Geraldine O’Keeffe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Geraldine O’Keeffe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Lionel Carnot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Lionel Carnot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Martijn Kleijwegt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Martijn Kleijwegt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Gregory Perry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Gregory Perry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25" w:type="dxa"/>
        <w:jc w:val="left"/>
        <w:tblInd w:w="0" w:type="dxa"/>
        <w:tblLayout w:type="fixed"/>
        <w:tblCellMar>
          <w:top w:w="28" w:type="dxa"/>
          <w:left w:w="28" w:type="dxa"/>
          <w:bottom w:w="28" w:type="dxa"/>
          <w:right w:w="28" w:type="dxa"/>
        </w:tblCellMar>
      </w:tblPr>
      <w:tblGrid>
        <w:gridCol w:w="1771"/>
        <w:gridCol w:w="146"/>
        <w:gridCol w:w="766"/>
        <w:gridCol w:w="146"/>
        <w:gridCol w:w="139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Robert K. Warner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K. Warner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SIGNATURE OF AUTHORIZED U.S. REPRESENTATIVE OF THE REGISTRANT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Pursuant to the requirements of the Securities Act of 1933, as amended, the undersigned has signed this registration statement, solely in the capacity as the duly authorized representative of the Registrant, in Boston, Massachusetts, on August 6, 2026.</w:t>
      </w:r>
    </w:p>
    <w:tbl>
      <w:tblPr>
        <w:tblW w:w="2520" w:type="dxa"/>
        <w:jc w:val="left"/>
        <w:tblInd w:w="0" w:type="dxa"/>
        <w:tblLayout w:type="fixed"/>
        <w:tblCellMar>
          <w:top w:w="28" w:type="dxa"/>
          <w:left w:w="28" w:type="dxa"/>
          <w:bottom w:w="28" w:type="dxa"/>
          <w:right w:w="28" w:type="dxa"/>
        </w:tblCellMar>
      </w:tblPr>
      <w:tblGrid>
        <w:gridCol w:w="488"/>
        <w:gridCol w:w="169"/>
        <w:gridCol w:w="1863"/>
      </w:tblGrid>
      <w:tr>
        <w:trPr/>
        <w:tc>
          <w:tcPr>
            <w:tcW w:w="4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488" w:type="dxa"/>
            <w:tcBorders/>
            <w:tcMar>
              <w:top w:w="0" w:type="dxa"/>
              <w:left w:w="0" w:type="dxa"/>
              <w:bottom w:w="0" w:type="dxa"/>
              <w:right w:w="0" w:type="dxa"/>
            </w:tcMar>
            <w:vAlign w:val="center"/>
          </w:tcPr>
          <w:p>
            <w:pPr>
              <w:pStyle w:val="TableContents"/>
              <w:bidi w:val="0"/>
              <w:spacing w:before="0" w:after="200"/>
              <w:jc w:val="both"/>
              <w:rPr/>
            </w:pPr>
            <w:r>
              <w:rPr/>
              <w:t> </w:t>
            </w:r>
          </w:p>
        </w:tc>
        <w:tc>
          <w:tcPr>
            <w:tcW w:w="169" w:type="dxa"/>
            <w:tcBorders/>
            <w:tcMar>
              <w:top w:w="0" w:type="dxa"/>
              <w:left w:w="0" w:type="dxa"/>
              <w:bottom w:w="0" w:type="dxa"/>
              <w:right w:w="0" w:type="dxa"/>
            </w:tcMar>
            <w:vAlign w:val="center"/>
          </w:tcPr>
          <w:p>
            <w:pPr>
              <w:pStyle w:val="TableContents"/>
              <w:bidi w:val="0"/>
              <w:spacing w:before="0" w:after="200"/>
              <w:jc w:val="both"/>
              <w:rPr/>
            </w:pPr>
            <w:r>
              <w:rPr/>
              <w:t> </w:t>
            </w:r>
          </w:p>
        </w:tc>
        <w:tc>
          <w:tcPr>
            <w:tcW w:w="1863" w:type="dxa"/>
            <w:tcBorders/>
            <w:tcMar>
              <w:top w:w="0" w:type="dxa"/>
              <w:left w:w="0" w:type="dxa"/>
              <w:bottom w:w="0" w:type="dxa"/>
              <w:right w:w="0" w:type="dxa"/>
            </w:tcMar>
            <w:vAlign w:val="center"/>
          </w:tcPr>
          <w:p>
            <w:pPr>
              <w:pStyle w:val="TableContents"/>
              <w:bidi w:val="0"/>
              <w:spacing w:before="0" w:after="200"/>
              <w:jc w:val="both"/>
              <w:rPr/>
            </w:pPr>
            <w:r>
              <w:rPr/>
              <w:t> </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OCULIS US INC</w:t>
            </w:r>
          </w:p>
        </w:tc>
      </w:tr>
      <w:tr>
        <w:trPr/>
        <w:tc>
          <w:tcPr>
            <w:tcW w:w="488" w:type="dxa"/>
            <w:tcBorders/>
            <w:tcMar>
              <w:top w:w="0" w:type="dxa"/>
              <w:left w:w="0" w:type="dxa"/>
              <w:bottom w:w="0" w:type="dxa"/>
              <w:right w:w="0" w:type="dxa"/>
            </w:tcMar>
            <w:vAlign w:val="center"/>
          </w:tcPr>
          <w:p>
            <w:pPr>
              <w:pStyle w:val="TableContents"/>
              <w:bidi w:val="0"/>
              <w:spacing w:before="0" w:after="200"/>
              <w:jc w:val="both"/>
              <w:rPr/>
            </w:pPr>
            <w:r>
              <w:rPr/>
              <w:t> </w:t>
            </w:r>
          </w:p>
        </w:tc>
        <w:tc>
          <w:tcPr>
            <w:tcW w:w="203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88"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0"/>
              </w:rPr>
            </w:pPr>
            <w:r>
              <w:rPr>
                <w:rFonts w:ascii="Times New Roman" w:hAnsi="Times New Roman"/>
                <w:color w:val="000000"/>
                <w:sz w:val="20"/>
              </w:rPr>
              <w:t>By:</w:t>
            </w:r>
          </w:p>
        </w:tc>
        <w:tc>
          <w:tcPr>
            <w:tcW w:w="16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3"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Sylvia Cheung</w:t>
            </w:r>
          </w:p>
        </w:tc>
      </w:tr>
      <w:tr>
        <w:trPr/>
        <w:tc>
          <w:tcPr>
            <w:tcW w:w="2520"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Name: Sylvia Cheung</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0" w:after="20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 w:name="ocs-ex4_1.htm"/>
      <w:bookmarkStart w:id="4" w:name="ksocsex4_1"/>
      <w:bookmarkEnd w:id="3"/>
      <w:bookmarkEnd w:id="4"/>
      <w:r>
        <w:rPr>
          <w:rFonts w:ascii="Verdana;sans-serif" w:hAnsi="Verdana;sans-serif"/>
          <w:b/>
          <w:color w:val="000000"/>
          <w:sz w:val="24"/>
        </w:rPr>
        <w:br/>
      </w:r>
      <w:r>
        <w:rPr>
          <w:rFonts w:ascii="Times New Roman" w:hAnsi="Times New Roman"/>
          <w:color w:val="000000"/>
          <w:sz w:val="20"/>
        </w:rPr>
        <w:t> </w:t>
      </w:r>
      <w:r>
        <w:br w:type="page"/>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2"/>
        <w:gridCol w:w="1606"/>
        <w:gridCol w:w="4477"/>
      </w:tblGrid>
      <w:tr>
        <w:trPr/>
        <w:tc>
          <w:tcPr>
            <w:tcW w:w="412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477" w:type="dxa"/>
            <w:tcBorders/>
            <w:vAlign w:val="center"/>
          </w:tcPr>
          <w:p>
            <w:pPr>
              <w:pStyle w:val="TableContents"/>
              <w:bidi w:val="0"/>
              <w:spacing w:before="0" w:after="283"/>
              <w:jc w:val="left"/>
              <w:rPr>
                <w:sz w:val="4"/>
                <w:szCs w:val="4"/>
              </w:rPr>
            </w:pPr>
            <w:r>
              <w:rPr>
                <w:sz w:val="4"/>
                <w:szCs w:val="4"/>
              </w:rPr>
            </w:r>
          </w:p>
        </w:tc>
      </w:tr>
      <w:tr>
        <w:trPr/>
        <w:tc>
          <w:tcPr>
            <w:tcW w:w="4122" w:type="dxa"/>
            <w:tcBorders/>
            <w:tcMar>
              <w:top w:w="0" w:type="dxa"/>
              <w:left w:w="0" w:type="dxa"/>
              <w:bottom w:w="0" w:type="dxa"/>
              <w:right w:w="0" w:type="dxa"/>
            </w:tcMar>
            <w:vAlign w:val="center"/>
          </w:tcPr>
          <w:p>
            <w:pPr>
              <w:pStyle w:val="Heading1"/>
              <w:bidi w:val="0"/>
              <w:spacing w:before="120" w:after="120"/>
              <w:jc w:val="left"/>
              <w:rPr>
                <w:rFonts w:ascii="Times New Roman" w:hAnsi="Times New Roman"/>
                <w:sz w:val="20"/>
              </w:rPr>
            </w:pPr>
            <w:r>
              <w:rPr>
                <w:rFonts w:ascii="Calibri Light;sans-serif" w:hAnsi="Calibri Light;sans-serif"/>
                <w:caps/>
                <w:color w:val="000000"/>
                <w:sz w:val="20"/>
              </w:rPr>
              <w:t>Articles of association</w:t>
              <w:br/>
            </w:r>
            <w:r>
              <w:rPr>
                <w:rFonts w:ascii="Calibri Light;sans-serif" w:hAnsi="Calibri Light;sans-serif"/>
                <w:color w:val="000000"/>
                <w:sz w:val="20"/>
              </w:rPr>
              <w:t>of</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 xml:space="preserve">Oculis Holding AG </w:t>
              <w:br/>
              <w:t>(Oculis Holding SA)</w:t>
              <w:br/>
              <w:t>(Oculis Holding Ltd)</w:t>
            </w:r>
          </w:p>
          <w:p>
            <w:pPr>
              <w:pStyle w:val="TableContents"/>
              <w:bidi w:val="0"/>
              <w:spacing w:before="0" w:after="120"/>
              <w:jc w:val="center"/>
              <w:rPr/>
            </w:pPr>
            <w:r>
              <w:rPr/>
              <w:t> </w:t>
            </w:r>
          </w:p>
          <w:p>
            <w:pPr>
              <w:pStyle w:val="TableContents"/>
              <w:bidi w:val="0"/>
              <w:spacing w:before="0" w:after="120"/>
              <w:jc w:val="center"/>
              <w:rPr>
                <w:rFonts w:ascii="Times New Roman" w:hAnsi="Times New Roman"/>
                <w:sz w:val="20"/>
              </w:rPr>
            </w:pPr>
            <w:r>
              <w:rPr>
                <w:rFonts w:ascii="Calibri Light;sans-serif" w:hAnsi="Calibri Light;sans-serif"/>
                <w:b/>
                <w:color w:val="000000"/>
                <w:sz w:val="20"/>
              </w:rPr>
              <w:t>with registered office in</w:t>
            </w:r>
            <w:r>
              <w:rPr>
                <w:rFonts w:ascii="Times New Roman" w:hAnsi="Times New Roman"/>
                <w:color w:val="000000"/>
                <w:sz w:val="20"/>
              </w:rPr>
              <w:t xml:space="preserve"> </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Zug</w:t>
            </w:r>
          </w:p>
          <w:p>
            <w:pPr>
              <w:pStyle w:val="TableContents"/>
              <w:bidi w:val="0"/>
              <w:spacing w:before="0" w:after="120"/>
              <w:jc w:val="center"/>
              <w:rPr>
                <w:rFonts w:ascii="Calibri Light;sans-serif" w:hAnsi="Calibri Light;sans-serif"/>
                <w:color w:val="000000"/>
                <w:sz w:val="20"/>
              </w:rPr>
            </w:pPr>
            <w:r>
              <w:rPr>
                <w:rFonts w:ascii="Calibri Light;sans-serif" w:hAnsi="Calibri Light;sans-serif"/>
                <w:color w:val="000000"/>
                <w:sz w:val="20"/>
              </w:rPr>
              <w:t>(Translation; in case of controversy the German text shall prevail)</w:t>
            </w:r>
          </w:p>
          <w:p>
            <w:pPr>
              <w:pStyle w:val="TableContents"/>
              <w:bidi w:val="0"/>
              <w:spacing w:before="0" w:after="120"/>
              <w:jc w:val="center"/>
              <w:rPr/>
            </w:pPr>
            <w:r>
              <w:rPr/>
              <w:t> </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477" w:type="dxa"/>
            <w:tcBorders/>
            <w:tcMar>
              <w:top w:w="0" w:type="dxa"/>
              <w:left w:w="0" w:type="dxa"/>
              <w:bottom w:w="0" w:type="dxa"/>
              <w:right w:w="0" w:type="dxa"/>
            </w:tcMar>
            <w:vAlign w:val="center"/>
          </w:tcPr>
          <w:p>
            <w:pPr>
              <w:pStyle w:val="Heading1"/>
              <w:bidi w:val="0"/>
              <w:spacing w:before="120" w:after="120"/>
              <w:jc w:val="left"/>
              <w:rPr>
                <w:rFonts w:ascii="Times New Roman" w:hAnsi="Times New Roman"/>
                <w:sz w:val="20"/>
              </w:rPr>
            </w:pPr>
            <w:r>
              <w:rPr>
                <w:rFonts w:ascii="Calibri Light;sans-serif" w:hAnsi="Calibri Light;sans-serif"/>
                <w:caps/>
                <w:color w:val="000000"/>
                <w:sz w:val="20"/>
              </w:rPr>
              <w:t>STATUTEN</w:t>
              <w:br/>
            </w:r>
            <w:r>
              <w:rPr>
                <w:rFonts w:ascii="Calibri Light;sans-serif" w:hAnsi="Calibri Light;sans-serif"/>
                <w:color w:val="000000"/>
                <w:sz w:val="20"/>
              </w:rPr>
              <w:t>der</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 xml:space="preserve">Oculis Holding AG </w:t>
              <w:br/>
              <w:t>(Oculis Holding SA)</w:t>
              <w:br/>
              <w:t>(Oculis Holding Ltd)</w:t>
            </w:r>
          </w:p>
          <w:p>
            <w:pPr>
              <w:pStyle w:val="TableContents"/>
              <w:bidi w:val="0"/>
              <w:spacing w:before="0" w:after="120"/>
              <w:jc w:val="center"/>
              <w:rPr/>
            </w:pPr>
            <w:r>
              <w:rPr/>
              <w:t> </w:t>
            </w:r>
          </w:p>
          <w:p>
            <w:pPr>
              <w:pStyle w:val="TableContents"/>
              <w:bidi w:val="0"/>
              <w:spacing w:before="0" w:after="120"/>
              <w:jc w:val="center"/>
              <w:rPr>
                <w:rFonts w:ascii="Calibri Light;sans-serif" w:hAnsi="Calibri Light;sans-serif"/>
                <w:b/>
                <w:color w:val="000000"/>
                <w:sz w:val="20"/>
              </w:rPr>
            </w:pPr>
            <w:r>
              <w:rPr>
                <w:rFonts w:ascii="Calibri Light;sans-serif" w:hAnsi="Calibri Light;sans-serif"/>
                <w:b/>
                <w:color w:val="000000"/>
                <w:sz w:val="20"/>
              </w:rPr>
              <w:t>mit Sitz in</w:t>
            </w:r>
          </w:p>
          <w:p>
            <w:pPr>
              <w:pStyle w:val="TableContents"/>
              <w:bidi w:val="0"/>
              <w:spacing w:before="0" w:after="120"/>
              <w:ind w:left="0" w:right="0" w:firstLine="790"/>
              <w:jc w:val="center"/>
              <w:rPr>
                <w:rFonts w:ascii="Calibri Light;sans-serif" w:hAnsi="Calibri Light;sans-serif"/>
                <w:b/>
                <w:color w:val="000000"/>
                <w:sz w:val="20"/>
              </w:rPr>
            </w:pPr>
            <w:r>
              <w:rPr>
                <w:rFonts w:ascii="Calibri Light;sans-serif" w:hAnsi="Calibri Light;sans-serif"/>
                <w:b/>
                <w:color w:val="000000"/>
                <w:sz w:val="20"/>
              </w:rPr>
              <w:t>Zug</w:t>
            </w:r>
          </w:p>
        </w:tc>
      </w:tr>
      <w:tr>
        <w:trPr/>
        <w:tc>
          <w:tcPr>
            <w:tcW w:w="4122" w:type="dxa"/>
            <w:tcBorders/>
            <w:tcMar>
              <w:top w:w="0" w:type="dxa"/>
              <w:left w:w="0" w:type="dxa"/>
              <w:bottom w:w="0" w:type="dxa"/>
              <w:right w:w="0" w:type="dxa"/>
            </w:tcMar>
            <w:vAlign w:val="center"/>
          </w:tcPr>
          <w:p>
            <w:pPr>
              <w:pStyle w:val="Heading1"/>
              <w:pBdr/>
              <w:bidi w:val="0"/>
              <w:spacing w:before="360" w:after="360"/>
              <w:ind w:left="0" w:right="0" w:hanging="790"/>
              <w:jc w:val="left"/>
              <w:rPr>
                <w:rFonts w:ascii="Calibri Light;sans-serif" w:hAnsi="Calibri Light;sans-serif"/>
                <w:caps/>
                <w:color w:val="000000"/>
                <w:sz w:val="20"/>
              </w:rPr>
            </w:pPr>
            <w:r>
              <w:rPr>
                <w:rFonts w:ascii="Calibri Light;sans-serif" w:hAnsi="Calibri Light;sans-serif"/>
                <w:caps/>
                <w:color w:val="000000"/>
                <w:sz w:val="20"/>
              </w:rPr>
              <w:t>I. Corporate Name, Registered Office, Duration and Purpose of the Company</w:t>
            </w:r>
          </w:p>
        </w:tc>
        <w:tc>
          <w:tcPr>
            <w:tcW w:w="1606" w:type="dxa"/>
            <w:tcBorders/>
            <w:tcMar>
              <w:top w:w="0" w:type="dxa"/>
              <w:left w:w="0" w:type="dxa"/>
              <w:bottom w:w="0" w:type="dxa"/>
              <w:right w:w="0" w:type="dxa"/>
            </w:tcMar>
            <w:vAlign w:val="center"/>
          </w:tcPr>
          <w:p>
            <w:pPr>
              <w:pStyle w:val="Heading1"/>
              <w:bidi w:val="0"/>
              <w:spacing w:before="360" w:after="360"/>
              <w:ind w:left="0" w:right="0" w:firstLine="790"/>
              <w:jc w:val="left"/>
              <w:rPr/>
            </w:pPr>
            <w:r>
              <w:rPr/>
              <w:t> </w:t>
            </w:r>
          </w:p>
        </w:tc>
        <w:tc>
          <w:tcPr>
            <w:tcW w:w="4477" w:type="dxa"/>
            <w:tcBorders/>
            <w:tcMar>
              <w:top w:w="0" w:type="dxa"/>
              <w:left w:w="0" w:type="dxa"/>
              <w:bottom w:w="0" w:type="dxa"/>
              <w:right w:w="0" w:type="dxa"/>
            </w:tcMar>
            <w:vAlign w:val="center"/>
          </w:tcPr>
          <w:p>
            <w:pPr>
              <w:pStyle w:val="Heading1"/>
              <w:pBdr/>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I. Firma, Sitz, Dauer und Zweck der Gesellschaft</w:t>
            </w:r>
          </w:p>
        </w:tc>
      </w:tr>
      <w:tr>
        <w:trPr/>
        <w:tc>
          <w:tcPr>
            <w:tcW w:w="4122"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Times New Roman" w:hAnsi="Times New Roman"/>
                <w:sz w:val="20"/>
              </w:rPr>
            </w:pPr>
            <w:r>
              <w:rPr>
                <w:rFonts w:ascii="Calibri Light;sans-serif" w:hAnsi="Calibri Light;sans-serif"/>
                <w:b/>
                <w:color w:val="000000"/>
                <w:sz w:val="20"/>
              </w:rPr>
              <w:t>Article 1 Corporate Name, Registered Office and Duration</w:t>
            </w:r>
            <w:r>
              <w:rPr>
                <w:rFonts w:ascii="Times New Roman" w:hAnsi="Times New Roman"/>
                <w:color w:val="000000"/>
                <w:sz w:val="20"/>
              </w:rPr>
              <w:t xml:space="preserve"> </w:t>
            </w:r>
          </w:p>
          <w:p>
            <w:pPr>
              <w:pStyle w:val="TableContents"/>
              <w:bidi w:val="0"/>
              <w:spacing w:before="0" w:after="120"/>
              <w:ind w:left="0" w:right="0" w:firstLine="1357"/>
              <w:jc w:val="left"/>
              <w:rPr>
                <w:rFonts w:ascii="Times New Roman" w:hAnsi="Times New Roman"/>
                <w:sz w:val="20"/>
              </w:rPr>
            </w:pPr>
            <w:r>
              <w:rPr>
                <w:rFonts w:ascii="Calibri Light;sans-serif" w:hAnsi="Calibri Light;sans-serif"/>
                <w:color w:val="000000"/>
                <w:sz w:val="20"/>
              </w:rPr>
              <w:t>Under the name</w:t>
            </w:r>
            <w:r>
              <w:rPr>
                <w:rFonts w:ascii="Times New Roman" w:hAnsi="Times New Roman"/>
                <w:color w:val="000000"/>
                <w:sz w:val="20"/>
              </w:rPr>
              <w:t xml:space="preserve"> </w:t>
            </w:r>
          </w:p>
          <w:p>
            <w:pPr>
              <w:pStyle w:val="TableContents"/>
              <w:bidi w:val="0"/>
              <w:spacing w:before="0" w:after="120"/>
              <w:ind w:left="0" w:right="0" w:firstLine="1357"/>
              <w:jc w:val="center"/>
              <w:rPr>
                <w:rFonts w:ascii="Calibri Light;sans-serif" w:hAnsi="Calibri Light;sans-serif"/>
                <w:color w:val="000000"/>
                <w:sz w:val="20"/>
              </w:rPr>
            </w:pPr>
            <w:r>
              <w:rPr>
                <w:rFonts w:ascii="Calibri Light;sans-serif" w:hAnsi="Calibri Light;sans-serif"/>
                <w:color w:val="000000"/>
                <w:sz w:val="20"/>
              </w:rPr>
              <w:t xml:space="preserve">Oculis Holding AG </w:t>
              <w:br/>
              <w:t>(Oculis Holding SA)</w:t>
              <w:br/>
              <w:t>(Oculis Holding Ltd)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 company limited by shares which is subject to the provisions of articles 620 et seq. of the Swiss Code of Obligations (CO) exists with registered office in Zug (Switzerland) (the "Company"). The duration of the Company is unlimited.</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477"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Times New Roman" w:hAnsi="Times New Roman"/>
                <w:sz w:val="20"/>
              </w:rPr>
            </w:pPr>
            <w:r>
              <w:rPr>
                <w:rFonts w:ascii="Calibri Light;sans-serif" w:hAnsi="Calibri Light;sans-serif"/>
                <w:b/>
                <w:color w:val="000000"/>
                <w:sz w:val="20"/>
              </w:rPr>
              <w:t>Artikel 1 Firma, Sitz und Dauer</w:t>
              <w:br/>
            </w:r>
            <w:r>
              <w:rPr>
                <w:rFonts w:ascii="Times New Roman" w:hAnsi="Times New Roman"/>
                <w:color w:val="000000"/>
                <w:sz w:val="20"/>
              </w:rPr>
              <w:t> </w:t>
            </w:r>
          </w:p>
          <w:p>
            <w:pPr>
              <w:pStyle w:val="TableContents"/>
              <w:bidi w:val="0"/>
              <w:spacing w:before="0" w:after="120"/>
              <w:ind w:left="0" w:right="0" w:firstLine="1355"/>
              <w:jc w:val="left"/>
              <w:rPr>
                <w:rFonts w:ascii="Times New Roman" w:hAnsi="Times New Roman"/>
                <w:sz w:val="20"/>
              </w:rPr>
            </w:pPr>
            <w:r>
              <w:rPr>
                <w:rFonts w:ascii="Calibri Light;sans-serif" w:hAnsi="Calibri Light;sans-serif"/>
                <w:color w:val="000000"/>
                <w:sz w:val="20"/>
              </w:rPr>
              <w:t>Unter der Firma</w:t>
            </w:r>
            <w:r>
              <w:rPr>
                <w:rFonts w:ascii="Times New Roman" w:hAnsi="Times New Roman"/>
                <w:color w:val="000000"/>
                <w:sz w:val="20"/>
              </w:rPr>
              <w:t xml:space="preserve"> </w:t>
            </w:r>
          </w:p>
          <w:p>
            <w:pPr>
              <w:pStyle w:val="TableContents"/>
              <w:bidi w:val="0"/>
              <w:spacing w:before="0" w:after="120"/>
              <w:ind w:left="0" w:right="0" w:firstLine="1355"/>
              <w:jc w:val="center"/>
              <w:rPr>
                <w:rFonts w:ascii="Calibri Light;sans-serif" w:hAnsi="Calibri Light;sans-serif"/>
                <w:color w:val="000000"/>
                <w:sz w:val="20"/>
              </w:rPr>
            </w:pPr>
            <w:r>
              <w:rPr>
                <w:rFonts w:ascii="Calibri Light;sans-serif" w:hAnsi="Calibri Light;sans-serif"/>
                <w:color w:val="000000"/>
                <w:sz w:val="20"/>
              </w:rPr>
              <w:t xml:space="preserve">Oculis Holding AG </w:t>
              <w:br/>
              <w:t>(Oculis Holding SA)</w:t>
              <w:br/>
              <w:t>(Oculis Holding Ltd)</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besteht eine Aktiengesellschaft gemäss Artikeln 620 ff. OR mit Sitz in Zug (Schweiz) (die "Gesellschaft"). Die Dauer der Gesellschaft ist unbeschränkt.</w:t>
            </w:r>
          </w:p>
        </w:tc>
      </w:tr>
      <w:tr>
        <w:trPr/>
        <w:tc>
          <w:tcPr>
            <w:tcW w:w="4122"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2 Purpose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purpose of the Company is to acquire, hold, manage and sell interests in companies of all kinds in Switzerland and abroad, in particular in the areas of research and development in the field of pharmaceutical products, including biological and biotechnological products, as well as the production and commercialisation of such products.</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477"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2 Zweck</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 die Herstellung und Kommerzialisierung derartiger Produkte.</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w:t>
      </w:r>
    </w:p>
    <w:tbl>
      <w:tblPr>
        <w:tblW w:w="10205" w:type="dxa"/>
        <w:jc w:val="left"/>
        <w:tblInd w:w="0" w:type="dxa"/>
        <w:tblLayout w:type="fixed"/>
        <w:tblCellMar>
          <w:top w:w="28" w:type="dxa"/>
          <w:left w:w="28" w:type="dxa"/>
          <w:bottom w:w="28" w:type="dxa"/>
          <w:right w:w="28" w:type="dxa"/>
        </w:tblCellMar>
      </w:tblPr>
      <w:tblGrid>
        <w:gridCol w:w="3831"/>
        <w:gridCol w:w="1606"/>
        <w:gridCol w:w="4768"/>
      </w:tblGrid>
      <w:tr>
        <w:trPr/>
        <w:tc>
          <w:tcPr>
            <w:tcW w:w="38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768" w:type="dxa"/>
            <w:tcBorders/>
            <w:vAlign w:val="center"/>
          </w:tcPr>
          <w:p>
            <w:pPr>
              <w:pStyle w:val="TableContents"/>
              <w:bidi w:val="0"/>
              <w:spacing w:before="0" w:after="283"/>
              <w:jc w:val="left"/>
              <w:rPr>
                <w:sz w:val="4"/>
                <w:szCs w:val="4"/>
              </w:rPr>
            </w:pPr>
            <w:r>
              <w:rPr>
                <w:sz w:val="4"/>
                <w:szCs w:val="4"/>
              </w:rPr>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purchase, hold and sell patents, copyrights, trademarks and other intellectual property rights as well as licenses of any kind.</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Patente, Urheberrechte, Marken und andere Immaterialgüterrechte sowie Lizenzen jeder Art erwerben, halten und veräussern.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engage in and carry out any and all commercial, financial or other activity, which is directly or indirectly related to the purpose of the Company. The Company may purchase, hold and sell shares or interests in other companies in Switzerland or abroad. It may establish and maintain branches and subsidiaries in Switzerland and abroad.</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alle kommerziellen, finanziellen und anderen Tätigkeiten ausüben, welche mit dem Zweck der Gesellschaft direkt oder indirekt im Zusammenhang stehen. Die Gesellschaft kann Beteiligungen an anderen Unternehmen im In- und Ausland erwerben, halten und veräussern. Sie kann Zweigniederlassungen und Tochtergesellschaften im In- und Ausland errichten.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Company may purchase, hold and sell real estate and carry out other investments.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ind w:left="0" w:right="0" w:firstLine="790"/>
              <w:jc w:val="left"/>
              <w:rPr>
                <w:rFonts w:ascii="Calibri Light;sans-serif" w:hAnsi="Calibri Light;sans-serif"/>
                <w:color w:val="000000"/>
                <w:sz w:val="20"/>
              </w:rPr>
            </w:pPr>
            <w:r>
              <w:rPr>
                <w:rFonts w:ascii="Calibri Light;sans-serif" w:hAnsi="Calibri Light;sans-serif"/>
                <w:color w:val="000000"/>
                <w:sz w:val="20"/>
              </w:rPr>
              <w:t>Die Gesellschaft kann Grundstücke erwerben, verwalten und veräussern sowie Vermögensanlagen anderer Art tätige.</w:t>
            </w:r>
          </w:p>
        </w:tc>
      </w:tr>
      <w:tr>
        <w:trPr/>
        <w:tc>
          <w:tcPr>
            <w:tcW w:w="3831"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II. SHARE CAPITAL, SHARES AND SHARE REGISTER</w:t>
            </w:r>
          </w:p>
        </w:tc>
        <w:tc>
          <w:tcPr>
            <w:tcW w:w="1606"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768" w:type="dxa"/>
            <w:tcBorders/>
            <w:tcMar>
              <w:top w:w="0" w:type="dxa"/>
              <w:left w:w="0" w:type="dxa"/>
              <w:bottom w:w="0" w:type="dxa"/>
              <w:right w:w="0" w:type="dxa"/>
            </w:tcMar>
            <w:vAlign w:val="center"/>
          </w:tcPr>
          <w:p>
            <w:pPr>
              <w:pStyle w:val="Heading1"/>
              <w:pBdr/>
              <w:bidi w:val="0"/>
              <w:spacing w:before="360" w:after="360"/>
              <w:ind w:left="0" w:right="0" w:firstLine="1355"/>
              <w:jc w:val="left"/>
              <w:rPr>
                <w:rFonts w:ascii="Calibri Light;sans-serif" w:hAnsi="Calibri Light;sans-serif"/>
                <w:caps/>
                <w:color w:val="000000"/>
                <w:sz w:val="20"/>
              </w:rPr>
            </w:pPr>
            <w:r>
              <w:rPr>
                <w:rFonts w:ascii="Calibri Light;sans-serif" w:hAnsi="Calibri Light;sans-serif"/>
                <w:caps/>
                <w:color w:val="000000"/>
                <w:sz w:val="20"/>
              </w:rPr>
              <w:t>II. AKTIENKAPITAL, AKTIEN UND AKTIENBUCH</w:t>
            </w:r>
          </w:p>
        </w:tc>
      </w:tr>
      <w:tr>
        <w:trPr/>
        <w:tc>
          <w:tcPr>
            <w:tcW w:w="3831"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3 Share Capital and Shares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of the Company is CHF 677'921.76 and is fully paid-in. It is divided into 67'792'176 registered shares with a nominal value of CHF 0.01 each.</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768"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3 Aktienkapital und Aktien</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der Gesellschaft beträgt CHF 677'921.76 und ist voll liberiert. Es ist in 67'792'176 Namenaktien mit einem Nennwert von je CHF 0.01 eingeteilt.</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3a Capital Band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Company has a capital band between CHF 620'417.76 (lower limit) and CHF 930'626.64 (upper limit).</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3a Kapitalband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Gesellschaft hat ein Kapitalband zwischen CHF 620'417.76 (untere Grenze) und CHF 930'626.64 (obere Grenze).</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is authorized to increase the share capital up to the upper limit at any time and as often as required until 13 May 2031.</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ist ermächtigt, bis zum 13. Mai 2031 das Aktienkapital jederzeit und beliebig oft bis zur oberen Grenze zu erhöhen.</w:t>
            </w:r>
          </w:p>
        </w:tc>
      </w:tr>
      <w:tr>
        <w:trPr/>
        <w:tc>
          <w:tcPr>
            <w:tcW w:w="383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increase must be effected by issuing a maximum of 31'020'888 registered shares with a par value of CHF 0.01, to be fully paid up. After a change in par value, the new par value shall also apply within the scope of the capital band. A capital reduction is excluded.</w:t>
            </w:r>
          </w:p>
        </w:tc>
        <w:tc>
          <w:tcPr>
            <w:tcW w:w="1606" w:type="dxa"/>
            <w:tcBorders/>
            <w:tcMar>
              <w:top w:w="0" w:type="dxa"/>
              <w:left w:w="0" w:type="dxa"/>
              <w:bottom w:w="0" w:type="dxa"/>
              <w:right w:w="0" w:type="dxa"/>
            </w:tcMar>
            <w:vAlign w:val="center"/>
          </w:tcPr>
          <w:p>
            <w:pPr>
              <w:pStyle w:val="Heading1"/>
              <w:bidi w:val="0"/>
              <w:spacing w:before="120" w:after="283"/>
              <w:jc w:val="left"/>
              <w:rPr/>
            </w:pPr>
            <w:r>
              <w:rPr/>
              <w:t> </w:t>
            </w:r>
          </w:p>
        </w:tc>
        <w:tc>
          <w:tcPr>
            <w:tcW w:w="476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Erhöhung hat durch Ausgabe von maximal 31'020'888 vollständig zu liberierenden Namenaktien im Nennwert von CHF 0.01 zu erfolgen. Nach einer Nennwertveränderung gilt der neue Nennwert auch im Rahmen des Kapitalbandes. Eine Kapitalherabsetzung wird ausgeschlossen.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w:t>
      </w:r>
    </w:p>
    <w:tbl>
      <w:tblPr>
        <w:tblW w:w="10205" w:type="dxa"/>
        <w:jc w:val="left"/>
        <w:tblInd w:w="0" w:type="dxa"/>
        <w:tblLayout w:type="fixed"/>
        <w:tblCellMar>
          <w:top w:w="28" w:type="dxa"/>
          <w:left w:w="28" w:type="dxa"/>
          <w:bottom w:w="28" w:type="dxa"/>
          <w:right w:w="28" w:type="dxa"/>
        </w:tblCellMar>
      </w:tblPr>
      <w:tblGrid>
        <w:gridCol w:w="4773"/>
        <w:gridCol w:w="251"/>
        <w:gridCol w:w="5181"/>
      </w:tblGrid>
      <w:tr>
        <w:trPr/>
        <w:tc>
          <w:tcPr>
            <w:tcW w:w="47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81" w:type="dxa"/>
            <w:tcBorders/>
            <w:vAlign w:val="center"/>
          </w:tcPr>
          <w:p>
            <w:pPr>
              <w:pStyle w:val="TableContents"/>
              <w:bidi w:val="0"/>
              <w:spacing w:before="0" w:after="283"/>
              <w:jc w:val="left"/>
              <w:rPr>
                <w:sz w:val="4"/>
                <w:szCs w:val="4"/>
              </w:rPr>
            </w:pPr>
            <w:r>
              <w:rPr>
                <w:sz w:val="4"/>
                <w:szCs w:val="4"/>
              </w:rPr>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share capital increases as a result of an increase from conditional capital pursuant to Article 3b, 3c, 43d or 3e of these articles of association, the upper and lower limits of the capital range shall increase in an amount corresponding to such increase in the share capital.</w:t>
            </w:r>
          </w:p>
        </w:tc>
        <w:tc>
          <w:tcPr>
            <w:tcW w:w="251" w:type="dxa"/>
            <w:tcBorders/>
            <w:tcMar>
              <w:top w:w="0" w:type="dxa"/>
              <w:left w:w="0" w:type="dxa"/>
              <w:bottom w:w="0" w:type="dxa"/>
              <w:right w:w="0" w:type="dxa"/>
            </w:tcMar>
            <w:vAlign w:val="center"/>
          </w:tcPr>
          <w:p>
            <w:pPr>
              <w:pStyle w:val="Heading1"/>
              <w:bidi w:val="0"/>
              <w:spacing w:before="120" w:after="283"/>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Erhöht sich das Aktienkapital aufgrund einer Erhöhung aus bedingtem Kapital gemäss Art 3b, 3c, 3d oder 3e der Statuten, so erhöhen sich die obere und die untere Grenze des Kapitalbands entsprechend dem Umfang der Erhöhung des Aktienkapitals.</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An increase of the share capital (i) by subscription of shares based on an offer signed by a financial institution, an association, another third party or third parties, followed by an offer to the then existing shareholders of the Company, (ii) by subscription of shares at par value out of the Company's equity with a view towards the (private) placement or sale of these shares as part of a fast and flexible fundraising process as well as (iii) in partial amounts is permitted.</w:t>
            </w:r>
          </w:p>
        </w:tc>
        <w:tc>
          <w:tcPr>
            <w:tcW w:w="251" w:type="dxa"/>
            <w:tcBorders/>
            <w:tcMar>
              <w:top w:w="0" w:type="dxa"/>
              <w:left w:w="0" w:type="dxa"/>
              <w:bottom w:w="0" w:type="dxa"/>
              <w:right w:w="0" w:type="dxa"/>
            </w:tcMar>
            <w:vAlign w:val="center"/>
          </w:tcPr>
          <w:p>
            <w:pPr>
              <w:pStyle w:val="Heading1"/>
              <w:bidi w:val="0"/>
              <w:spacing w:before="120" w:after="283"/>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(ii) durch Zeichnung von Aktien zum Nennwert aus dem Eigenkapital der Gesellschaft mit Hinblick auf die (private) Platzierung oder der Verkauf dieser Aktien im Rahmen eines schnellen und flexiblen Fundraising-Prozesses sowie (iii) in Teilbeträgen ist zulässig.</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 Verwaltungsrat kann bestimmen, dass nicht ausgeübte Bezugsrechte verfallen oder er kann Drittparteien solche Rechte oder Aktien, für welche die Bezugsrechte nicht ausgeübt wurden, zu Marktbedingungen zuteilen oder sie sonst im Interesse der Gesellschaft verwenden.</w:t>
            </w:r>
            <w:r>
              <w:rPr>
                <w:rFonts w:ascii="Times New Roman" w:hAnsi="Times New Roman"/>
                <w:color w:val="000000"/>
                <w:sz w:val="20"/>
              </w:rPr>
              <w:t xml:space="preserve"> </w:t>
            </w:r>
          </w:p>
        </w:tc>
      </w:tr>
      <w:tr>
        <w:trPr/>
        <w:tc>
          <w:tcPr>
            <w:tcW w:w="47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is authorized to withdraw or limit the preemptive rights of the shareholders and to allot them to third parties: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if the issue price of the new registered shares is determined by reference to the market price; or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for the acquisition of an enterprise,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1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 xml:space="preserve">Der Verwaltungsrat ist ermächtigt, das Bezugsrecht der Aktionäre auszuschliessen oder Dritten zuzuteilen: </w:t>
              <w:br/>
            </w:r>
            <w:r>
              <w:rPr>
                <w:rFonts w:ascii="Times New Roman" w:hAnsi="Times New Roman"/>
                <w:color w:val="000000"/>
                <w:sz w:val="2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falls der Ausgabepreis der neuen Aktien anhand des Marktwertes festgelegt wird; oder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für die Übernahme eines Unternehmens, den Teil eines Unternehmens oder Beteiligungen oder für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w:t>
      </w:r>
    </w:p>
    <w:tbl>
      <w:tblPr>
        <w:tblW w:w="10205" w:type="dxa"/>
        <w:jc w:val="left"/>
        <w:tblInd w:w="0" w:type="dxa"/>
        <w:tblLayout w:type="fixed"/>
        <w:tblCellMar>
          <w:top w:w="28" w:type="dxa"/>
          <w:left w:w="28" w:type="dxa"/>
          <w:bottom w:w="28" w:type="dxa"/>
          <w:right w:w="28" w:type="dxa"/>
        </w:tblCellMar>
      </w:tblPr>
      <w:tblGrid>
        <w:gridCol w:w="3750"/>
        <w:gridCol w:w="578"/>
        <w:gridCol w:w="5877"/>
      </w:tblGrid>
      <w:tr>
        <w:trPr/>
        <w:tc>
          <w:tcPr>
            <w:tcW w:w="37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77"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750" w:type="dxa"/>
            <w:tcBorders/>
            <w:tcMar>
              <w:top w:w="0" w:type="dxa"/>
              <w:left w:w="0" w:type="dxa"/>
              <w:bottom w:w="0" w:type="dxa"/>
              <w:right w:w="0" w:type="dxa"/>
            </w:tcMar>
            <w:vAlign w:val="center"/>
          </w:tcPr>
          <w:p>
            <w:pPr>
              <w:pStyle w:val="TableContents"/>
              <w:bidi w:val="0"/>
              <w:spacing w:before="0" w:after="0"/>
              <w:jc w:val="both"/>
              <w:rPr/>
            </w:pPr>
            <w:r>
              <w:rPr>
                <w:rFonts w:ascii="Calibri Light;sans-serif" w:hAnsi="Calibri Light;sans-serif"/>
                <w:color w:val="000000"/>
                <w:sz w:val="20"/>
              </w:rPr>
              <w:t xml:space="preserve">part of an enterprise or participations, or for the financing or refinancing of any of such acquisition, or in the event of share placement for the financing or refinancing of such placement;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 xml:space="preserve">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for purposes of granting an over-allotment option (</w:t>
            </w:r>
            <w:r>
              <w:rPr>
                <w:rFonts w:ascii="Calibri Light;sans-serif" w:hAnsi="Calibri Light;sans-serif"/>
                <w:i/>
                <w:color w:val="000000"/>
                <w:sz w:val="20"/>
              </w:rPr>
              <w:t>Greenshoe</w:t>
            </w:r>
            <w:r>
              <w:rPr>
                <w:rFonts w:ascii="Calibri Light;sans-serif" w:hAnsi="Calibri Light;sans-serif"/>
                <w:color w:val="000000"/>
                <w:sz w:val="20"/>
              </w:rPr>
              <w:t xml:space="preserve">) or an option to subscribe additional shares to the respective initial purchaser(s) or underwriter(s) in a placement or sale of registered shares; or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pPr>
            <w:r>
              <w:rPr>
                <w:rFonts w:ascii="Calibri Light;sans-serif" w:hAnsi="Calibri Light;sans-serif"/>
                <w:color w:val="000000"/>
                <w:sz w:val="20"/>
              </w:rPr>
              <w:t xml:space="preserve">for raising of capital (including private placements) in a fast and flexible way, which probably could not be reached without the exclusion of the statutory pre-emptive right of the existing shareholders;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for other valid grounds in the sense of article 652b para. 2 CO; or</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t>
            </w:r>
          </w:p>
        </w:tc>
        <w:tc>
          <w:tcPr>
            <w:tcW w:w="578"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5877"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die Finanzierung oder Refinanzierung solcher Erwerbe, oder im Falle einer Aktienplatzierung für die Finanzierung oder Refinanzierung solcher Platzierungen;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zum Zweck der Erweiterung der Aktionärskreises der Gesellschaft in bestimmten finanziellen oder Investorenmärkten, für die Zwecke der Beteiligung von strategischen Partnern, oder im Zusammenhang mit der Auflistung oder Meldung neuer Namenaktien an inländischen oder ausländischen Börsen;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zum Zweck der Gewährung einer Mehrzuteilungsoption (</w:t>
            </w:r>
            <w:r>
              <w:rPr>
                <w:rFonts w:ascii="Calibri Light;sans-serif" w:hAnsi="Calibri Light;sans-serif"/>
                <w:i/>
                <w:color w:val="000000"/>
                <w:sz w:val="20"/>
              </w:rPr>
              <w:t>Greenshoe</w:t>
            </w:r>
            <w:r>
              <w:rPr>
                <w:rFonts w:ascii="Calibri Light;sans-serif" w:hAnsi="Calibri Light;sans-serif"/>
                <w:color w:val="000000"/>
                <w:sz w:val="20"/>
              </w:rPr>
              <w:t>) oder eine Option zur Zeichnung von zusätzlichen Aktien an die betreffenden Erstkäufer oder Festübernehmer im Rahmen einer Aktienplatzierung oder eines Aktienverkaufs; oder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um Kapital (inklusive durch private Vermittlung) in schneller und flexibler Weise zu beschaffen, welches wahrscheinlich ohne den Ausschluss der gesetzlichen Vorkaufsrechte der existierenden Aktionäre nicht erhoben werden könnte; oder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aus anderen, gemäss Artikel 652 Abs. 2 OR zulässigen Gründen; oder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 Verwaltungsrat, nach Konsultation eines unabhängigen Finanzberaters, keine Zustimmungsempfehlung abgegeben hat, da das Übernahmeangebot vom Verwaltungsrat den Aktionären gegenüber als finanziell zu wenig angemessen betrachtet wird.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5</w:t>
      </w:r>
    </w:p>
    <w:tbl>
      <w:tblPr>
        <w:tblW w:w="10205" w:type="dxa"/>
        <w:jc w:val="left"/>
        <w:tblInd w:w="0" w:type="dxa"/>
        <w:tblLayout w:type="fixed"/>
        <w:tblCellMar>
          <w:top w:w="28" w:type="dxa"/>
          <w:left w:w="28" w:type="dxa"/>
          <w:bottom w:w="28" w:type="dxa"/>
          <w:right w:w="28" w:type="dxa"/>
        </w:tblCellMar>
      </w:tblPr>
      <w:tblGrid>
        <w:gridCol w:w="3692"/>
        <w:gridCol w:w="1606"/>
        <w:gridCol w:w="4907"/>
      </w:tblGrid>
      <w:tr>
        <w:trPr/>
        <w:tc>
          <w:tcPr>
            <w:tcW w:w="369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07"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692"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with an independent financial adviser retained by it, has not recommended to the shareholders acceptance on the basis that the Board of Directors has not found the takeover bid to be financially fair to the shareholders.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and any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07"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sowie jeder Transfer von Namenaktien unterliegen den Einschränkungen in Artikel 4 dieser Statuten.</w:t>
            </w:r>
          </w:p>
        </w:tc>
      </w:tr>
      <w:tr>
        <w:trPr/>
        <w:tc>
          <w:tcPr>
            <w:tcW w:w="3692"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Times New Roman" w:hAnsi="Times New Roman"/>
                <w:sz w:val="20"/>
              </w:rPr>
            </w:pPr>
            <w:r>
              <w:rPr>
                <w:rFonts w:ascii="Calibri Light;sans-serif" w:hAnsi="Calibri Light;sans-serif"/>
                <w:b/>
                <w:color w:val="000000"/>
                <w:sz w:val="20"/>
              </w:rPr>
              <w:t xml:space="preserve">Article 3b Conditional Share Capital for Bonds and Similar Debt Instruments </w:t>
              <w:br/>
            </w:r>
            <w:r>
              <w:rPr>
                <w:rFonts w:ascii="Times New Roman" w:hAnsi="Times New Roman"/>
                <w:color w:val="000000"/>
                <w:sz w:val="20"/>
              </w:rPr>
              <w:t> </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of the Company may be increased by the maximum amount of CHF 67'500.00 by issuing up to 6'750'000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 The exercise of the conversion and/or option 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07"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3b Bedingtes Aktienkapital für Anleihensobligationen oder ähnliche Instrumente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der Gesellschaft wird im Maximalbetrag von CHF 67'500.00 erhöht durch Ausgabe von höchstens 6'750'000 vollständig zu liberierenden Namenaktien mit einem Nennwert von je CHF 0.01 durch Ausübung von Wandlungs- und/oder Optionsrechten, welche im Zusammenhang mit van der Gesellschaft oder ihren Tochtergesellschaften übernommenen oder emittierten Anleihensobligationen oder ähnlichen Instrumenten eingeräumt wurden oder werden, einschliesslich Wandelanleihen. Die Form der Ausübung der Wandlungs- und/oder Optionsrechte und des Verzichts auf dieses Recht erfolgt auf schriftlichem Weg auf Papier oder in elektronischer Form.</w:t>
            </w:r>
          </w:p>
        </w:tc>
      </w:tr>
      <w:tr>
        <w:trPr/>
        <w:tc>
          <w:tcPr>
            <w:tcW w:w="369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TableContents"/>
              <w:bidi w:val="0"/>
              <w:spacing w:before="120" w:after="120"/>
              <w:jc w:val="left"/>
              <w:rPr/>
            </w:pPr>
            <w:r>
              <w:rPr/>
              <w:t> </w:t>
            </w:r>
          </w:p>
        </w:tc>
        <w:tc>
          <w:tcPr>
            <w:tcW w:w="490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 (1) die Instrumente zu Marktkonditionen platziert werden, (2)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6</w:t>
      </w:r>
    </w:p>
    <w:tbl>
      <w:tblPr>
        <w:tblW w:w="10205" w:type="dxa"/>
        <w:jc w:val="left"/>
        <w:tblInd w:w="0" w:type="dxa"/>
        <w:tblLayout w:type="fixed"/>
        <w:tblCellMar>
          <w:top w:w="28" w:type="dxa"/>
          <w:left w:w="28" w:type="dxa"/>
          <w:bottom w:w="28" w:type="dxa"/>
          <w:right w:w="28" w:type="dxa"/>
        </w:tblCellMar>
      </w:tblPr>
      <w:tblGrid>
        <w:gridCol w:w="3426"/>
        <w:gridCol w:w="1606"/>
        <w:gridCol w:w="5173"/>
      </w:tblGrid>
      <w:tr>
        <w:trPr/>
        <w:tc>
          <w:tcPr>
            <w:tcW w:w="342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173" w:type="dxa"/>
            <w:tcBorders/>
            <w:vAlign w:val="center"/>
          </w:tcPr>
          <w:p>
            <w:pPr>
              <w:pStyle w:val="TableContents"/>
              <w:bidi w:val="0"/>
              <w:spacing w:before="0" w:after="283"/>
              <w:jc w:val="left"/>
              <w:rPr>
                <w:sz w:val="4"/>
                <w:szCs w:val="4"/>
              </w:rPr>
            </w:pPr>
            <w:r>
              <w:rPr>
                <w:sz w:val="4"/>
                <w:szCs w:val="4"/>
              </w:rPr>
            </w:r>
          </w:p>
        </w:tc>
      </w:tr>
      <w:tr>
        <w:trPr/>
        <w:tc>
          <w:tcPr>
            <w:tcW w:w="3426"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market conditions, (2) 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 In addition, advance subscription rights can also be excluded if the instruments to be issued are granted or issued within the context of a larger transaction concluded at market conditions, in which case the conversion or exercise price for the new shares can be set by accounting for the general economic terms of the transaction, which may provide for the payment of the conversion or exercise price at nominal value, through a cashless settlement mechanism and/or through adjusted rights under the instruments themselves.</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Ausübungszeitraum darf zehn Jahre seit dem Ausgabedatum der Optionsrechte und 20 Jahre seit dem Ausgabedatum der Wandlungsrechte nicht überschreiten und (3) der Wandlungs- oder Ausübungspreis für die neuen Aktien muss mindestens gemäss den Marktbedingungen am Ausgabedatum der Instrumente festgelegt werden. Darüber hinaus kann das Vorwegzeichnungsrecht auch ausgeschlossen werden, wenn die auszugebenden Instrumente im Rahmen einer umfangreicheren, zu Marktbedingungen abgeschlossenen Transaktion gewährt oder ausgegeben werden; in diesem Fall kann der Wandlungs- oder Ausübungspreis für die neuen Aktien unter Berücksichtigung der allgemeinen wirtschaftlichen Bedingungen der Transaktion festgelegt werden, die die Zahlung des Wandlungs- oder Ausübungspreises zum Nennwert, durch einen bargeldlosen Abwicklungsmechanismus und/oder durch angepasste Rechte aus den Instrumenten selbst vorsehen können.</w:t>
            </w:r>
          </w:p>
        </w:tc>
      </w:tr>
      <w:tr>
        <w:trPr/>
        <w:tc>
          <w:tcPr>
            <w:tcW w:w="342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through the exercise of conversion rights or warrants and any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173"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durch Ausübung von Wandelrechten oder Warrants sowie sämtliche weiteren Übertragungen von Namenaktien unterliegen den Übertragungsbeschränkungen gemäss Artikel 4 der Statuten.</w:t>
            </w:r>
          </w:p>
        </w:tc>
      </w:tr>
      <w:tr>
        <w:trPr/>
        <w:tc>
          <w:tcPr>
            <w:tcW w:w="3426"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3c Conditional Share Capital for Employee Benefit Plans</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The share capital of the Company shall be increased by an amount not exceeding CHF 126’777.00 through the issue of a maximum of 12’677’700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 The exercise of the option</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173"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3c Bedingtes Aktienkapital für Mitarbeiterbeteiligungspläne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12‘677‘700 voll zu liberierenden Namenaktien im Nennwert von je CHF 0.01 um höchstens CHF 126‘777.00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 Die Form der Ausübung der Optionsrechte und des Verzichts auf dieses Recht erfolgt auf schriftlichem Weg auf Papier oder in elektronischer Form.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7</w:t>
      </w:r>
    </w:p>
    <w:tbl>
      <w:tblPr>
        <w:tblW w:w="10205" w:type="dxa"/>
        <w:jc w:val="left"/>
        <w:tblInd w:w="0" w:type="dxa"/>
        <w:tblLayout w:type="fixed"/>
        <w:tblCellMar>
          <w:top w:w="28" w:type="dxa"/>
          <w:left w:w="28" w:type="dxa"/>
          <w:bottom w:w="28" w:type="dxa"/>
          <w:right w:w="28" w:type="dxa"/>
        </w:tblCellMar>
      </w:tblPr>
      <w:tblGrid>
        <w:gridCol w:w="3396"/>
        <w:gridCol w:w="1606"/>
        <w:gridCol w:w="5203"/>
      </w:tblGrid>
      <w:tr>
        <w:trPr/>
        <w:tc>
          <w:tcPr>
            <w:tcW w:w="33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203" w:type="dxa"/>
            <w:tcBorders/>
            <w:vAlign w:val="center"/>
          </w:tcPr>
          <w:p>
            <w:pPr>
              <w:pStyle w:val="TableContents"/>
              <w:bidi w:val="0"/>
              <w:spacing w:before="0" w:after="283"/>
              <w:jc w:val="left"/>
              <w:rPr>
                <w:sz w:val="4"/>
                <w:szCs w:val="4"/>
              </w:rPr>
            </w:pPr>
            <w:r>
              <w:rPr>
                <w:sz w:val="4"/>
                <w:szCs w:val="4"/>
              </w:rPr>
            </w:r>
          </w:p>
        </w:tc>
      </w:tr>
      <w:tr>
        <w:trPr/>
        <w:tc>
          <w:tcPr>
            <w:tcW w:w="3396"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0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 fest.</w:t>
            </w:r>
          </w:p>
        </w:tc>
      </w:tr>
      <w:tr>
        <w:trPr/>
        <w:tc>
          <w:tcPr>
            <w:tcW w:w="339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in connection with employee participation and any further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03"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im Zusammenhang der Mitarbeiterbeteiligung sowie sämtliche weiteren Übertragungen von Namenaktien unterliegen den Übertragungsbeschränkungen gemäss Artikel 4 der Statuten.</w:t>
            </w:r>
          </w:p>
        </w:tc>
      </w:tr>
      <w:tr>
        <w:trPr/>
        <w:tc>
          <w:tcPr>
            <w:tcW w:w="3396"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3d Conditional Share Capital for EBAC-Warrants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share capital shall be increased by an amount not exceeding CHF 18'978.17 through the issue of a maximum of 1'897'817 registered shares, payable in full, each with a nominal value of CHF 0.01. The increase of the share capital shall occur in connection with the share capital increase of 1 March 2023 through the exercise of conversion and/or option rights, which were assumed from, and allocated by, European Biotech Acquisition Corp. with registered seat in George Town, Cayman Islands and business address at EPFL Innovation Park Building D, 1015 Lausanne, Switzerland (EBAC), at an exercise price of USD 11.50 on the basis of a Warrant Assumption Agreement between the Company and Continental Stock Transfer &amp; Trust Company, with registered seat in New York (USA) as Warrant Agent. The exercise of conversion and/or option rights and the waiver of such right shall be made in writing on paper or in electronic form.</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203"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3d Bedingtes Aktienkapital für EBAC-Warrants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1'897'817 voll zu liberierenden Namenaktien im Nennwert von je CHF 0.01 um höchstens CHF 18'978.17 erhöht werden. Die Erhöhung des Aktienkapitals erfolgt im Zusammenhang mit der Kapitalerhöhung vom 1. März 2023 durch die Ausübung von Wandlungs- und/oder Optionsrechten, welche von European Biotech Acquisition Corp. mit Sitz in George Town, Cayman Islands und Geschäftsadresse an der EPFL Innovation Park Building D, 1015 Lausanne, Schweiz (EBAC), mit einem Ausübungspreis von USD 11.50 auf der Grundlage eines Warrant Assumption Agreements zwischen der Gesellschaft und Continental Stock Transfer &amp; Trust Company, mit Sitz in New York (USA) als Warrant Agent, übernommenen und eingeräumt wurden. Die Form der Ausübung der Wandlungs- und/oder Optionsrechte und des Verzichts auf dieses Recht erfolgt auf schriftlichem Weg auf Papier oder in elektronischer Form.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8</w:t>
      </w:r>
    </w:p>
    <w:tbl>
      <w:tblPr>
        <w:tblW w:w="10205" w:type="dxa"/>
        <w:jc w:val="left"/>
        <w:tblInd w:w="0" w:type="dxa"/>
        <w:tblLayout w:type="fixed"/>
        <w:tblCellMar>
          <w:top w:w="28" w:type="dxa"/>
          <w:left w:w="28" w:type="dxa"/>
          <w:bottom w:w="28" w:type="dxa"/>
          <w:right w:w="28" w:type="dxa"/>
        </w:tblCellMar>
      </w:tblPr>
      <w:tblGrid>
        <w:gridCol w:w="3358"/>
        <w:gridCol w:w="1606"/>
        <w:gridCol w:w="5241"/>
      </w:tblGrid>
      <w:tr>
        <w:trPr/>
        <w:tc>
          <w:tcPr>
            <w:tcW w:w="335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241" w:type="dxa"/>
            <w:tcBorders/>
            <w:vAlign w:val="center"/>
          </w:tcPr>
          <w:p>
            <w:pPr>
              <w:pStyle w:val="TableContents"/>
              <w:bidi w:val="0"/>
              <w:spacing w:before="0" w:after="283"/>
              <w:jc w:val="left"/>
              <w:rPr>
                <w:sz w:val="4"/>
                <w:szCs w:val="4"/>
              </w:rPr>
            </w:pPr>
            <w:r>
              <w:rPr>
                <w:sz w:val="4"/>
                <w:szCs w:val="4"/>
              </w:rPr>
            </w:r>
          </w:p>
        </w:tc>
      </w:tr>
      <w:tr>
        <w:trPr/>
        <w:tc>
          <w:tcPr>
            <w:tcW w:w="3358"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Only the bearers of such conversion and/or option rights</w:t>
            </w:r>
            <w:r>
              <w:rPr>
                <w:rFonts w:ascii="Times New Roman" w:hAnsi="Times New Roman"/>
                <w:color w:val="000000"/>
                <w:sz w:val="20"/>
              </w:rPr>
              <w:t> </w:t>
            </w:r>
            <w:r>
              <w:rPr>
                <w:rFonts w:ascii="Calibri Light;sans-serif" w:hAnsi="Calibri Light;sans-serif"/>
                <w:color w:val="000000"/>
                <w:sz w:val="20"/>
              </w:rPr>
              <w:t>shall be entitled to obtain such new registered shares. The terms and conditions of the exercise and/or conversion rights, such as the exercise and/or conversion price and period, the time of entitlement to dividends and the type of contributions shall be defined by the Board of Directors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Zum Bezug der neuen Namenaktien sind die Inhaber von Wandlungs- und/oder Optionsrechten berechtigt. Die Bezugsbedingungen, wie Ausübungs- und/oder Konvertierungspreis und -frist, Zeitpunkt der Dividendenberechtigung und Art der Einlagen, werden durch den Verwaltungsrat festgelegt.</w:t>
            </w:r>
          </w:p>
        </w:tc>
      </w:tr>
      <w:tr>
        <w:trPr/>
        <w:tc>
          <w:tcPr>
            <w:tcW w:w="335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 Ecublens (VD), Switzerland, and assumed by the Company.</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Das Vorwegzeichnungsrecht der Aktionäre in Bezug auf diese Warrants ist ausgeschlossen, um die im Business Combination Agreement vom 17. Oktober 2022 zwischen EBAC und Oculis SA mit Sitz in Ecublens (VD), Schweiz, eingegangenen und von der Gesellschaft übernommenen Verpflichtungen zu erfüllen.</w:t>
            </w:r>
          </w:p>
        </w:tc>
      </w:tr>
      <w:tr>
        <w:trPr/>
        <w:tc>
          <w:tcPr>
            <w:tcW w:w="335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through the exercise of conversion and/or option rights and the further transfer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41"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durch die Ausübung von Wandlungs- und/oder Optionsrechten sowie sämtliche weiteren Übertragungen von Namenaktien unterliegen den Übertragungsbeschränkungen gemäss Artikel 4 der Statuten.</w:t>
            </w:r>
          </w:p>
        </w:tc>
      </w:tr>
      <w:tr>
        <w:trPr/>
        <w:tc>
          <w:tcPr>
            <w:tcW w:w="3358"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3e Conditional Share Capital for Earn-Out Options</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The share capital of the Company shall be increased by an amount not exceeding CHF 3'701.03 through the issue of a maximum of 370'103 registered shares, payable in full, each with a nominal value of CHF 0.01, in connection with the exercise of option rights granted in connection with the Business Combination Agreement dated 17. October 2022 between European Biotech Acquisition Corp. with registered seat in George Town, Cayman Islands and business address at EPFL Innovation Park Building D, 1015 Lausanne, Switzerland (EBAC) and</w:t>
            </w:r>
            <w:r>
              <w:rPr>
                <w:rFonts w:ascii="Times New Roman" w:hAnsi="Times New Roman"/>
                <w:color w:val="000000"/>
                <w:sz w:val="20"/>
              </w:rPr>
              <w:t xml:space="preserve">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241"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3e Bedingtes Aktienkapital für Earn-Out Optionen</w:t>
            </w:r>
          </w:p>
          <w:p>
            <w:pPr>
              <w:pStyle w:val="TableContents"/>
              <w:bidi w:val="0"/>
              <w:spacing w:before="0" w:after="283"/>
              <w:ind w:left="0" w:right="0" w:firstLine="1355"/>
              <w:jc w:val="left"/>
              <w:rPr>
                <w:rFonts w:ascii="Times New Roman" w:hAnsi="Times New Roman"/>
                <w:sz w:val="20"/>
              </w:rPr>
            </w:pPr>
            <w:r>
              <w:rPr>
                <w:rFonts w:ascii="Calibri Light;sans-serif" w:hAnsi="Calibri Light;sans-serif"/>
                <w:color w:val="000000"/>
                <w:sz w:val="20"/>
              </w:rPr>
              <w:t>Das Aktienkapital kann durch die Ausgabe von höchstens 370'103 voll zu liberierenden Namenaktien im Nennwert von je CHF 0.01 um höchstens CHF 3'701.03 durch Ausübung von Optionsrechten erhöht werden, welche Mitarbeitenden der Gesellschaft oder ihrer Tochtergesellschaften, Personen in vergleichbaren Positionen, Beratern, Verwaltungsratsmitgliedern oder anderen Personen, welche Dienstleistungen zu Gunsten der Gesellschaft erbringen, und im Zusammenhang mit dem Business Combination Agreement vom 17. Oktober 2022 zwischen European Biotech Acquisition Corp. mit Sitz in George Town, Cayman Islands und Geschäftsadresse an der EPFL Innovation Park Building D, 1015 Lausanne,</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9</w:t>
      </w:r>
    </w:p>
    <w:tbl>
      <w:tblPr>
        <w:tblW w:w="10205" w:type="dxa"/>
        <w:jc w:val="left"/>
        <w:tblInd w:w="0" w:type="dxa"/>
        <w:tblLayout w:type="fixed"/>
        <w:tblCellMar>
          <w:top w:w="28" w:type="dxa"/>
          <w:left w:w="28" w:type="dxa"/>
          <w:bottom w:w="28" w:type="dxa"/>
          <w:right w:w="28" w:type="dxa"/>
        </w:tblCellMar>
      </w:tblPr>
      <w:tblGrid>
        <w:gridCol w:w="3600"/>
        <w:gridCol w:w="1606"/>
        <w:gridCol w:w="4999"/>
      </w:tblGrid>
      <w:tr>
        <w:trPr/>
        <w:tc>
          <w:tcPr>
            <w:tcW w:w="3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36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Calibri Light;sans-serif" w:hAnsi="Calibri Light;sans-serif"/>
                <w:color w:val="000000"/>
                <w:sz w:val="20"/>
              </w:rPr>
              <w:t>Oculis SA with registered seat in Ecublens (VD), Switzerland,</w:t>
            </w:r>
            <w:r>
              <w:rPr>
                <w:rFonts w:ascii="Times New Roman" w:hAnsi="Times New Roman"/>
                <w:color w:val="000000"/>
                <w:sz w:val="20"/>
              </w:rPr>
              <w:t> </w:t>
            </w:r>
            <w:r>
              <w:rPr>
                <w:rFonts w:ascii="Calibri Light;sans-serif" w:hAnsi="Calibri Light;sans-serif"/>
                <w:color w:val="000000"/>
                <w:sz w:val="20"/>
              </w:rPr>
              <w:t>to any employee of the Company or a subsidiary, and any consultant, members of the Board of Directors, or other person providing services to the Company or a subsidiary (earn-out options). The exercise of the option rights and the waiver of such right shall be made in writing on paper or in electronic form.</w:t>
            </w:r>
          </w:p>
          <w:p>
            <w:pPr>
              <w:pStyle w:val="TableContents"/>
              <w:bidi w:val="0"/>
              <w:spacing w:before="0" w:after="120"/>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9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Calibri Light;sans-serif" w:hAnsi="Calibri Light;sans-serif"/>
                <w:color w:val="000000"/>
                <w:sz w:val="20"/>
              </w:rPr>
              <w:t>Schweiz (EBAC) und Oculis SA mit Sitz in Ecublens (VD), Schweiz zusätzlich eingeräumt wurden (</w:t>
            </w:r>
            <w:r>
              <w:rPr>
                <w:rFonts w:ascii="Calibri Light;sans-serif" w:hAnsi="Calibri Light;sans-serif"/>
                <w:i/>
                <w:color w:val="000000"/>
                <w:sz w:val="20"/>
              </w:rPr>
              <w:t>earn-out</w:t>
            </w:r>
            <w:r>
              <w:rPr>
                <w:rFonts w:ascii="Times New Roman" w:hAnsi="Times New Roman"/>
                <w:color w:val="000000"/>
                <w:sz w:val="20"/>
              </w:rPr>
              <w:t> </w:t>
            </w:r>
            <w:r>
              <w:rPr>
                <w:rFonts w:ascii="Calibri Light;sans-serif" w:hAnsi="Calibri Light;sans-serif"/>
                <w:color w:val="000000"/>
                <w:sz w:val="20"/>
              </w:rPr>
              <w:t>Optionen).</w:t>
            </w:r>
            <w:r>
              <w:rPr>
                <w:rFonts w:ascii="Times New Roman" w:hAnsi="Times New Roman"/>
                <w:color w:val="000000"/>
                <w:sz w:val="20"/>
              </w:rPr>
              <w:t> </w:t>
            </w:r>
            <w:r>
              <w:rPr>
                <w:rFonts w:ascii="Calibri Light;sans-serif" w:hAnsi="Calibri Light;sans-serif"/>
                <w:color w:val="000000"/>
                <w:sz w:val="20"/>
              </w:rPr>
              <w:t>Die Form der Ausübung der Optionsrechte und des Verzichts auf dieses Recht erfolgt auf schriftlichem Weg auf Papier oder in elektronischer Form.</w:t>
            </w:r>
          </w:p>
        </w:tc>
      </w:tr>
      <w:tr>
        <w:trPr/>
        <w:tc>
          <w:tcPr>
            <w:tcW w:w="360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w:t>
            </w:r>
          </w:p>
        </w:tc>
      </w:tr>
      <w:tr>
        <w:trPr/>
        <w:tc>
          <w:tcPr>
            <w:tcW w:w="360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acquisition of registered shares in connection with employee participation and any further transfers of registered shares shall be subject to the restrictions specified in article 4 of the articles of association.</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4999"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Erwerb von Namenaktien im Zusammenhang der Mitarbeiterbeteiligung sowie sämtliche weiteren Übertragungen von Namenaktien unterliegen den Übertragungsbeschränkungen gemäss Artikel 4 der Statuten.</w:t>
            </w:r>
          </w:p>
        </w:tc>
      </w:tr>
      <w:tr>
        <w:trPr/>
        <w:tc>
          <w:tcPr>
            <w:tcW w:w="3600"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4 Share Register</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999"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4 Aktienbuch</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10</w:t>
      </w:r>
    </w:p>
    <w:tbl>
      <w:tblPr>
        <w:tblW w:w="10205" w:type="dxa"/>
        <w:jc w:val="left"/>
        <w:tblInd w:w="0" w:type="dxa"/>
        <w:tblLayout w:type="fixed"/>
        <w:tblCellMar>
          <w:top w:w="28" w:type="dxa"/>
          <w:left w:w="28" w:type="dxa"/>
          <w:bottom w:w="28" w:type="dxa"/>
          <w:right w:w="28" w:type="dxa"/>
        </w:tblCellMar>
      </w:tblPr>
      <w:tblGrid>
        <w:gridCol w:w="4678"/>
        <w:gridCol w:w="251"/>
        <w:gridCol w:w="5276"/>
      </w:tblGrid>
      <w:tr>
        <w:trPr/>
        <w:tc>
          <w:tcPr>
            <w:tcW w:w="46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76" w:type="dxa"/>
            <w:tcBorders/>
            <w:vAlign w:val="center"/>
          </w:tcPr>
          <w:p>
            <w:pPr>
              <w:pStyle w:val="TableContents"/>
              <w:bidi w:val="0"/>
              <w:spacing w:before="0" w:after="283"/>
              <w:jc w:val="left"/>
              <w:rPr>
                <w:sz w:val="4"/>
                <w:szCs w:val="4"/>
              </w:rPr>
            </w:pPr>
            <w:r>
              <w:rPr>
                <w:sz w:val="4"/>
                <w:szCs w:val="4"/>
              </w:rPr>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Upon request, acquirers of shares will be registered in the share register without limitation as shareholders if they expressly certify that they acquired the shares in their own name and for their own account.</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Erwerber von Aktien werden auf Gesuch hin ohne Begrenzung als Aktionäre mit Stimmrecht im Aktienregister eingetragen, falls sie ausdrücklich erklären, die Aktien im eigenen Namen und auf eigene Rechnung erworben zu haben.</w:t>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Personen, die im Eintragungsgesuch nicht ausdrücklich erklären, die Aktien für eigene Rechnung zu halten (nachstehend: Nominees) werden ohne weiteres bis maximal 3% des jeweils ausstehenden Aktienkapitals mit Stimmrecht im Aktienbuch eingetragen. Über diese Limite hinaus 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tc>
      </w:tr>
      <w:tr>
        <w:trPr/>
        <w:tc>
          <w:tcPr>
            <w:tcW w:w="467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tc>
      </w:tr>
      <w:tr>
        <w:trPr/>
        <w:tc>
          <w:tcPr>
            <w:tcW w:w="4678"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Calibri Light;sans-serif" w:hAnsi="Calibri Light;sans-serif"/>
                <w:color w:val="000000"/>
                <w:sz w:val="20"/>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 (i) dem gewichteten Durchschnittskurs der letzten 60 Handelstage vor der Veröffentlichung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11</w:t>
      </w:r>
    </w:p>
    <w:tbl>
      <w:tblPr>
        <w:tblW w:w="10205" w:type="dxa"/>
        <w:jc w:val="left"/>
        <w:tblInd w:w="0" w:type="dxa"/>
        <w:tblLayout w:type="fixed"/>
        <w:tblCellMar>
          <w:top w:w="28" w:type="dxa"/>
          <w:left w:w="28" w:type="dxa"/>
          <w:bottom w:w="28" w:type="dxa"/>
          <w:right w:w="28" w:type="dxa"/>
        </w:tblCellMar>
      </w:tblPr>
      <w:tblGrid>
        <w:gridCol w:w="4514"/>
        <w:gridCol w:w="251"/>
        <w:gridCol w:w="5440"/>
      </w:tblGrid>
      <w:tr>
        <w:trPr/>
        <w:tc>
          <w:tcPr>
            <w:tcW w:w="45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40" w:type="dxa"/>
            <w:tcBorders/>
            <w:vAlign w:val="center"/>
          </w:tcPr>
          <w:p>
            <w:pPr>
              <w:pStyle w:val="TableContents"/>
              <w:bidi w:val="0"/>
              <w:spacing w:before="0" w:after="283"/>
              <w:jc w:val="left"/>
              <w:rPr>
                <w:sz w:val="4"/>
                <w:szCs w:val="4"/>
              </w:rPr>
            </w:pPr>
            <w:r>
              <w:rPr>
                <w:sz w:val="4"/>
                <w:szCs w:val="4"/>
              </w:rPr>
            </w:r>
          </w:p>
        </w:tc>
      </w:tr>
      <w:tr>
        <w:trPr/>
        <w:tc>
          <w:tcPr>
            <w:tcW w:w="4514"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 benefiting from the exemption regarding a tender offer shall be entered in the share register as shares without voting rights.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Übernahmeofferte oder (ii) dem höchsten bezahlten Preis durch diese Einzelperson oder juristische Person während der 12 Monate vor der Veröffentlichung der Übernahmeofferte entspricht, der relevante Preis 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tc>
      </w:tr>
      <w:tr>
        <w:trPr/>
        <w:tc>
          <w:tcPr>
            <w:tcW w:w="4514"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color w:val="000000"/>
                <w:sz w:val="20"/>
              </w:rPr>
              <w:t xml:space="preserve">For the purposes of this article 4, "Controlled Shares" in reference to any individual or entity means: </w:t>
              <w:br/>
            </w:r>
            <w:r>
              <w:rPr>
                <w:rFonts w:ascii="Times New Roman" w:hAnsi="Times New Roman"/>
                <w:color w:val="000000"/>
                <w:sz w:val="20"/>
              </w:rPr>
              <w:t> </w:t>
            </w:r>
          </w:p>
          <w:p>
            <w:pPr>
              <w:pStyle w:val="TableContents"/>
              <w:pBdr/>
              <w:bidi w:val="0"/>
              <w:spacing w:before="0" w:after="120"/>
              <w:ind w:left="0" w:right="0" w:hanging="425"/>
              <w:jc w:val="left"/>
              <w:rPr>
                <w:rFonts w:ascii="Times New Roman" w:hAnsi="Times New Roman"/>
                <w:sz w:val="24"/>
              </w:rPr>
            </w:pPr>
            <w:r>
              <w:rPr>
                <w:rFonts w:ascii="Calibri Light;sans-serif" w:hAnsi="Calibri Light;sans-serif"/>
                <w:color w:val="000000"/>
                <w:sz w:val="24"/>
              </w:rPr>
              <w:t>(</w:t>
            </w:r>
            <w:r>
              <w:rPr>
                <w:rFonts w:ascii="Calibri Light;sans-serif" w:hAnsi="Calibri Light;sans-serif"/>
                <w:color w:val="000000"/>
                <w:sz w:val="20"/>
              </w:rPr>
              <w:t xml:space="preserve">a) all shares of the Company directly, indirectly or constructively owned by such individual or entity; provided that </w:t>
              <w:br/>
            </w:r>
            <w:r>
              <w:rPr>
                <w:rFonts w:ascii="Times New Roman" w:hAnsi="Times New Roman"/>
                <w:color w:val="000000"/>
                <w:sz w:val="24"/>
              </w:rPr>
              <w:t> </w:t>
            </w:r>
          </w:p>
          <w:p>
            <w:pPr>
              <w:pStyle w:val="TableContents"/>
              <w:pBdr/>
              <w:bidi w:val="0"/>
              <w:spacing w:before="0" w:after="120"/>
              <w:ind w:left="425" w:right="0" w:hanging="425"/>
              <w:jc w:val="left"/>
              <w:rPr>
                <w:rFonts w:ascii="Times New Roman" w:hAnsi="Times New Roman"/>
                <w:sz w:val="24"/>
              </w:rPr>
            </w:pPr>
            <w:r>
              <w:rPr>
                <w:rFonts w:ascii="Calibri Light;sans-serif" w:hAnsi="Calibri Light;sans-serif"/>
                <w:color w:val="000000"/>
                <w:sz w:val="20"/>
              </w:rPr>
              <w:t>(i) shares owned, directly or indirectly, by or for a partnership, or trust or estate will be considered as being owned proportionately by its partners, or beneficiaries; and</w:t>
            </w:r>
            <w:r>
              <w:rPr>
                <w:rFonts w:ascii="Times New Roman" w:hAnsi="Times New Roman"/>
                <w:color w:val="000000"/>
                <w:sz w:val="24"/>
              </w:rPr>
              <w:t xml:space="preserve"> </w:t>
            </w:r>
            <w:r>
              <w:rPr>
                <w:rFonts w:ascii="Calibri Light;sans-serif" w:hAnsi="Calibri Light;sans-serif"/>
                <w:color w:val="000000"/>
                <w:sz w:val="20"/>
              </w:rPr>
              <w:br/>
            </w:r>
            <w:r>
              <w:rPr>
                <w:rFonts w:ascii="Times New Roman" w:hAnsi="Times New Roman"/>
                <w:color w:val="000000"/>
                <w:sz w:val="24"/>
              </w:rPr>
              <w:t> </w:t>
            </w:r>
          </w:p>
          <w:p>
            <w:pPr>
              <w:pStyle w:val="TableContents"/>
              <w:pBdr/>
              <w:bidi w:val="0"/>
              <w:spacing w:before="0" w:after="120"/>
              <w:ind w:left="425" w:right="0" w:hanging="425"/>
              <w:jc w:val="left"/>
              <w:rPr>
                <w:rFonts w:ascii="Calibri Light;sans-serif" w:hAnsi="Calibri Light;sans-serif"/>
                <w:color w:val="000000"/>
                <w:sz w:val="20"/>
              </w:rPr>
            </w:pPr>
            <w:r>
              <w:rPr>
                <w:rFonts w:ascii="Calibri Light;sans-serif" w:hAnsi="Calibri Light;sans-serif"/>
                <w:color w:val="000000"/>
                <w:sz w:val="20"/>
              </w:rPr>
              <w:t>(ii) shares owned, directly or indirectly, by or for a corporation will be considered as being owned proportionately by any shareholder owning 50% or more of the outstanding voting shares of such corporation; and</w:t>
            </w:r>
          </w:p>
          <w:p>
            <w:pPr>
              <w:pStyle w:val="TableContents"/>
              <w:pBdr/>
              <w:bidi w:val="0"/>
              <w:spacing w:before="0" w:after="120"/>
              <w:ind w:left="425" w:right="0" w:hanging="425"/>
              <w:jc w:val="left"/>
              <w:rPr>
                <w:rFonts w:ascii="Calibri Light;sans-serif" w:hAnsi="Calibri Light;sans-serif"/>
                <w:color w:val="000000"/>
                <w:sz w:val="20"/>
              </w:rPr>
            </w:pPr>
            <w:r>
              <w:rPr>
                <w:rFonts w:ascii="Calibri Light;sans-serif" w:hAnsi="Calibri Light;sans-serif"/>
                <w:color w:val="000000"/>
                <w:sz w:val="20"/>
              </w:rPr>
              <w:t>(iii) shares subject to options, warrants or other similar rights shall be deemed to be owned; and</w:t>
            </w:r>
          </w:p>
          <w:p>
            <w:pPr>
              <w:pStyle w:val="TableContents"/>
              <w:pBdr/>
              <w:bidi w:val="0"/>
              <w:spacing w:before="0" w:after="283"/>
              <w:ind w:left="0" w:right="0" w:hanging="425"/>
              <w:jc w:val="left"/>
              <w:rPr>
                <w:rFonts w:ascii="Times New Roman" w:hAnsi="Times New Roman"/>
                <w:sz w:val="24"/>
              </w:rPr>
            </w:pPr>
            <w:r>
              <w:rPr>
                <w:rFonts w:ascii="Calibri Light;sans-serif" w:hAnsi="Calibri Light;sans-serif"/>
                <w:color w:val="000000"/>
                <w:sz w:val="20"/>
              </w:rPr>
              <w:t>(b)</w:t>
            </w:r>
            <w:r>
              <w:rPr>
                <w:rFonts w:ascii="Times New Roman" w:hAnsi="Times New Roman"/>
                <w:color w:val="000000"/>
                <w:sz w:val="24"/>
              </w:rPr>
              <w:t xml:space="preserve"> </w:t>
            </w:r>
            <w:r>
              <w:rPr>
                <w:rFonts w:ascii="Calibri Light;sans-serif" w:hAnsi="Calibri Light;sans-serif"/>
                <w:color w:val="000000"/>
                <w:sz w:val="20"/>
              </w:rPr>
              <w:t>all shares of the Company directly, indirectly or beneficially owned by</w:t>
            </w:r>
            <w:r>
              <w:rPr>
                <w:rFonts w:ascii="Times New Roman" w:hAnsi="Times New Roman"/>
                <w:color w:val="000000"/>
                <w:sz w:val="24"/>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4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color w:val="000000"/>
                <w:sz w:val="20"/>
              </w:rPr>
              <w:t>Im Rahmen dieses Artikel 4 bedeuten "Kontrollierte Aktien" in Bezug auf jegliche Einzelperson oder juristische Person:</w:t>
            </w:r>
            <w:r>
              <w:rPr>
                <w:rFonts w:ascii="Times New Roman" w:hAnsi="Times New Roman"/>
                <w:color w:val="000000"/>
                <w:sz w:val="20"/>
              </w:rPr>
              <w:t xml:space="preserve"> </w:t>
            </w:r>
          </w:p>
          <w:p>
            <w:pPr>
              <w:pStyle w:val="TableContents"/>
              <w:pBdr/>
              <w:bidi w:val="0"/>
              <w:spacing w:before="0" w:after="120"/>
              <w:ind w:left="0" w:right="0" w:hanging="425"/>
              <w:jc w:val="both"/>
              <w:rPr>
                <w:rFonts w:ascii="Times New Roman" w:hAnsi="Times New Roman"/>
                <w:sz w:val="24"/>
              </w:rPr>
            </w:pPr>
            <w:r>
              <w:rPr>
                <w:rFonts w:ascii="Calibri Light;sans-serif" w:hAnsi="Calibri Light;sans-serif"/>
                <w:color w:val="000000"/>
                <w:sz w:val="24"/>
              </w:rPr>
              <w:t>(</w:t>
            </w:r>
            <w:r>
              <w:rPr>
                <w:rFonts w:ascii="Calibri Light;sans-serif" w:hAnsi="Calibri Light;sans-serif"/>
                <w:color w:val="000000"/>
                <w:sz w:val="20"/>
              </w:rPr>
              <w:t>a) alle Aktien der Gesellschaft, die direkt, indirekt oder konstruktiv von einer solchen Einzelperson oder juristischen Person gehalten werden; vorausgesetzt dass</w:t>
            </w:r>
            <w:r>
              <w:rPr>
                <w:rFonts w:ascii="Times New Roman" w:hAnsi="Times New Roman"/>
                <w:color w:val="000000"/>
                <w:sz w:val="24"/>
              </w:rPr>
              <w:t xml:space="preserve"> </w:t>
            </w:r>
          </w:p>
          <w:p>
            <w:pPr>
              <w:pStyle w:val="TableContents"/>
              <w:pBdr/>
              <w:bidi w:val="0"/>
              <w:spacing w:before="0" w:after="120"/>
              <w:ind w:left="425" w:right="0" w:hanging="425"/>
              <w:jc w:val="both"/>
              <w:rPr>
                <w:rFonts w:ascii="Times New Roman" w:hAnsi="Times New Roman"/>
                <w:sz w:val="20"/>
              </w:rPr>
            </w:pPr>
            <w:r>
              <w:rPr>
                <w:rFonts w:ascii="Calibri Light;sans-serif" w:hAnsi="Calibri Light;sans-serif"/>
                <w:color w:val="000000"/>
                <w:sz w:val="20"/>
              </w:rPr>
              <w:t>(i) Aktien, die direkt oder indirekt durch oder für eine Personengesellschaft oder einen Trust oder eine Vermögensmasse gehalten werden, proportional auf die Partner oder Begünstigten aufgeteilt werden; und</w:t>
            </w:r>
            <w:r>
              <w:rPr>
                <w:rFonts w:ascii="Times New Roman" w:hAnsi="Times New Roman"/>
                <w:color w:val="000000"/>
                <w:sz w:val="20"/>
              </w:rPr>
              <w:t xml:space="preserve"> </w:t>
            </w:r>
          </w:p>
          <w:p>
            <w:pPr>
              <w:pStyle w:val="TableContents"/>
              <w:pBdr/>
              <w:bidi w:val="0"/>
              <w:spacing w:before="0" w:after="120"/>
              <w:ind w:left="425" w:right="0" w:hanging="425"/>
              <w:jc w:val="both"/>
              <w:rPr>
                <w:rFonts w:ascii="Calibri Light;sans-serif" w:hAnsi="Calibri Light;sans-serif"/>
                <w:color w:val="000000"/>
                <w:sz w:val="20"/>
              </w:rPr>
            </w:pPr>
            <w:r>
              <w:rPr>
                <w:rFonts w:ascii="Calibri Light;sans-serif" w:hAnsi="Calibri Light;sans-serif"/>
                <w:color w:val="000000"/>
                <w:sz w:val="20"/>
              </w:rPr>
              <w:t>(ii) Aktien, die direkt oder indirekt durch oder für eine Gesellschaft gehalten werden, proportional auf jeden Aktionär, der 50% oder mehr der ausgegebenen Stimmrechtsaktien besitzt, aufgeteilt werden; und</w:t>
            </w:r>
          </w:p>
          <w:p>
            <w:pPr>
              <w:pStyle w:val="TableContents"/>
              <w:pBdr/>
              <w:bidi w:val="0"/>
              <w:spacing w:before="0" w:after="120"/>
              <w:ind w:left="425" w:right="0" w:hanging="425"/>
              <w:jc w:val="both"/>
              <w:rPr>
                <w:rFonts w:ascii="Calibri Light;sans-serif" w:hAnsi="Calibri Light;sans-serif"/>
                <w:color w:val="000000"/>
                <w:sz w:val="20"/>
              </w:rPr>
            </w:pPr>
            <w:r>
              <w:rPr>
                <w:rFonts w:ascii="Calibri Light;sans-serif" w:hAnsi="Calibri Light;sans-serif"/>
                <w:color w:val="000000"/>
                <w:sz w:val="20"/>
              </w:rPr>
              <w:t>(iii) Aktien, die in Abhängigkeit zu Optionen, Bezugsrechten oder anderen ähnlichen Rechten stehen, als Eigentum gelten; und</w:t>
            </w:r>
          </w:p>
          <w:p>
            <w:pPr>
              <w:pStyle w:val="TableContents"/>
              <w:pBdr/>
              <w:bidi w:val="0"/>
              <w:spacing w:before="0" w:after="120"/>
              <w:ind w:left="0" w:right="0" w:hanging="425"/>
              <w:jc w:val="both"/>
              <w:rPr>
                <w:rFonts w:ascii="Times New Roman" w:hAnsi="Times New Roman"/>
                <w:sz w:val="24"/>
              </w:rPr>
            </w:pPr>
            <w:r>
              <w:rPr>
                <w:rFonts w:ascii="Calibri Light;sans-serif" w:hAnsi="Calibri Light;sans-serif"/>
                <w:color w:val="000000"/>
                <w:sz w:val="20"/>
              </w:rPr>
              <w:t>(b)</w:t>
            </w:r>
            <w:r>
              <w:rPr>
                <w:rFonts w:ascii="Times New Roman" w:hAnsi="Times New Roman"/>
                <w:color w:val="000000"/>
                <w:sz w:val="24"/>
              </w:rPr>
              <w:t xml:space="preserve"> </w:t>
            </w:r>
            <w:r>
              <w:rPr>
                <w:rFonts w:ascii="Calibri Light;sans-serif" w:hAnsi="Calibri Light;sans-serif"/>
                <w:color w:val="000000"/>
                <w:sz w:val="20"/>
              </w:rPr>
              <w:t>alle Aktien der Gesellschaft, die direkt, indirekt oder vorteilhaft durch eine solche Einzelperson oder eine juristische Person gehalten werden, vorausgesetzt dass</w:t>
            </w:r>
          </w:p>
          <w:p>
            <w:pPr>
              <w:pStyle w:val="TableContents"/>
              <w:pBdr/>
              <w:bidi w:val="0"/>
              <w:spacing w:before="0" w:after="283"/>
              <w:ind w:left="425" w:right="0" w:hanging="425"/>
              <w:jc w:val="both"/>
              <w:rPr>
                <w:rFonts w:ascii="Times New Roman" w:hAnsi="Times New Roman"/>
                <w:sz w:val="20"/>
              </w:rPr>
            </w:pPr>
            <w:r>
              <w:rPr>
                <w:rFonts w:ascii="Calibri Light;sans-serif" w:hAnsi="Calibri Light;sans-serif"/>
                <w:color w:val="000000"/>
                <w:sz w:val="20"/>
              </w:rPr>
              <w:t>(i) ein begünstigter Eigentümer eines Wertpapiers jede Person umfasst, die direkt oder indirekt, durch jede Art von Vertrag, Vereinbarung, Einvernehmen, Bindung oder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12</w:t>
      </w:r>
    </w:p>
    <w:tbl>
      <w:tblPr>
        <w:tblW w:w="10205" w:type="dxa"/>
        <w:jc w:val="left"/>
        <w:tblInd w:w="0" w:type="dxa"/>
        <w:tblLayout w:type="fixed"/>
        <w:tblCellMar>
          <w:top w:w="28" w:type="dxa"/>
          <w:left w:w="28" w:type="dxa"/>
          <w:bottom w:w="28" w:type="dxa"/>
          <w:right w:w="28" w:type="dxa"/>
        </w:tblCellMar>
      </w:tblPr>
      <w:tblGrid>
        <w:gridCol w:w="3623"/>
        <w:gridCol w:w="996"/>
        <w:gridCol w:w="5586"/>
      </w:tblGrid>
      <w:tr>
        <w:trPr/>
        <w:tc>
          <w:tcPr>
            <w:tcW w:w="362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5586" w:type="dxa"/>
            <w:tcBorders/>
            <w:vAlign w:val="center"/>
          </w:tcPr>
          <w:p>
            <w:pPr>
              <w:pStyle w:val="TableContents"/>
              <w:bidi w:val="0"/>
              <w:spacing w:before="0" w:after="283"/>
              <w:ind w:left="0" w:right="0" w:firstLine="425"/>
              <w:jc w:val="left"/>
              <w:rPr>
                <w:sz w:val="4"/>
                <w:szCs w:val="4"/>
              </w:rPr>
            </w:pPr>
            <w:r>
              <w:rPr>
                <w:sz w:val="4"/>
                <w:szCs w:val="4"/>
              </w:rPr>
            </w:r>
          </w:p>
        </w:tc>
      </w:tr>
      <w:tr>
        <w:trPr/>
        <w:tc>
          <w:tcPr>
            <w:tcW w:w="3623" w:type="dxa"/>
            <w:tcBorders/>
            <w:tcMar>
              <w:top w:w="0" w:type="dxa"/>
              <w:left w:w="0" w:type="dxa"/>
              <w:bottom w:w="0" w:type="dxa"/>
              <w:right w:w="0" w:type="dxa"/>
            </w:tcMar>
            <w:vAlign w:val="center"/>
          </w:tcPr>
          <w:p>
            <w:pPr>
              <w:pStyle w:val="TableContents"/>
              <w:bidi w:val="0"/>
              <w:spacing w:before="0" w:after="120"/>
              <w:ind w:left="425" w:right="0" w:firstLine="425"/>
              <w:jc w:val="left"/>
              <w:rPr>
                <w:rFonts w:ascii="Times New Roman" w:hAnsi="Times New Roman"/>
                <w:sz w:val="24"/>
              </w:rPr>
            </w:pPr>
            <w:r>
              <w:rPr>
                <w:rFonts w:ascii="Calibri Light;sans-serif" w:hAnsi="Calibri Light;sans-serif"/>
                <w:color w:val="000000"/>
                <w:sz w:val="20"/>
              </w:rPr>
              <w:t>such individual or entity; provided that</w:t>
            </w:r>
            <w:r>
              <w:rPr>
                <w:rFonts w:ascii="Times New Roman" w:hAnsi="Times New Roman"/>
                <w:color w:val="000000"/>
                <w:sz w:val="24"/>
              </w:rPr>
              <w:t xml:space="preserve"> </w:t>
            </w:r>
            <w:r>
              <w:rPr>
                <w:rFonts w:ascii="Calibri Light;sans-serif" w:hAnsi="Calibri Light;sans-serif"/>
                <w:color w:val="000000"/>
                <w:sz w:val="20"/>
              </w:rPr>
              <w:br/>
            </w:r>
            <w:r>
              <w:rPr>
                <w:rFonts w:ascii="Times New Roman" w:hAnsi="Times New Roman"/>
                <w:color w:val="000000"/>
                <w:sz w:val="24"/>
              </w:rPr>
              <w:t> </w:t>
            </w:r>
          </w:p>
          <w:p>
            <w:pPr>
              <w:pStyle w:val="TableContents"/>
              <w:pBdr/>
              <w:bidi w:val="0"/>
              <w:spacing w:before="0" w:after="120"/>
              <w:ind w:left="425" w:right="0" w:hanging="425"/>
              <w:jc w:val="left"/>
              <w:rPr>
                <w:rFonts w:ascii="Times New Roman" w:hAnsi="Times New Roman"/>
                <w:sz w:val="20"/>
              </w:rPr>
            </w:pPr>
            <w:r>
              <w:rPr>
                <w:rFonts w:ascii="Calibri Light;sans-serif" w:hAnsi="Calibri Light;sans-serif"/>
                <w:color w:val="000000"/>
                <w:sz w:val="20"/>
              </w:rPr>
              <w:t xml:space="preserve">(i) a beneficial owner of a security includes any person who, directly or indirectly, through any contract, arrangement, understanding, relationship, or otherwise alone or together with other such persons has or shares: </w:t>
              <w:br/>
            </w:r>
            <w:r>
              <w:rPr>
                <w:rFonts w:ascii="Times New Roman" w:hAnsi="Times New Roman"/>
                <w:color w:val="000000"/>
                <w:sz w:val="20"/>
              </w:rPr>
              <w:t> </w:t>
            </w:r>
          </w:p>
          <w:p>
            <w:pPr>
              <w:pStyle w:val="TableContents"/>
              <w:pBdr/>
              <w:bidi w:val="0"/>
              <w:spacing w:before="0" w:after="120"/>
              <w:ind w:left="851" w:right="0" w:hanging="425"/>
              <w:jc w:val="left"/>
              <w:rPr>
                <w:rFonts w:ascii="Times New Roman" w:hAnsi="Times New Roman"/>
                <w:sz w:val="24"/>
              </w:rPr>
            </w:pPr>
            <w:r>
              <w:rPr>
                <w:rFonts w:ascii="Calibri Light;sans-serif" w:hAnsi="Calibri Light;sans-serif"/>
                <w:color w:val="000000"/>
                <w:sz w:val="20"/>
              </w:rPr>
              <w:t>(1) voting power which includes the power to vote, or to direct the voting of, such security; and/or</w:t>
            </w:r>
            <w:r>
              <w:rPr>
                <w:rFonts w:ascii="Times New Roman" w:hAnsi="Times New Roman"/>
                <w:color w:val="000000"/>
                <w:sz w:val="24"/>
              </w:rPr>
              <w:t xml:space="preserve"> </w:t>
            </w:r>
            <w:r>
              <w:rPr>
                <w:rFonts w:ascii="Calibri Light;sans-serif" w:hAnsi="Calibri Light;sans-serif"/>
                <w:color w:val="000000"/>
                <w:sz w:val="24"/>
              </w:rPr>
              <w:br/>
            </w:r>
            <w:r>
              <w:rPr>
                <w:rFonts w:ascii="Times New Roman" w:hAnsi="Times New Roman"/>
                <w:color w:val="000000"/>
                <w:sz w:val="24"/>
              </w:rPr>
              <w:t> </w:t>
            </w:r>
          </w:p>
          <w:p>
            <w:pPr>
              <w:pStyle w:val="TableContents"/>
              <w:pBdr/>
              <w:bidi w:val="0"/>
              <w:spacing w:before="0" w:after="120"/>
              <w:ind w:left="851" w:right="0" w:hanging="425"/>
              <w:jc w:val="left"/>
              <w:rPr>
                <w:rFonts w:ascii="Times New Roman" w:hAnsi="Times New Roman"/>
                <w:sz w:val="24"/>
              </w:rPr>
            </w:pPr>
            <w:r>
              <w:rPr>
                <w:rFonts w:ascii="Calibri Light;sans-serif" w:hAnsi="Calibri Light;sans-serif"/>
                <w:color w:val="000000"/>
                <w:sz w:val="20"/>
              </w:rPr>
              <w:t>(2) investment power which includes the power to dispose, or to direct the disposition of, such security.</w:t>
            </w:r>
            <w:r>
              <w:rPr>
                <w:rFonts w:ascii="Times New Roman" w:hAnsi="Times New Roman"/>
                <w:color w:val="000000"/>
                <w:sz w:val="24"/>
              </w:rPr>
              <w:t xml:space="preserve"> </w:t>
            </w:r>
            <w:r>
              <w:rPr>
                <w:rFonts w:ascii="Calibri Light;sans-serif" w:hAnsi="Calibri Light;sans-serif"/>
                <w:color w:val="000000"/>
                <w:sz w:val="24"/>
              </w:rPr>
              <w:br/>
            </w:r>
            <w:r>
              <w:rPr>
                <w:rFonts w:ascii="Times New Roman" w:hAnsi="Times New Roman"/>
                <w:color w:val="000000"/>
                <w:sz w:val="24"/>
              </w:rPr>
              <w:t> </w:t>
            </w:r>
          </w:p>
          <w:p>
            <w:pPr>
              <w:pStyle w:val="TableContents"/>
              <w:pBdr/>
              <w:bidi w:val="0"/>
              <w:spacing w:before="0" w:after="120"/>
              <w:ind w:left="425" w:right="0" w:hanging="425"/>
              <w:jc w:val="left"/>
              <w:rPr>
                <w:rFonts w:ascii="Times New Roman" w:hAnsi="Times New Roman"/>
                <w:sz w:val="24"/>
              </w:rPr>
            </w:pPr>
            <w:r>
              <w:rPr>
                <w:rFonts w:ascii="Calibri Light;sans-serif" w:hAnsi="Calibri Light;sans-serif"/>
                <w:color w:val="000000"/>
                <w:sz w:val="20"/>
              </w:rPr>
              <w:t xml:space="preserve">(ii) 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 </w:t>
            </w:r>
            <w:r>
              <w:rPr>
                <w:rFonts w:ascii="Calibri Light;sans-serif" w:hAnsi="Calibri Light;sans-serif"/>
                <w:color w:val="000000"/>
                <w:sz w:val="24"/>
              </w:rPr>
              <w:br/>
            </w:r>
            <w:r>
              <w:rPr>
                <w:rFonts w:ascii="Times New Roman" w:hAnsi="Times New Roman"/>
                <w:color w:val="000000"/>
                <w:sz w:val="24"/>
              </w:rPr>
              <w:t> </w:t>
            </w:r>
          </w:p>
          <w:p>
            <w:pPr>
              <w:pStyle w:val="TableContents"/>
              <w:pBdr/>
              <w:bidi w:val="0"/>
              <w:spacing w:before="0" w:after="283"/>
              <w:ind w:left="425" w:right="0" w:hanging="425"/>
              <w:jc w:val="left"/>
              <w:rPr>
                <w:rFonts w:ascii="Times New Roman" w:hAnsi="Times New Roman"/>
                <w:sz w:val="20"/>
              </w:rPr>
            </w:pPr>
            <w:r>
              <w:rPr>
                <w:rFonts w:ascii="Calibri Light;sans-serif" w:hAnsi="Calibri Light;sans-serif"/>
                <w:color w:val="000000"/>
                <w:sz w:val="20"/>
              </w:rPr>
              <w:t>(iii) A person shall be deemed to be the beneficial owner of shares if that person has the right to acquire beneficial ownership of</w:t>
            </w:r>
            <w:r>
              <w:rPr>
                <w:rFonts w:ascii="Times New Roman" w:hAnsi="Times New Roman"/>
                <w:color w:val="000000"/>
                <w:sz w:val="20"/>
              </w:rPr>
              <w:t xml:space="preserve"> </w:t>
            </w:r>
          </w:p>
        </w:tc>
        <w:tc>
          <w:tcPr>
            <w:tcW w:w="996" w:type="dxa"/>
            <w:tcBorders/>
            <w:tcMar>
              <w:top w:w="0" w:type="dxa"/>
              <w:left w:w="0" w:type="dxa"/>
              <w:bottom w:w="0" w:type="dxa"/>
              <w:right w:w="0" w:type="dxa"/>
            </w:tcMar>
            <w:vAlign w:val="center"/>
          </w:tcPr>
          <w:p>
            <w:pPr>
              <w:pStyle w:val="TableContents"/>
              <w:bidi w:val="0"/>
              <w:spacing w:before="0" w:after="283"/>
              <w:ind w:left="0" w:right="0" w:firstLine="850"/>
              <w:jc w:val="left"/>
              <w:rPr/>
            </w:pPr>
            <w:r>
              <w:rPr/>
              <w:t> </w:t>
            </w:r>
          </w:p>
        </w:tc>
        <w:tc>
          <w:tcPr>
            <w:tcW w:w="5586" w:type="dxa"/>
            <w:tcBorders/>
            <w:tcMar>
              <w:top w:w="0" w:type="dxa"/>
              <w:left w:w="0" w:type="dxa"/>
              <w:bottom w:w="0" w:type="dxa"/>
              <w:right w:w="0" w:type="dxa"/>
            </w:tcMar>
            <w:vAlign w:val="center"/>
          </w:tcPr>
          <w:p>
            <w:pPr>
              <w:pStyle w:val="TableContents"/>
              <w:bidi w:val="0"/>
              <w:spacing w:before="0" w:after="120"/>
              <w:ind w:left="850" w:right="0" w:firstLine="850"/>
              <w:jc w:val="both"/>
              <w:rPr>
                <w:rFonts w:ascii="Times New Roman" w:hAnsi="Times New Roman"/>
                <w:sz w:val="20"/>
              </w:rPr>
            </w:pPr>
            <w:r>
              <w:rPr>
                <w:rFonts w:ascii="Calibri Light;sans-serif" w:hAnsi="Calibri Light;sans-serif"/>
                <w:color w:val="000000"/>
                <w:sz w:val="20"/>
              </w:rPr>
              <w:t>anderweitig allein oder mit anderen Personen gemeinsam hat oder teilt:</w:t>
            </w:r>
            <w:r>
              <w:rPr>
                <w:rFonts w:ascii="Times New Roman" w:hAnsi="Times New Roman"/>
                <w:color w:val="000000"/>
                <w:sz w:val="20"/>
              </w:rPr>
              <w:t xml:space="preserve"> </w:t>
            </w:r>
          </w:p>
          <w:p>
            <w:pPr>
              <w:pStyle w:val="TableContents"/>
              <w:pBdr/>
              <w:bidi w:val="0"/>
              <w:spacing w:before="0" w:after="120"/>
              <w:ind w:left="851" w:right="0" w:hanging="425"/>
              <w:jc w:val="both"/>
              <w:rPr>
                <w:rFonts w:ascii="Times New Roman" w:hAnsi="Times New Roman"/>
                <w:sz w:val="20"/>
              </w:rPr>
            </w:pPr>
            <w:r>
              <w:rPr>
                <w:rFonts w:ascii="Calibri Light;sans-serif" w:hAnsi="Calibri Light;sans-serif"/>
                <w:color w:val="000000"/>
                <w:sz w:val="20"/>
              </w:rPr>
              <w:t>(1) das Stimmrecht, welches das Recht zur Stimmabgabe, oder zur Leitung der Stimme eines solchen Wertpapiers umfasst; und/oder</w:t>
            </w:r>
            <w:r>
              <w:rPr>
                <w:rFonts w:ascii="Times New Roman" w:hAnsi="Times New Roman"/>
                <w:color w:val="000000"/>
                <w:sz w:val="20"/>
              </w:rPr>
              <w:t xml:space="preserve"> </w:t>
            </w:r>
          </w:p>
          <w:p>
            <w:pPr>
              <w:pStyle w:val="TableContents"/>
              <w:pBdr/>
              <w:bidi w:val="0"/>
              <w:spacing w:before="0" w:after="120"/>
              <w:ind w:left="851" w:right="0" w:hanging="425"/>
              <w:jc w:val="both"/>
              <w:rPr>
                <w:rFonts w:ascii="Times New Roman" w:hAnsi="Times New Roman"/>
                <w:sz w:val="20"/>
              </w:rPr>
            </w:pPr>
            <w:r>
              <w:rPr>
                <w:rFonts w:ascii="Calibri Light;sans-serif" w:hAnsi="Calibri Light;sans-serif"/>
                <w:color w:val="000000"/>
                <w:sz w:val="20"/>
              </w:rPr>
              <w:t>(2) das Investitionsrecht, welches die Verfügungsmacht oder ein Recht zur Bestimmung über die Verfügung eines solchen Wertpapiers umfasst.</w:t>
            </w:r>
            <w:r>
              <w:rPr>
                <w:rFonts w:ascii="Times New Roman" w:hAnsi="Times New Roman"/>
                <w:color w:val="000000"/>
                <w:sz w:val="20"/>
              </w:rPr>
              <w:t xml:space="preserve"> </w:t>
            </w:r>
          </w:p>
          <w:p>
            <w:pPr>
              <w:pStyle w:val="TableContents"/>
              <w:pBdr/>
              <w:bidi w:val="0"/>
              <w:spacing w:before="0" w:after="120"/>
              <w:ind w:left="425" w:right="0" w:hanging="425"/>
              <w:jc w:val="both"/>
              <w:rPr>
                <w:rFonts w:ascii="Times New Roman" w:hAnsi="Times New Roman"/>
                <w:sz w:val="20"/>
              </w:rPr>
            </w:pPr>
            <w:r>
              <w:rPr>
                <w:rFonts w:ascii="Calibri Light;sans-serif" w:hAnsi="Calibri Light;sans-serif"/>
                <w:color w:val="000000"/>
                <w:sz w:val="20"/>
              </w:rPr>
              <w:t>(ii) 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r>
              <w:rPr>
                <w:rFonts w:ascii="Times New Roman" w:hAnsi="Times New Roman"/>
                <w:color w:val="000000"/>
                <w:sz w:val="20"/>
              </w:rPr>
              <w:t xml:space="preserve"> </w:t>
            </w:r>
          </w:p>
          <w:p>
            <w:pPr>
              <w:pStyle w:val="TableContents"/>
              <w:pBdr/>
              <w:bidi w:val="0"/>
              <w:spacing w:before="0" w:after="120"/>
              <w:ind w:left="425" w:right="0" w:hanging="425"/>
              <w:jc w:val="both"/>
              <w:rPr>
                <w:rFonts w:ascii="Calibri Light;sans-serif" w:hAnsi="Calibri Light;sans-serif"/>
                <w:color w:val="000000"/>
                <w:sz w:val="20"/>
              </w:rPr>
            </w:pPr>
            <w:r>
              <w:rPr>
                <w:rFonts w:ascii="Calibri Light;sans-serif" w:hAnsi="Calibri Light;sans-serif"/>
                <w:color w:val="000000"/>
                <w:sz w:val="20"/>
              </w:rPr>
              <w:t>(iii) Eine Person soll als begünstigter Eigentümer von Aktien eingestuft werden, wenn diese Person das Recht hat, ein begünstigendes Eigentum an solchen Aktien innerhalb von 60 Tagen zu erwerben, inklusive, aber nicht beschränkt auf jegliches erworbenes Recht: (A) durch die Ausübung jeglicher Option, jedes Bezugsrechts oder sonstigen Rechts; (B) durch die Umwandlung eines Wertpapiers; (C) aufgrund der Befugnis, einen Trust, ein Vermögensverwaltungskonto oder ähnliche Verhältnisse zu widerrufen oder (D) in Zusammenhang mit der automatischen Auflösung eines Trusts, Vermögensverwaltungskontos oder eines ähnlichen Verhältnisses.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13</w:t>
      </w:r>
    </w:p>
    <w:tbl>
      <w:tblPr>
        <w:tblW w:w="10205" w:type="dxa"/>
        <w:jc w:val="left"/>
        <w:tblInd w:w="0" w:type="dxa"/>
        <w:tblLayout w:type="fixed"/>
        <w:tblCellMar>
          <w:top w:w="28" w:type="dxa"/>
          <w:left w:w="28" w:type="dxa"/>
          <w:bottom w:w="28" w:type="dxa"/>
          <w:right w:w="28" w:type="dxa"/>
        </w:tblCellMar>
      </w:tblPr>
      <w:tblGrid>
        <w:gridCol w:w="3854"/>
        <w:gridCol w:w="1608"/>
        <w:gridCol w:w="4743"/>
      </w:tblGrid>
      <w:tr>
        <w:trPr/>
        <w:tc>
          <w:tcPr>
            <w:tcW w:w="385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ind w:left="0" w:right="0" w:firstLine="850"/>
              <w:jc w:val="left"/>
              <w:rPr>
                <w:sz w:val="4"/>
                <w:szCs w:val="4"/>
              </w:rPr>
            </w:pPr>
            <w:r>
              <w:rPr>
                <w:sz w:val="4"/>
                <w:szCs w:val="4"/>
              </w:rPr>
            </w:r>
          </w:p>
        </w:tc>
      </w:tr>
      <w:tr>
        <w:trPr/>
        <w:tc>
          <w:tcPr>
            <w:tcW w:w="3854" w:type="dxa"/>
            <w:tcBorders/>
            <w:tcMar>
              <w:top w:w="0" w:type="dxa"/>
              <w:left w:w="0" w:type="dxa"/>
              <w:bottom w:w="0" w:type="dxa"/>
              <w:right w:w="0" w:type="dxa"/>
            </w:tcMar>
            <w:vAlign w:val="center"/>
          </w:tcPr>
          <w:p>
            <w:pPr>
              <w:pStyle w:val="TableContents"/>
              <w:bidi w:val="0"/>
              <w:spacing w:before="0" w:after="120"/>
              <w:ind w:left="850" w:right="0" w:firstLine="850"/>
              <w:jc w:val="left"/>
              <w:rPr>
                <w:rFonts w:ascii="Calibri Light;sans-serif" w:hAnsi="Calibri Light;sans-serif"/>
                <w:color w:val="000000"/>
                <w:sz w:val="20"/>
              </w:rPr>
            </w:pPr>
            <w:r>
              <w:rPr>
                <w:rFonts w:ascii="Calibri Light;sans-serif" w:hAnsi="Calibri Light;sans-serif"/>
                <w:color w:val="000000"/>
                <w:sz w:val="20"/>
              </w:rPr>
              <w:t>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7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tc>
      </w:tr>
      <w:tr>
        <w:trPr/>
        <w:tc>
          <w:tcPr>
            <w:tcW w:w="385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3"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tc>
      </w:tr>
      <w:tr>
        <w:trPr/>
        <w:tc>
          <w:tcPr>
            <w:tcW w:w="3854"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5 Reporting Obligation of the Shareholder and Register of Beneficial Owners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43"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5 Meldepflicht des Aktionärs und Verzeichnis der wirtschaftlich berechtigten Personen</w:t>
            </w:r>
          </w:p>
        </w:tc>
      </w:tr>
      <w:tr>
        <w:trPr/>
        <w:tc>
          <w:tcPr>
            <w:tcW w:w="385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Any person who, alone or in concert with third parties, acquires shares in the Company and thereby reaches or exceeds the threshold of 25% of the share capital or voting rights must notify the Company within one month of the first name, last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14</w:t>
      </w:r>
    </w:p>
    <w:tbl>
      <w:tblPr>
        <w:tblW w:w="10205" w:type="dxa"/>
        <w:jc w:val="left"/>
        <w:tblInd w:w="0" w:type="dxa"/>
        <w:tblLayout w:type="fixed"/>
        <w:tblCellMar>
          <w:top w:w="28" w:type="dxa"/>
          <w:left w:w="28" w:type="dxa"/>
          <w:bottom w:w="28" w:type="dxa"/>
          <w:right w:w="28" w:type="dxa"/>
        </w:tblCellMar>
      </w:tblPr>
      <w:tblGrid>
        <w:gridCol w:w="4477"/>
        <w:gridCol w:w="251"/>
        <w:gridCol w:w="5477"/>
      </w:tblGrid>
      <w:tr>
        <w:trPr/>
        <w:tc>
          <w:tcPr>
            <w:tcW w:w="44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7" w:type="dxa"/>
            <w:tcBorders/>
            <w:vAlign w:val="center"/>
          </w:tcPr>
          <w:p>
            <w:pPr>
              <w:pStyle w:val="TableContents"/>
              <w:bidi w:val="0"/>
              <w:spacing w:before="0" w:after="283"/>
              <w:jc w:val="left"/>
              <w:rPr>
                <w:sz w:val="4"/>
                <w:szCs w:val="4"/>
              </w:rPr>
            </w:pPr>
            <w:r>
              <w:rPr>
                <w:sz w:val="4"/>
                <w:szCs w:val="4"/>
              </w:rPr>
            </w:r>
          </w:p>
        </w:tc>
      </w:tr>
      <w:tr>
        <w:trPr/>
        <w:tc>
          <w:tcPr>
            <w:tcW w:w="4477"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name and address of the natural person on whose behalf he is ultimately acting (beneficial owner).</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7"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melden, für die er letztendlich handelt (wirtschaftlich berechtigte Person).</w:t>
            </w:r>
          </w:p>
        </w:tc>
      </w:tr>
      <w:tr>
        <w:trPr/>
        <w:tc>
          <w:tcPr>
            <w:tcW w:w="4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 must notify the company within three months of any change in the first or last name or address of the beneficial owner.</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Aktionär muss der Gesellschaft innert drei Monaten jede Änderung des Vor- oder des Nachnamens oder der Adresse der wirtschaftlich berechtigten Person melden.</w:t>
            </w:r>
          </w:p>
        </w:tc>
      </w:tr>
      <w:tr>
        <w:trPr/>
        <w:tc>
          <w:tcPr>
            <w:tcW w:w="4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tc>
      </w:tr>
      <w:tr>
        <w:trPr/>
        <w:tc>
          <w:tcPr>
            <w:tcW w:w="4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15</w:t>
      </w:r>
    </w:p>
    <w:tbl>
      <w:tblPr>
        <w:tblW w:w="10205" w:type="dxa"/>
        <w:jc w:val="left"/>
        <w:tblInd w:w="0" w:type="dxa"/>
        <w:tblLayout w:type="fixed"/>
        <w:tblCellMar>
          <w:top w:w="28" w:type="dxa"/>
          <w:left w:w="28" w:type="dxa"/>
          <w:bottom w:w="28" w:type="dxa"/>
          <w:right w:w="28" w:type="dxa"/>
        </w:tblCellMar>
      </w:tblPr>
      <w:tblGrid>
        <w:gridCol w:w="3853"/>
        <w:gridCol w:w="1608"/>
        <w:gridCol w:w="4744"/>
      </w:tblGrid>
      <w:tr>
        <w:trPr/>
        <w:tc>
          <w:tcPr>
            <w:tcW w:w="385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44" w:type="dxa"/>
            <w:tcBorders/>
            <w:vAlign w:val="center"/>
          </w:tcPr>
          <w:p>
            <w:pPr>
              <w:pStyle w:val="TableContents"/>
              <w:bidi w:val="0"/>
              <w:spacing w:before="0" w:after="283"/>
              <w:ind w:left="0" w:right="0" w:firstLine="1355"/>
              <w:jc w:val="left"/>
              <w:rPr>
                <w:sz w:val="4"/>
                <w:szCs w:val="4"/>
              </w:rPr>
            </w:pPr>
            <w:r>
              <w:rPr>
                <w:sz w:val="4"/>
                <w:szCs w:val="4"/>
              </w:rPr>
            </w:r>
          </w:p>
        </w:tc>
      </w:tr>
      <w:tr>
        <w:trPr/>
        <w:tc>
          <w:tcPr>
            <w:tcW w:w="3853"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6 Share Certificates and Intermediated Securities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44"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6 Aktienzertifikate und Bucheffekten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Gesellschaft kann ihre Aktien in jeder gesetzlich zulässigen Form, namentlich in Form von Einzelurkunden, Globalurkunden, einfachen Wertrechten nach Artikel 973c OR oder Registerwertrechten nach Artikel 973d OR ausgeben und als Bucheffekten führen lassen.</w:t>
            </w:r>
          </w:p>
        </w:tc>
      </w:tr>
      <w:tr>
        <w:trPr/>
        <w:tc>
          <w:tcPr>
            <w:tcW w:w="38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tc>
      </w:tr>
      <w:tr>
        <w:trPr/>
        <w:tc>
          <w:tcPr>
            <w:tcW w:w="38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tc>
      </w:tr>
      <w:tr>
        <w:trPr/>
        <w:tc>
          <w:tcPr>
            <w:tcW w:w="38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transfer of simple uncertificated securities pursuant to article 973c CO and registered uncertificated securities pursuant to article 973d CO as well as the provision of security for such uncertificated securities shall be governed by the provisions of the CO.</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Übertragung von einfachen Wertrechten nach Artikel 973c OR und Registerwertrechten nach Artikel 973d OR sowie die Bestellung von Sicherheiten an diesen Wertrechten richten sich nach den Bestimmungen des OR.</w:t>
            </w:r>
          </w:p>
        </w:tc>
      </w:tr>
      <w:tr>
        <w:trPr/>
        <w:tc>
          <w:tcPr>
            <w:tcW w:w="38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transfer of intermediated securities and the provision of security for such intermediated securities shall be governed by the provisions of the Swiss Intermediated Securities Act.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44"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Übertragung von Bucheffekten und die Bestellung von Sicherheiten an diesen Bucheffekten richten sich nach den Bestimmungen des Bucheffektengesetzes.</w:t>
            </w:r>
          </w:p>
        </w:tc>
      </w:tr>
      <w:tr>
        <w:trPr/>
        <w:tc>
          <w:tcPr>
            <w:tcW w:w="3853"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7 Exercise of Shareholders Rights</w:t>
            </w:r>
          </w:p>
        </w:tc>
        <w:tc>
          <w:tcPr>
            <w:tcW w:w="1608"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4744"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7 Ausübung von Aktionärsrechten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16</w:t>
      </w:r>
    </w:p>
    <w:tbl>
      <w:tblPr>
        <w:tblW w:w="10205" w:type="dxa"/>
        <w:jc w:val="left"/>
        <w:tblInd w:w="0" w:type="dxa"/>
        <w:tblLayout w:type="fixed"/>
        <w:tblCellMar>
          <w:top w:w="28" w:type="dxa"/>
          <w:left w:w="28" w:type="dxa"/>
          <w:bottom w:w="28" w:type="dxa"/>
          <w:right w:w="28" w:type="dxa"/>
        </w:tblCellMar>
      </w:tblPr>
      <w:tblGrid>
        <w:gridCol w:w="3379"/>
        <w:gridCol w:w="1606"/>
        <w:gridCol w:w="5220"/>
      </w:tblGrid>
      <w:tr>
        <w:trPr/>
        <w:tc>
          <w:tcPr>
            <w:tcW w:w="337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220" w:type="dxa"/>
            <w:tcBorders/>
            <w:vAlign w:val="center"/>
          </w:tcPr>
          <w:p>
            <w:pPr>
              <w:pStyle w:val="TableContents"/>
              <w:bidi w:val="0"/>
              <w:spacing w:before="0" w:after="283"/>
              <w:jc w:val="left"/>
              <w:rPr>
                <w:sz w:val="4"/>
                <w:szCs w:val="4"/>
              </w:rPr>
            </w:pPr>
            <w:r>
              <w:rPr>
                <w:sz w:val="4"/>
                <w:szCs w:val="4"/>
              </w:rPr>
            </w:r>
          </w:p>
        </w:tc>
      </w:tr>
      <w:tr>
        <w:trPr/>
        <w:tc>
          <w:tcPr>
            <w:tcW w:w="337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shares are indivisible and the Company recognizes only one single representative per share.</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Aktien sind unteilbar und die Gesellschaft anerkennt nur einen einzigen Vertreter pro Aktie.</w:t>
            </w:r>
          </w:p>
        </w:tc>
      </w:tr>
      <w:tr>
        <w:trPr/>
        <w:tc>
          <w:tcPr>
            <w:tcW w:w="337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right to vote and the other rights pertaining to a registered share may only be exercised by a shareholder, an usufructuary or a nominee who is registered with the right to vote in the share register and by persons who are entitled by law to the voting rights of a share.</w:t>
            </w:r>
          </w:p>
        </w:tc>
        <w:tc>
          <w:tcPr>
            <w:tcW w:w="1606" w:type="dxa"/>
            <w:tcBorders/>
            <w:tcMar>
              <w:top w:w="0" w:type="dxa"/>
              <w:left w:w="0" w:type="dxa"/>
              <w:bottom w:w="0" w:type="dxa"/>
              <w:right w:w="0" w:type="dxa"/>
            </w:tcMar>
            <w:vAlign w:val="center"/>
          </w:tcPr>
          <w:p>
            <w:pPr>
              <w:pStyle w:val="Heading1"/>
              <w:bidi w:val="0"/>
              <w:spacing w:before="120" w:after="120"/>
              <w:jc w:val="left"/>
              <w:rPr/>
            </w:pPr>
            <w:r>
              <w:rPr/>
              <w:t> </w:t>
            </w:r>
          </w:p>
        </w:tc>
        <w:tc>
          <w:tcPr>
            <w:tcW w:w="5220"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Das Stimmrecht und die anderen zu einer Namenaktien gehörenden Rechte dürfen nur von einem Aktionär, einem Nutzniesser oder Nominee, dessen Stimmrecht im Aktienregister eingetragen ist und von Personen, welchen kraft Gesetzes die Stimmrechte einer Aktie zustehen, ausgeübt werden.</w:t>
            </w:r>
          </w:p>
        </w:tc>
      </w:tr>
      <w:tr>
        <w:trPr/>
        <w:tc>
          <w:tcPr>
            <w:tcW w:w="3379"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III. Corporate structure</w:t>
            </w:r>
          </w:p>
        </w:tc>
        <w:tc>
          <w:tcPr>
            <w:tcW w:w="1606"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5220" w:type="dxa"/>
            <w:tcBorders/>
            <w:tcMar>
              <w:top w:w="0" w:type="dxa"/>
              <w:left w:w="0" w:type="dxa"/>
              <w:bottom w:w="0" w:type="dxa"/>
              <w:right w:w="0" w:type="dxa"/>
            </w:tcMar>
            <w:vAlign w:val="center"/>
          </w:tcPr>
          <w:p>
            <w:pPr>
              <w:pStyle w:val="Heading1"/>
              <w:pBdr/>
              <w:bidi w:val="0"/>
              <w:spacing w:before="360" w:after="360"/>
              <w:ind w:left="0" w:right="0" w:firstLine="1355"/>
              <w:jc w:val="left"/>
              <w:rPr>
                <w:rFonts w:ascii="Calibri Light;sans-serif" w:hAnsi="Calibri Light;sans-serif"/>
                <w:caps/>
                <w:color w:val="000000"/>
                <w:sz w:val="20"/>
              </w:rPr>
            </w:pPr>
            <w:r>
              <w:rPr>
                <w:rFonts w:ascii="Calibri Light;sans-serif" w:hAnsi="Calibri Light;sans-serif"/>
                <w:caps/>
                <w:color w:val="000000"/>
                <w:sz w:val="20"/>
              </w:rPr>
              <w:t>III. Organisation der Gesellschaft</w:t>
            </w:r>
          </w:p>
        </w:tc>
      </w:tr>
      <w:tr>
        <w:trPr/>
        <w:tc>
          <w:tcPr>
            <w:tcW w:w="3379"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8 Corporate Bodies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corporate bodies are: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A. the General Meeting;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 the Board of Directors;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C. the Auditors.</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220"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8 Gliederung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Gesellschaftsorgane sind:</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A. die Generalversammlung;</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B. der Verwaltungsrat;</w:t>
            </w:r>
          </w:p>
          <w:p>
            <w:pPr>
              <w:pStyle w:val="TableContents"/>
              <w:bidi w:val="0"/>
              <w:spacing w:before="0" w:after="120"/>
              <w:ind w:left="0" w:right="0" w:firstLine="788"/>
              <w:jc w:val="left"/>
              <w:rPr>
                <w:rFonts w:ascii="Calibri Light;sans-serif" w:hAnsi="Calibri Light;sans-serif"/>
                <w:color w:val="000000"/>
                <w:sz w:val="20"/>
              </w:rPr>
            </w:pPr>
            <w:r>
              <w:rPr>
                <w:rFonts w:ascii="Calibri Light;sans-serif" w:hAnsi="Calibri Light;sans-serif"/>
                <w:color w:val="000000"/>
                <w:sz w:val="20"/>
              </w:rPr>
              <w:t>C. die Revisionsstelle.</w:t>
            </w:r>
          </w:p>
        </w:tc>
      </w:tr>
      <w:tr>
        <w:trPr/>
        <w:tc>
          <w:tcPr>
            <w:tcW w:w="3379"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IV. General Meeting</w:t>
            </w:r>
          </w:p>
        </w:tc>
        <w:tc>
          <w:tcPr>
            <w:tcW w:w="1606"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5220" w:type="dxa"/>
            <w:tcBorders/>
            <w:tcMar>
              <w:top w:w="0" w:type="dxa"/>
              <w:left w:w="0" w:type="dxa"/>
              <w:bottom w:w="0" w:type="dxa"/>
              <w:right w:w="0" w:type="dxa"/>
            </w:tcMar>
            <w:vAlign w:val="center"/>
          </w:tcPr>
          <w:p>
            <w:pPr>
              <w:pStyle w:val="Heading1"/>
              <w:pBdr/>
              <w:bidi w:val="0"/>
              <w:spacing w:before="360" w:after="360"/>
              <w:ind w:left="0" w:right="0" w:firstLine="1355"/>
              <w:jc w:val="left"/>
              <w:rPr>
                <w:rFonts w:ascii="Calibri Light;sans-serif" w:hAnsi="Calibri Light;sans-serif"/>
                <w:caps/>
                <w:color w:val="000000"/>
                <w:sz w:val="20"/>
              </w:rPr>
            </w:pPr>
            <w:r>
              <w:rPr>
                <w:rFonts w:ascii="Calibri Light;sans-serif" w:hAnsi="Calibri Light;sans-serif"/>
                <w:caps/>
                <w:color w:val="000000"/>
                <w:sz w:val="20"/>
              </w:rPr>
              <w:t>IV. Generalversammlung</w:t>
            </w:r>
          </w:p>
        </w:tc>
      </w:tr>
      <w:tr>
        <w:trPr/>
        <w:tc>
          <w:tcPr>
            <w:tcW w:w="3379"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9 Powers</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The General Meeting is the supreme body of the Company. It has the following non delegable powers:</w:t>
            </w:r>
          </w:p>
          <w:p>
            <w:pPr>
              <w:pStyle w:val="TableContents"/>
              <w:bidi w:val="0"/>
              <w:spacing w:before="0" w:after="120"/>
              <w:ind w:left="72"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adopt and amend the articles of association (articles 652g, 653g und 653i CO remain reserved);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to elect and remove the members of the Board of Directors, the Chairman of the Board of Directors, the members of the Compensation Committee, the Auditors and the Independent Proxy; </w:t>
              <w:br/>
            </w:r>
            <w:r>
              <w:rPr>
                <w:color w:val="000000"/>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to approve the management report and the annual accounts and to determine the allocation of profits, in </w:t>
            </w:r>
          </w:p>
        </w:tc>
        <w:tc>
          <w:tcPr>
            <w:tcW w:w="1606" w:type="dxa"/>
            <w:tcBorders/>
            <w:tcMar>
              <w:top w:w="0" w:type="dxa"/>
              <w:left w:w="0" w:type="dxa"/>
              <w:bottom w:w="0" w:type="dxa"/>
              <w:right w:w="0" w:type="dxa"/>
            </w:tcMar>
            <w:vAlign w:val="center"/>
          </w:tcPr>
          <w:p>
            <w:pPr>
              <w:pStyle w:val="Heading1"/>
              <w:bidi w:val="0"/>
              <w:spacing w:before="120" w:after="120"/>
              <w:ind w:left="0" w:right="0" w:firstLine="1355"/>
              <w:jc w:val="left"/>
              <w:rPr/>
            </w:pPr>
            <w:r>
              <w:rPr/>
              <w:t> </w:t>
            </w:r>
          </w:p>
        </w:tc>
        <w:tc>
          <w:tcPr>
            <w:tcW w:w="5220"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Artikel 9 Befugnisse</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Oberstes Organ der Gesellschaft ist die Generalversammlung. Ihr stehen folgende unübertragbare Befugnisse zu:</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Festsetzung und Änderung der Statuten (Artikel 652g, 653g und 653i OR bleiben vorbehalten);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Wahl und Abberufung der Mitglieder des Verwaltungsrats, des Präsidenten des Verwaltungsrats, der Mitglieder des Vergütungsausschusses, der Revisionsstelle und des unabhängigen Stimmrechtsvertreters;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Genehmigung des Lageberichts und der Jahresrechnung sowie Beschlussfassung über die Verwendung des Bilanzgewinnes,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17</w:t>
      </w:r>
    </w:p>
    <w:tbl>
      <w:tblPr>
        <w:tblW w:w="10205" w:type="dxa"/>
        <w:jc w:val="left"/>
        <w:tblInd w:w="0" w:type="dxa"/>
        <w:tblLayout w:type="fixed"/>
        <w:tblCellMar>
          <w:top w:w="28" w:type="dxa"/>
          <w:left w:w="28" w:type="dxa"/>
          <w:bottom w:w="28" w:type="dxa"/>
          <w:right w:w="28" w:type="dxa"/>
        </w:tblCellMar>
      </w:tblPr>
      <w:tblGrid>
        <w:gridCol w:w="3766"/>
        <w:gridCol w:w="1608"/>
        <w:gridCol w:w="4831"/>
      </w:tblGrid>
      <w:tr>
        <w:trPr/>
        <w:tc>
          <w:tcPr>
            <w:tcW w:w="376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particular with regard to dividends and bonus payments;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 xml:space="preserve">to determine the interim dividend and the approval of the required interim financial statements;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make a resolution on the repayment of the statutory capital reserve;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discharge the members of the Board of Directors and of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pPr>
            <w:r>
              <w:rPr>
                <w:rFonts w:ascii="Calibri Light;sans-serif" w:hAnsi="Calibri Light;sans-serif"/>
                <w:color w:val="000000"/>
                <w:sz w:val="20"/>
              </w:rPr>
              <w:t xml:space="preserve">delisting of the Company's equity securities;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approve the total compensation paid to the Board of Directors and the Executive Committee as per article 34 and article 35 below;</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pass resolutions concerning all matters which are reserved to the authority of the General Meeting by law or by the articles of association.</w:t>
            </w:r>
          </w:p>
        </w:tc>
        <w:tc>
          <w:tcPr>
            <w:tcW w:w="1608"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4831"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insbesondere die Festsetzung der Dividende und der Tantieme;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Festsetzung der Zwischendividende und Genehmigung des dafür erforderlichen Zwischenabschlusses;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Beschlussfassung über die Rückzahlung der gesetzlichen Kapitalreserve;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Entlastung der Mitglieder des Verwaltungsrates und der Geschäftsleitung;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Dekotierung der Beteiligungspapiere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Genehmigung der Gesamtvergütungen des Verwaltungsrats und der Geschäftsleitung nach Massgabe von Artikel 34 und Artikel 35 hiernach;</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Beschlussfassung über die Gegenstände, die der Generalversammlung durch das Gesetz oder die Statuten vorbehalten sind.</w:t>
            </w:r>
          </w:p>
        </w:tc>
      </w:tr>
      <w:tr>
        <w:trPr/>
        <w:tc>
          <w:tcPr>
            <w:tcW w:w="376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10 Ordinary General Meeting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Ordinary General Meeting shall be held annually within six months after the end of the business year at such time and at such location, which may be within or outside Switzerland, as determined by the Board of Directors.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3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10 Ordentliche Generalversammlung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ordentliche Generalversammlung findet jährlich innerhalb von sechs Monaten nach Abschluss des Geschäftsjahres statt, zum Zeitpunkt und an einem Ort, der innerhalb oder ausserhalb der Schweiz sein kann, gemäss Festlegung durch den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18</w:t>
      </w:r>
    </w:p>
    <w:tbl>
      <w:tblPr>
        <w:tblW w:w="10205" w:type="dxa"/>
        <w:jc w:val="left"/>
        <w:tblInd w:w="0" w:type="dxa"/>
        <w:tblLayout w:type="fixed"/>
        <w:tblCellMar>
          <w:top w:w="28" w:type="dxa"/>
          <w:left w:w="28" w:type="dxa"/>
          <w:bottom w:w="28" w:type="dxa"/>
          <w:right w:w="28" w:type="dxa"/>
        </w:tblCellMar>
      </w:tblPr>
      <w:tblGrid>
        <w:gridCol w:w="3846"/>
        <w:gridCol w:w="1608"/>
        <w:gridCol w:w="4751"/>
      </w:tblGrid>
      <w:tr>
        <w:trPr/>
        <w:tc>
          <w:tcPr>
            <w:tcW w:w="38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51" w:type="dxa"/>
            <w:tcBorders/>
            <w:vAlign w:val="center"/>
          </w:tcPr>
          <w:p>
            <w:pPr>
              <w:pStyle w:val="TableContents"/>
              <w:bidi w:val="0"/>
              <w:spacing w:before="0" w:after="283"/>
              <w:ind w:left="0" w:right="0" w:firstLine="1357"/>
              <w:jc w:val="left"/>
              <w:rPr>
                <w:sz w:val="4"/>
                <w:szCs w:val="4"/>
              </w:rPr>
            </w:pPr>
            <w:r>
              <w:rPr>
                <w:sz w:val="4"/>
                <w:szCs w:val="4"/>
              </w:rPr>
            </w:r>
          </w:p>
        </w:tc>
      </w:tr>
      <w:tr>
        <w:trPr/>
        <w:tc>
          <w:tcPr>
            <w:tcW w:w="384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Times New Roman" w:hAnsi="Times New Roman"/>
                <w:sz w:val="20"/>
              </w:rPr>
            </w:pPr>
            <w:r>
              <w:rPr>
                <w:rFonts w:ascii="Calibri Light;sans-serif" w:hAnsi="Calibri Light;sans-serif"/>
                <w:b/>
                <w:color w:val="000000"/>
                <w:sz w:val="20"/>
              </w:rPr>
              <w:t>Article 11 Extraordinary General Meeting</w:t>
              <w:br/>
            </w:r>
            <w:r>
              <w:rPr>
                <w:rFonts w:ascii="Times New Roman" w:hAnsi="Times New Roman"/>
                <w:color w:val="000000"/>
                <w:sz w:val="20"/>
              </w:rPr>
              <w:t> </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Extraordinary General Meetings may be called by resolution of the General Meeting, the Auditors or the Board of Directors, or by shareholders with voting powers, provided they represent at least 5%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5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11 Ausserordentliche Generalversammlung</w:t>
            </w:r>
          </w:p>
          <w:p>
            <w:pPr>
              <w:pStyle w:val="TableContents"/>
              <w:bidi w:val="0"/>
              <w:spacing w:before="0" w:after="120"/>
              <w:ind w:left="0" w:right="0" w:firstLine="1418"/>
              <w:jc w:val="both"/>
              <w:rPr>
                <w:rFonts w:ascii="Times New Roman" w:hAnsi="Times New Roman"/>
                <w:sz w:val="20"/>
              </w:rPr>
            </w:pPr>
            <w:r>
              <w:rPr>
                <w:rFonts w:ascii="Calibri Light;sans-serif" w:hAnsi="Calibri Light;sans-serif"/>
                <w:color w:val="000000"/>
                <w:sz w:val="20"/>
              </w:rPr>
              <w:t>Ausserordentliche Generalversammlungen können einberufen werden durch Beschluss der ordentlichen Generalversammlung, durch die Revisionsstelle oder den Verwaltungsrat oder</w:t>
            </w:r>
            <w:r>
              <w:rPr>
                <w:rFonts w:ascii="Times New Roman" w:hAnsi="Times New Roman"/>
                <w:color w:val="222222"/>
                <w:sz w:val="20"/>
              </w:rPr>
              <w:t xml:space="preserve"> </w:t>
            </w:r>
            <w:r>
              <w:rPr>
                <w:rFonts w:ascii="Calibri Light;sans-serif" w:hAnsi="Calibri Light;sans-serif"/>
                <w:color w:val="000000"/>
                <w:sz w:val="20"/>
              </w:rPr>
              <w:t>durch stimmberechtigte Aktionäre, sofern sie mindestens 5% des Aktienkapitals erreichen und die Folgendes einreichen: (a)(1) einen unterschriebenen Antrag dieser Aktionäre, welcher die Traktanden angibt, die auf die Traktandenliste gesetzt werden, (2) die entsprechenden Anträge der Aktionäre und (3) den Nachweis der erforderlichen Beteiligung dieser Aktionäre aufgrund des Aktienregisters und (b) alle anderen Informationen, die für eine Vollmacht nach den Regeln des Landes, in welchem die Aktien des Unternehmens hauptsächlich eingetragen sind, erforderlich wären.</w:t>
            </w:r>
            <w:r>
              <w:rPr>
                <w:rFonts w:ascii="Times New Roman" w:hAnsi="Times New Roman"/>
                <w:color w:val="000000"/>
                <w:sz w:val="20"/>
              </w:rPr>
              <w:t xml:space="preserve"> </w:t>
            </w:r>
          </w:p>
        </w:tc>
      </w:tr>
      <w:tr>
        <w:trPr/>
        <w:tc>
          <w:tcPr>
            <w:tcW w:w="3846" w:type="dxa"/>
            <w:tcBorders/>
            <w:tcMar>
              <w:top w:w="0" w:type="dxa"/>
              <w:left w:w="0" w:type="dxa"/>
              <w:bottom w:w="0" w:type="dxa"/>
              <w:right w:w="0" w:type="dxa"/>
            </w:tcMar>
            <w:vAlign w:val="center"/>
          </w:tcPr>
          <w:p>
            <w:pPr>
              <w:pStyle w:val="TableContents"/>
              <w:pBdr/>
              <w:bidi w:val="0"/>
              <w:spacing w:before="120" w:after="120"/>
              <w:ind w:left="0" w:right="0" w:hanging="1418"/>
              <w:jc w:val="both"/>
              <w:rPr>
                <w:rFonts w:ascii="Calibri Light;sans-serif" w:hAnsi="Calibri Light;sans-serif"/>
                <w:b/>
                <w:color w:val="000000"/>
                <w:sz w:val="20"/>
              </w:rPr>
            </w:pPr>
            <w:r>
              <w:rPr>
                <w:rFonts w:ascii="Calibri Light;sans-serif" w:hAnsi="Calibri Light;sans-serif"/>
                <w:b/>
                <w:color w:val="000000"/>
                <w:sz w:val="20"/>
              </w:rPr>
              <w:t>Article 12 Notice and Agenda of Shareholders' Meetings</w:t>
            </w:r>
          </w:p>
          <w:p>
            <w:pPr>
              <w:pStyle w:val="TableContents"/>
              <w:bidi w:val="0"/>
              <w:spacing w:before="0" w:after="120"/>
              <w:ind w:left="0" w:right="0" w:firstLine="1418"/>
              <w:jc w:val="left"/>
              <w:rPr>
                <w:rFonts w:ascii="Calibri Light;sans-serif" w:hAnsi="Calibri Light;sans-serif"/>
                <w:color w:val="000000"/>
                <w:sz w:val="20"/>
              </w:rPr>
            </w:pPr>
            <w:r>
              <w:rPr>
                <w:rFonts w:ascii="Calibri Light;sans-serif" w:hAnsi="Calibri Light;sans-serif"/>
                <w:color w:val="000000"/>
                <w:sz w:val="20"/>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 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5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12 Mitteilung und Traktanden der Generalversammlung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Mitteilung einer Generalversammlung erfolgt durch den Verwaltungsrat oder gegebenenfalls durch die Revisionsstelle, spätestens 20 Kalendertage vor dem Datum der Generalversammlung. Die Mitteilung der Generalversammlung erfolgt durch eine 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tc>
      </w:tr>
      <w:tr>
        <w:trPr/>
        <w:tc>
          <w:tcPr>
            <w:tcW w:w="3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convocation of an extraordinary general meeting may also be requested in</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Einberufung einer ausserordentlichen Generalversammlung kann auch von einem oder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19</w:t>
      </w:r>
    </w:p>
    <w:tbl>
      <w:tblPr>
        <w:tblW w:w="10205" w:type="dxa"/>
        <w:jc w:val="left"/>
        <w:tblInd w:w="0" w:type="dxa"/>
        <w:tblLayout w:type="fixed"/>
        <w:tblCellMar>
          <w:top w:w="28" w:type="dxa"/>
          <w:left w:w="28" w:type="dxa"/>
          <w:bottom w:w="28" w:type="dxa"/>
          <w:right w:w="28" w:type="dxa"/>
        </w:tblCellMar>
      </w:tblPr>
      <w:tblGrid>
        <w:gridCol w:w="4011"/>
        <w:gridCol w:w="251"/>
        <w:gridCol w:w="5943"/>
      </w:tblGrid>
      <w:tr>
        <w:trPr/>
        <w:tc>
          <w:tcPr>
            <w:tcW w:w="40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r>
      <w:tr>
        <w:trPr/>
        <w:tc>
          <w:tcPr>
            <w:tcW w:w="401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writing, indicating the agenda items and the proposals and, in case of elections, the names of the nominated candidates, by one or more shareholders together representing at least 5% of the share capital or the voting rights.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mehreren Aktionären, die zusammen mindestens 5% des Aktienkapitals oder der Stimmen vertreten, schriftlich unter Angabe des Verhandlungsgegenstandes und des Antrages, bei Wahlen der Namen der vorgeschlagenen Kandidaten, verlangt werden.</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state the matters on the agenda.</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setzt die Verhandlungsgegenstände auf die Traktandenliste.</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tc>
      </w:tr>
      <w:tr>
        <w:trPr/>
        <w:tc>
          <w:tcPr>
            <w:tcW w:w="40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Shareholders, together representing more than 0.5% of the share capital or the voting rights, may demand that an item be placed on the agenda. Such request must be made in writing at least 70 days prior to the meeting by indicating the agenda items and the proposals.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tc>
      </w:tr>
      <w:tr>
        <w:trPr/>
        <w:tc>
          <w:tcPr>
            <w:tcW w:w="40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94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Jeder Antrag auf Aufnahme eines Traktandums hat zu enthalten: (i) 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 Zusammenhang mit diesem Geschäft; und (vii) eine Stellungnahme zum fraglichen Punkt und, für Anträge, welche der Aktionärsinformation durch die Gesellschaft beigefügt werden sollen, jede andere Information, welche die</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20</w:t>
      </w:r>
    </w:p>
    <w:tbl>
      <w:tblPr>
        <w:tblW w:w="10205" w:type="dxa"/>
        <w:jc w:val="left"/>
        <w:tblInd w:w="0" w:type="dxa"/>
        <w:tblLayout w:type="fixed"/>
        <w:tblCellMar>
          <w:top w:w="28" w:type="dxa"/>
          <w:left w:w="28" w:type="dxa"/>
          <w:bottom w:w="28" w:type="dxa"/>
          <w:right w:w="28" w:type="dxa"/>
        </w:tblCellMar>
      </w:tblPr>
      <w:tblGrid>
        <w:gridCol w:w="3301"/>
        <w:gridCol w:w="1669"/>
        <w:gridCol w:w="5235"/>
      </w:tblGrid>
      <w:tr>
        <w:trPr/>
        <w:tc>
          <w:tcPr>
            <w:tcW w:w="33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5235"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other information required by Securities and Exchange Commission Rule "14a-8".</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Securities and Exchange Commission Rule "14a-8" verlangt.</w:t>
            </w:r>
          </w:p>
        </w:tc>
      </w:tr>
      <w:tr>
        <w:trPr/>
        <w:tc>
          <w:tcPr>
            <w:tcW w:w="33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addition, if the shareholder intends to solicit proxies from the shareholders of the Company, such shareholder shall notify the Company of this intent in accordance with Securities and Exchange Commission Rule "14a-4" and/or Rule "14a-8".</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2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tc>
      </w:tr>
      <w:tr>
        <w:trPr/>
        <w:tc>
          <w:tcPr>
            <w:tcW w:w="33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2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An der Generalversammlung darf kein Beschluss über ein Traktandum getroffen werden, über den nicht mit entsprechender Vorlaufzeit informiert worden ist. Anträge, die während der Generalversammlung gestellt werden, führen zu (i) einer ausserordentlichen Generalversammlung oder (ii) einer speziellen Untersuchung gemäss Artikel 697a OR und unterliegen nicht der hierin geforderten Voraussetzung der rechtzeitigen Information.</w:t>
            </w:r>
          </w:p>
        </w:tc>
      </w:tr>
      <w:tr>
        <w:trPr/>
        <w:tc>
          <w:tcPr>
            <w:tcW w:w="33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No advance notice is required to propose motions on duly notified agenda items and to debate items without passing resolutions.</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2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Zur Stellung von Anträgen im Rahmen der Verhandlungsgegenstände und zu Verhandlungen ohne Beschlussfassung bedarf es keiner vorherigen Ankündigung.</w:t>
            </w:r>
          </w:p>
        </w:tc>
      </w:tr>
      <w:tr>
        <w:trPr/>
        <w:tc>
          <w:tcPr>
            <w:tcW w:w="330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13 Documentation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235"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13 Unterlagen</w:t>
            </w:r>
          </w:p>
          <w:p>
            <w:pPr>
              <w:pStyle w:val="TableContents"/>
              <w:bidi w:val="0"/>
              <w:spacing w:before="0" w:after="120"/>
              <w:ind w:left="0" w:right="0" w:firstLine="1418"/>
              <w:jc w:val="left"/>
              <w:rPr>
                <w:rFonts w:ascii="Calibri Light;sans-serif" w:hAnsi="Calibri Light;sans-serif"/>
                <w:color w:val="000000"/>
                <w:sz w:val="20"/>
              </w:rPr>
            </w:pPr>
            <w:r>
              <w:rPr>
                <w:rFonts w:ascii="Calibri Light;sans-serif" w:hAnsi="Calibri Light;sans-serif"/>
                <w:color w:val="000000"/>
                <w:sz w:val="20"/>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tc>
      </w:tr>
      <w:tr>
        <w:trPr/>
        <w:tc>
          <w:tcPr>
            <w:tcW w:w="3301" w:type="dxa"/>
            <w:tcBorders/>
            <w:tcMar>
              <w:top w:w="0" w:type="dxa"/>
              <w:left w:w="0" w:type="dxa"/>
              <w:bottom w:w="0" w:type="dxa"/>
              <w:right w:w="0" w:type="dxa"/>
            </w:tcMar>
            <w:vAlign w:val="center"/>
          </w:tcPr>
          <w:p>
            <w:pPr>
              <w:pStyle w:val="TableContents"/>
              <w:pBdr/>
              <w:bidi w:val="0"/>
              <w:spacing w:before="120" w:after="120"/>
              <w:ind w:left="0" w:right="0" w:hanging="1418"/>
              <w:jc w:val="both"/>
              <w:rPr>
                <w:rFonts w:ascii="Calibri Light;sans-serif" w:hAnsi="Calibri Light;sans-serif"/>
                <w:b/>
                <w:color w:val="000000"/>
                <w:sz w:val="20"/>
              </w:rPr>
            </w:pPr>
            <w:r>
              <w:rPr>
                <w:rFonts w:ascii="Calibri Light;sans-serif" w:hAnsi="Calibri Light;sans-serif"/>
                <w:b/>
                <w:color w:val="000000"/>
                <w:sz w:val="20"/>
              </w:rPr>
              <w:t>Article 14 Form of the General Meeting</w:t>
            </w:r>
          </w:p>
        </w:tc>
        <w:tc>
          <w:tcPr>
            <w:tcW w:w="1669" w:type="dxa"/>
            <w:tcBorders/>
            <w:tcMar>
              <w:top w:w="0" w:type="dxa"/>
              <w:left w:w="0" w:type="dxa"/>
              <w:bottom w:w="0" w:type="dxa"/>
              <w:right w:w="0" w:type="dxa"/>
            </w:tcMar>
            <w:vAlign w:val="center"/>
          </w:tcPr>
          <w:p>
            <w:pPr>
              <w:pStyle w:val="Heading1"/>
              <w:bidi w:val="0"/>
              <w:spacing w:before="120" w:after="120"/>
              <w:ind w:left="0" w:right="0" w:firstLine="1418"/>
              <w:jc w:val="left"/>
              <w:rPr/>
            </w:pPr>
            <w:r>
              <w:rPr/>
              <w:t> </w:t>
            </w:r>
          </w:p>
        </w:tc>
        <w:tc>
          <w:tcPr>
            <w:tcW w:w="5235" w:type="dxa"/>
            <w:tcBorders/>
            <w:tcMar>
              <w:top w:w="0" w:type="dxa"/>
              <w:left w:w="0" w:type="dxa"/>
              <w:bottom w:w="0" w:type="dxa"/>
              <w:right w:w="0" w:type="dxa"/>
            </w:tcMar>
            <w:vAlign w:val="center"/>
          </w:tcPr>
          <w:p>
            <w:pPr>
              <w:pStyle w:val="TableContents"/>
              <w:pBdr/>
              <w:bidi w:val="0"/>
              <w:spacing w:before="120" w:after="120"/>
              <w:ind w:left="0" w:right="0" w:hanging="1418"/>
              <w:jc w:val="both"/>
              <w:rPr>
                <w:rFonts w:ascii="Calibri Light;sans-serif" w:hAnsi="Calibri Light;sans-serif"/>
                <w:b/>
                <w:color w:val="000000"/>
                <w:sz w:val="20"/>
              </w:rPr>
            </w:pPr>
            <w:r>
              <w:rPr>
                <w:rFonts w:ascii="Calibri Light;sans-serif" w:hAnsi="Calibri Light;sans-serif"/>
                <w:b/>
                <w:color w:val="000000"/>
                <w:sz w:val="20"/>
              </w:rPr>
              <w:t>Artikel 14 Form der Generalversammlung</w:t>
            </w:r>
          </w:p>
        </w:tc>
      </w:tr>
      <w:tr>
        <w:trPr/>
        <w:tc>
          <w:tcPr>
            <w:tcW w:w="33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determines the location of the General Meeting. It may be abroad.</w:t>
            </w:r>
          </w:p>
        </w:tc>
        <w:tc>
          <w:tcPr>
            <w:tcW w:w="1669" w:type="dxa"/>
            <w:tcBorders/>
            <w:tcMar>
              <w:top w:w="0" w:type="dxa"/>
              <w:left w:w="0" w:type="dxa"/>
              <w:bottom w:w="0" w:type="dxa"/>
              <w:right w:w="0" w:type="dxa"/>
            </w:tcMar>
            <w:vAlign w:val="center"/>
          </w:tcPr>
          <w:p>
            <w:pPr>
              <w:pStyle w:val="Heading1"/>
              <w:bidi w:val="0"/>
              <w:spacing w:before="120" w:after="120"/>
              <w:jc w:val="left"/>
              <w:rPr/>
            </w:pPr>
            <w:r>
              <w:rPr/>
              <w:t> </w:t>
            </w:r>
          </w:p>
        </w:tc>
        <w:tc>
          <w:tcPr>
            <w:tcW w:w="52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bestimmt den Ort der Generalversammlung. Er kann im Ausland liegen.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21</w:t>
      </w:r>
    </w:p>
    <w:tbl>
      <w:tblPr>
        <w:tblW w:w="10205" w:type="dxa"/>
        <w:jc w:val="left"/>
        <w:tblInd w:w="0" w:type="dxa"/>
        <w:tblLayout w:type="fixed"/>
        <w:tblCellMar>
          <w:top w:w="28" w:type="dxa"/>
          <w:left w:w="28" w:type="dxa"/>
          <w:bottom w:w="28" w:type="dxa"/>
          <w:right w:w="28" w:type="dxa"/>
        </w:tblCellMar>
      </w:tblPr>
      <w:tblGrid>
        <w:gridCol w:w="4401"/>
        <w:gridCol w:w="251"/>
        <w:gridCol w:w="5553"/>
      </w:tblGrid>
      <w:tr>
        <w:trPr/>
        <w:tc>
          <w:tcPr>
            <w:tcW w:w="44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3" w:type="dxa"/>
            <w:tcBorders/>
            <w:vAlign w:val="center"/>
          </w:tcPr>
          <w:p>
            <w:pPr>
              <w:pStyle w:val="TableContents"/>
              <w:bidi w:val="0"/>
              <w:spacing w:before="0" w:after="283"/>
              <w:jc w:val="left"/>
              <w:rPr>
                <w:sz w:val="4"/>
                <w:szCs w:val="4"/>
              </w:rPr>
            </w:pPr>
            <w:r>
              <w:rPr>
                <w:sz w:val="4"/>
                <w:szCs w:val="4"/>
              </w:rPr>
            </w:r>
          </w:p>
        </w:tc>
      </w:tr>
      <w:tr>
        <w:trPr/>
        <w:tc>
          <w:tcPr>
            <w:tcW w:w="44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provide that shareholders who are not present at the venue of the General Meeting may exercise their rights electronically (hybrid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5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kann vorsehen, dass Aktionäre, die nicht am Ort der Generalversammlung anwesend sind, ihre Rechte auf elektronischem Weg ausüben können (hybride Generalversammlung).</w:t>
            </w:r>
          </w:p>
        </w:tc>
      </w:tr>
      <w:tr>
        <w:trPr/>
        <w:tc>
          <w:tcPr>
            <w:tcW w:w="440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 General Meeting may be held by electronic means without a meeting place (Virtual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5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Eine Generalversammlung kann mit elektronischen Mitteln ohne Tagungsort durchgeführt werden (virtuelle Generalversammlung).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22</w:t>
      </w:r>
    </w:p>
    <w:tbl>
      <w:tblPr>
        <w:tblW w:w="10205" w:type="dxa"/>
        <w:jc w:val="left"/>
        <w:tblInd w:w="0" w:type="dxa"/>
        <w:tblLayout w:type="fixed"/>
        <w:tblCellMar>
          <w:top w:w="28" w:type="dxa"/>
          <w:left w:w="28" w:type="dxa"/>
          <w:bottom w:w="28" w:type="dxa"/>
          <w:right w:w="28" w:type="dxa"/>
        </w:tblCellMar>
      </w:tblPr>
      <w:tblGrid>
        <w:gridCol w:w="3616"/>
        <w:gridCol w:w="1608"/>
        <w:gridCol w:w="4981"/>
      </w:tblGrid>
      <w:tr>
        <w:trPr/>
        <w:tc>
          <w:tcPr>
            <w:tcW w:w="361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regulates the use of electronic means. It shall ensure that: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identity of the participants is established;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votes at the General Meeting are transmitted directly;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participant can submit motions and take part in the discussion;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voting results cannot be falsified.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Der Verwaltungsrat regelt die Verwendung elektronischer Mittel. Er stellt sicher, dass: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Identität der Teilnehmer feststeht;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Voten in der Generalversammlung unmittelbar übertragen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jeder Teilnehmer Anträge stellen und sich an der Diskussion beteiligen kann;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das Abstimmungsergebnis nicht verfälscht werden kann.</w:t>
            </w:r>
          </w:p>
        </w:tc>
      </w:tr>
      <w:tr>
        <w:trPr/>
        <w:tc>
          <w:tcPr>
            <w:tcW w:w="361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technical problems occur during a Virtual General Meeting so that the General Meeting cannot be held properly, it must be repeated. Resolutions passed by the General Meeting before the occurrence of the technical problems shall remain valid.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1" w:type="dxa"/>
            <w:tcBorders/>
            <w:tcMar>
              <w:top w:w="0" w:type="dxa"/>
              <w:left w:w="0" w:type="dxa"/>
              <w:bottom w:w="0" w:type="dxa"/>
              <w:right w:w="0" w:type="dxa"/>
            </w:tcMar>
            <w:vAlign w:val="center"/>
          </w:tcPr>
          <w:p>
            <w:pPr>
              <w:pStyle w:val="TableContents"/>
              <w:bidi w:val="0"/>
              <w:spacing w:before="12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Treten während einer Generalversammlung mit elektronischen Mitteln technische Probleme auf, sodass die Generalversammlung nicht ordnungsgemäss durchgeführt werden kann, so muss sie wiederholt werden. Beschlüsse, welche die Generalversammlung vor dem Auftreten der technischen Probleme gefasst hat, bleiben gültig.</w:t>
            </w:r>
          </w:p>
        </w:tc>
      </w:tr>
      <w:tr>
        <w:trPr/>
        <w:tc>
          <w:tcPr>
            <w:tcW w:w="361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15 Meeting of All Shareholders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8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15 Universalversammlung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tc>
      </w:tr>
      <w:tr>
        <w:trPr/>
        <w:tc>
          <w:tcPr>
            <w:tcW w:w="361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16 Chairman, Secretary, Scrutineers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Chairman of the Board of Directors shall preside over the General Meeting. In his absence, a member of the Board of Directors or another Chairman of the Meeting designated by the General Meeting shall preside.</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8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16 Vorsitz, Protokollführer, Stimmenzähler</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Den Vorsitz der Generalversammlung führt der Präsident, bei dessen Verhinderung ein anderes Mitglied des Verwaltungsrates oder ein anderer von der Generalversammlung gewählter Tagespräsident.</w:t>
            </w:r>
          </w:p>
        </w:tc>
      </w:tr>
      <w:tr>
        <w:trPr/>
        <w:tc>
          <w:tcPr>
            <w:tcW w:w="361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Chairman of the Meeting shall designate a Secretary and the scrutineers who need not be shareholders.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Vorsitzende bezeichnet den Protokollführer und die Stimmenzähler, die nicht Aktionäre zu sein brauchen.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23</w:t>
      </w:r>
    </w:p>
    <w:tbl>
      <w:tblPr>
        <w:tblW w:w="10205" w:type="dxa"/>
        <w:jc w:val="left"/>
        <w:tblInd w:w="0" w:type="dxa"/>
        <w:tblLayout w:type="fixed"/>
        <w:tblCellMar>
          <w:top w:w="28" w:type="dxa"/>
          <w:left w:w="28" w:type="dxa"/>
          <w:bottom w:w="28" w:type="dxa"/>
          <w:right w:w="28" w:type="dxa"/>
        </w:tblCellMar>
      </w:tblPr>
      <w:tblGrid>
        <w:gridCol w:w="3161"/>
        <w:gridCol w:w="1608"/>
        <w:gridCol w:w="5436"/>
      </w:tblGrid>
      <w:tr>
        <w:trPr/>
        <w:tc>
          <w:tcPr>
            <w:tcW w:w="316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436"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Chairman shall have all powers and authority necessary to ensure the orderly conduct of the General Meeting.</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Vorsitzende hat sämtliche Leitungsbefugnisse, die für die ordnungsgemässe Durchführung der Generalversammlung nötig sind.</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17 Minutes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17 Protokoll</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shareholders are entitled to inspect the minutes.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Aktionäre sind berechtigt, das Protokoll einzusehen.</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18 Right to Vote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Each share entitles to one vote.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Each shareholder may be represented at a General Meeting by any person who is so authorized by a written proxy. A proxy need not be a shareholder.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18 Stimmrecht</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Jede Aktie berechtigt zu einer Stimme.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Jeder Aktionär kann sich in der Generalversammlung aufgrund einer schriftlichen Vollmacht durch eine andere handlungsfähige Person vertreten lassen, die nicht Aktionär zu sein braucht.</w:t>
            </w:r>
          </w:p>
        </w:tc>
      </w:tr>
      <w:tr>
        <w:trPr/>
        <w:tc>
          <w:tcPr>
            <w:tcW w:w="316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Each shareholder may be represented by the Independent Proxy. The requirements regarding proxies and instructions are determined by the Board of Directors.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Jeder Aktionär kann sich vom unabhängigen Stimmrechtsvertreter vertreten lassen. Die Anforderungen an Vollmachten und Weisungen werden vom Verwaltungsrat festgelegt.</w:t>
            </w:r>
          </w:p>
        </w:tc>
      </w:tr>
      <w:tr>
        <w:trPr/>
        <w:tc>
          <w:tcPr>
            <w:tcW w:w="316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19 Resolutions and Elections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All voting and elections are held openly or electronically. A written voting or election shall be held if instructed so by the Chairman or if decided by the General Meeting.</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43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19 Beschlussfassung und Wahlen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Abstimmungen und Wahlen erfolgen offen oder elektronisch. Eine schriftliche Abstimmung oder Wahl wird durchgeführt, wenn dies vom Vorsitzenden angeordnet oder von der Generalversammlung beschlossen wird.</w:t>
            </w:r>
          </w:p>
        </w:tc>
      </w:tr>
      <w:tr>
        <w:trPr/>
        <w:tc>
          <w:tcPr>
            <w:tcW w:w="3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General Meeting shall pass its resolutions and carry out its elections with the simple majority of the votes cast regardless of abstentions and empty or invalid votes, unless law or articles of association state otherwise. In the event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4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24</w:t>
      </w:r>
    </w:p>
    <w:tbl>
      <w:tblPr>
        <w:tblW w:w="10205" w:type="dxa"/>
        <w:jc w:val="left"/>
        <w:tblInd w:w="0" w:type="dxa"/>
        <w:tblLayout w:type="fixed"/>
        <w:tblCellMar>
          <w:top w:w="28" w:type="dxa"/>
          <w:left w:w="28" w:type="dxa"/>
          <w:bottom w:w="28" w:type="dxa"/>
          <w:right w:w="28" w:type="dxa"/>
        </w:tblCellMar>
      </w:tblPr>
      <w:tblGrid>
        <w:gridCol w:w="4539"/>
        <w:gridCol w:w="251"/>
        <w:gridCol w:w="5415"/>
      </w:tblGrid>
      <w:tr>
        <w:trPr/>
        <w:tc>
          <w:tcPr>
            <w:tcW w:w="45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15" w:type="dxa"/>
            <w:tcBorders/>
            <w:vAlign w:val="center"/>
          </w:tcPr>
          <w:p>
            <w:pPr>
              <w:pStyle w:val="TableContents"/>
              <w:bidi w:val="0"/>
              <w:spacing w:before="0" w:after="283"/>
              <w:jc w:val="left"/>
              <w:rPr>
                <w:sz w:val="4"/>
                <w:szCs w:val="4"/>
              </w:rPr>
            </w:pPr>
            <w:r>
              <w:rPr>
                <w:sz w:val="4"/>
                <w:szCs w:val="4"/>
              </w:rPr>
            </w:r>
          </w:p>
        </w:tc>
      </w:tr>
      <w:tr>
        <w:trPr/>
        <w:tc>
          <w:tcPr>
            <w:tcW w:w="453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of tie votes, the request shall be refused. The Chairman shall not have a casting vote.</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5"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Stimmengleichheit gilt ein Antrag als abgelehnt. Dem Vorsitzenden steht kein Stichentscheid zu.</w:t>
            </w:r>
          </w:p>
        </w:tc>
      </w:tr>
      <w:tr>
        <w:trPr/>
        <w:tc>
          <w:tcPr>
            <w:tcW w:w="4539"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A resolution of the General Meeting passed by at least two thirds of the represented share votes and the absolute majority of the represented shares par value is required for: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cases listed in article 704 para. 1 CO:</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amendment of the purpose of the Company;</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consolidation of shares, insofar as this does not require the consent of all shareholders concerned;</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increase of the share capital against contributions in kind or by offsetting against a receivable and the granting of special benefits;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limitation or withdrawal of subscription rights;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conditional capital, the creation of reserve capital pursuant to article 12 of the Swiss Banking Act or the introduction of a capital band;</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conversion of participation certificates into shares;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restriction of the transferability of registered shares;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creation of shares with privileged voting rights;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change of currency of the share capital;</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the casting vote of the chairman in the general assembly;</w:t>
            </w:r>
          </w:p>
          <w:p>
            <w:pPr>
              <w:pStyle w:val="TableContents"/>
              <w:bidi w:val="0"/>
              <w:spacing w:before="0" w:after="0"/>
              <w:ind w:left="619" w:right="0" w:hanging="0"/>
              <w:jc w:val="both"/>
              <w:rPr>
                <w:rFonts w:ascii="Times New Roman" w:hAnsi="Times New Roman"/>
                <w:color w:val="000000"/>
                <w:sz w:val="20"/>
              </w:rPr>
            </w:pPr>
            <w:r>
              <w:rPr>
                <w:rFonts w:ascii="Times New Roman" w:hAnsi="Times New Roman"/>
                <w:color w:val="000000"/>
                <w:sz w:val="20"/>
              </w:rPr>
              <w:t>xi.</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the introduction of a provision in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15"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Ein Beschluss der Generalversammlung, durch mindestens zwei Drittel der vertretenen Aktienstimmen und die absolute Mehrheit der vertretenen Aktiennennwerte, ist erforderlich für:</w:t>
            </w:r>
            <w:r>
              <w:rPr>
                <w:rFonts w:ascii="Times New Roman" w:hAnsi="Times New Roman"/>
                <w:color w:val="000000"/>
                <w:sz w:val="20"/>
              </w:rPr>
              <w:t xml:space="preserv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Fälle gemäss Artikel 704 Abs. 1 OR:</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120"/>
              <w:jc w:val="both"/>
              <w:rPr/>
            </w:pPr>
            <w:r>
              <w:rPr>
                <w:rFonts w:ascii="Calibri Light;sans-serif" w:hAnsi="Calibri Light;sans-serif"/>
                <w:color w:val="000000"/>
                <w:sz w:val="20"/>
              </w:rPr>
              <w:t xml:space="preserve">die Änderung des Gesellschaftszweckes; </w:t>
              <w:br/>
            </w:r>
            <w:r>
              <w:rPr>
                <w:color w:val="000000"/>
              </w:rPr>
              <w:t> </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Zusammenlegung von Aktien, soweit dafür nicht die Zustimmung aller betroffenen Aktionäre erforderlich ist;</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Kapitalerhöhung aus Eigenkapital, gegen Sacheinlagen oder durch Verrechnung mit einer Forderung und die Gewährung von besonderen Vorteilen;</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Einschränkung oder Aufhebung des Bezugsrechts;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eines bedingten Kapitals, die Schaffung von Vorratskapital gemäss Artikel 12 des Bankengesetzes oder die Einführung eines Kapitalbands;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Umwandlung von Partizipationsscheinen in Aktien;</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Beschränkung der Übertragbarkeit von Namenaktien;</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viii.</w:t>
            </w:r>
          </w:p>
          <w:p>
            <w:pPr>
              <w:pStyle w:val="TableContents"/>
              <w:bidi w:val="0"/>
              <w:spacing w:before="0" w:after="120"/>
              <w:jc w:val="both"/>
              <w:rPr/>
            </w:pPr>
            <w:r>
              <w:rPr>
                <w:rFonts w:ascii="Calibri Light;sans-serif" w:hAnsi="Calibri Light;sans-serif"/>
                <w:color w:val="000000"/>
                <w:sz w:val="20"/>
              </w:rPr>
              <w:t xml:space="preserve">die Einführung von Stimmrechtsaktien; </w:t>
              <w:br/>
            </w:r>
            <w:r>
              <w:rPr>
                <w:color w:val="000000"/>
              </w:rPr>
              <w:t> </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ix.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Wechsel der Währung des Aktienkapitals;</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x.</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des Stichentscheids des Vorsitzenden in der Generalversammlung;</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xi.</w:t>
            </w:r>
          </w:p>
          <w:p>
            <w:pPr>
              <w:pStyle w:val="TableContents"/>
              <w:bidi w:val="0"/>
              <w:spacing w:before="0" w:after="120"/>
              <w:jc w:val="both"/>
              <w:rPr/>
            </w:pPr>
            <w:r>
              <w:rPr>
                <w:rFonts w:ascii="Calibri Light;sans-serif" w:hAnsi="Calibri Light;sans-serif"/>
                <w:color w:val="000000"/>
                <w:sz w:val="20"/>
              </w:rPr>
              <w:t xml:space="preserve">eine Statutenbestimmung zur Durchführung der Generalversammlung im Ausland; </w:t>
              <w:br/>
            </w:r>
            <w:r>
              <w:rPr>
                <w:color w:val="000000"/>
              </w:rPr>
              <w:t> </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xii.</w:t>
            </w:r>
          </w:p>
          <w:p>
            <w:pPr>
              <w:pStyle w:val="TableContents"/>
              <w:bidi w:val="0"/>
              <w:spacing w:before="0" w:after="120"/>
              <w:jc w:val="both"/>
              <w:rPr/>
            </w:pPr>
            <w:r>
              <w:rPr>
                <w:rFonts w:ascii="Calibri Light;sans-serif" w:hAnsi="Calibri Light;sans-serif"/>
                <w:color w:val="000000"/>
                <w:sz w:val="20"/>
              </w:rPr>
              <w:t xml:space="preserve">die Verletzung des Sitzes der Gesellschaft; </w:t>
              <w:br/>
            </w:r>
            <w:r>
              <w:rPr>
                <w:color w:val="000000"/>
              </w:rPr>
              <w:t> </w:t>
            </w:r>
          </w:p>
          <w:p>
            <w:pPr>
              <w:pStyle w:val="TableContents"/>
              <w:bidi w:val="0"/>
              <w:spacing w:before="0" w:after="120"/>
              <w:ind w:left="619" w:right="0" w:hanging="0"/>
              <w:jc w:val="both"/>
              <w:rPr>
                <w:rFonts w:ascii="Times New Roman" w:hAnsi="Times New Roman"/>
                <w:color w:val="000000"/>
                <w:sz w:val="20"/>
              </w:rPr>
            </w:pPr>
            <w:r>
              <w:rPr>
                <w:rFonts w:ascii="Times New Roman" w:hAnsi="Times New Roman"/>
                <w:color w:val="000000"/>
                <w:sz w:val="20"/>
              </w:rPr>
              <w:t>xiii.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Einführung einer statutarischen Schiedsklausel;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25</w:t>
      </w:r>
    </w:p>
    <w:tbl>
      <w:tblPr>
        <w:tblW w:w="10205" w:type="dxa"/>
        <w:jc w:val="left"/>
        <w:tblInd w:w="0" w:type="dxa"/>
        <w:tblLayout w:type="fixed"/>
        <w:tblCellMar>
          <w:top w:w="28" w:type="dxa"/>
          <w:left w:w="28" w:type="dxa"/>
          <w:bottom w:w="28" w:type="dxa"/>
          <w:right w:w="28" w:type="dxa"/>
        </w:tblCellMar>
      </w:tblPr>
      <w:tblGrid>
        <w:gridCol w:w="4935"/>
        <w:gridCol w:w="938"/>
        <w:gridCol w:w="4332"/>
      </w:tblGrid>
      <w:tr>
        <w:trPr/>
        <w:tc>
          <w:tcPr>
            <w:tcW w:w="4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2" w:type="dxa"/>
            <w:tcBorders/>
            <w:vAlign w:val="center"/>
          </w:tcPr>
          <w:p>
            <w:pPr>
              <w:pStyle w:val="TableContents"/>
              <w:bidi w:val="0"/>
              <w:spacing w:before="0" w:after="283"/>
              <w:ind w:left="0" w:right="0" w:firstLine="792"/>
              <w:jc w:val="left"/>
              <w:rPr>
                <w:sz w:val="4"/>
                <w:szCs w:val="4"/>
              </w:rPr>
            </w:pPr>
            <w:r>
              <w:rPr>
                <w:sz w:val="4"/>
                <w:szCs w:val="4"/>
              </w:rPr>
            </w:r>
          </w:p>
        </w:tc>
      </w:tr>
      <w:tr>
        <w:trPr/>
        <w:tc>
          <w:tcPr>
            <w:tcW w:w="4935" w:type="dxa"/>
            <w:tcBorders/>
            <w:tcMar>
              <w:top w:w="0" w:type="dxa"/>
              <w:left w:w="0" w:type="dxa"/>
              <w:bottom w:w="0" w:type="dxa"/>
              <w:right w:w="0" w:type="dxa"/>
            </w:tcMar>
            <w:vAlign w:val="center"/>
          </w:tcPr>
          <w:p>
            <w:pPr>
              <w:pStyle w:val="TableContents"/>
              <w:bidi w:val="0"/>
              <w:spacing w:before="0" w:after="120"/>
              <w:ind w:left="619" w:right="0" w:firstLine="792"/>
              <w:jc w:val="both"/>
              <w:rPr>
                <w:rFonts w:ascii="Calibri Light;sans-serif" w:hAnsi="Calibri Light;sans-serif"/>
                <w:color w:val="000000"/>
                <w:sz w:val="20"/>
              </w:rPr>
            </w:pPr>
            <w:r>
              <w:rPr>
                <w:rFonts w:ascii="Calibri Light;sans-serif" w:hAnsi="Calibri Light;sans-serif"/>
                <w:color w:val="000000"/>
                <w:sz w:val="20"/>
              </w:rPr>
              <w:t>the articles of association to hold General Meetings abroad;</w:t>
            </w:r>
          </w:p>
          <w:p>
            <w:pPr>
              <w:pStyle w:val="TableContents"/>
              <w:bidi w:val="0"/>
              <w:spacing w:before="0" w:after="120"/>
              <w:ind w:left="619" w:right="0" w:firstLine="792"/>
              <w:jc w:val="both"/>
              <w:rPr>
                <w:rFonts w:ascii="Times New Roman" w:hAnsi="Times New Roman"/>
                <w:color w:val="000000"/>
                <w:sz w:val="20"/>
              </w:rPr>
            </w:pPr>
            <w:r>
              <w:rPr>
                <w:rFonts w:ascii="Times New Roman" w:hAnsi="Times New Roman"/>
                <w:color w:val="000000"/>
                <w:sz w:val="20"/>
              </w:rPr>
              <w:t>xii.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change of the registered office of the Company;</w:t>
            </w:r>
          </w:p>
          <w:p>
            <w:pPr>
              <w:pStyle w:val="TableContents"/>
              <w:bidi w:val="0"/>
              <w:spacing w:before="0" w:after="120"/>
              <w:ind w:left="619" w:right="0" w:firstLine="792"/>
              <w:jc w:val="both"/>
              <w:rPr>
                <w:rFonts w:ascii="Times New Roman" w:hAnsi="Times New Roman"/>
                <w:color w:val="000000"/>
                <w:sz w:val="20"/>
              </w:rPr>
            </w:pPr>
            <w:r>
              <w:rPr>
                <w:rFonts w:ascii="Times New Roman" w:hAnsi="Times New Roman"/>
                <w:color w:val="000000"/>
                <w:sz w:val="20"/>
              </w:rPr>
              <w:t>xiii.</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introduction of an arbitration clause in the articles of association;</w:t>
            </w:r>
          </w:p>
          <w:p>
            <w:pPr>
              <w:pStyle w:val="TableContents"/>
              <w:bidi w:val="0"/>
              <w:spacing w:before="0" w:after="120"/>
              <w:ind w:left="619" w:right="0" w:firstLine="792"/>
              <w:jc w:val="both"/>
              <w:rPr>
                <w:rFonts w:ascii="Times New Roman" w:hAnsi="Times New Roman"/>
                <w:color w:val="000000"/>
                <w:sz w:val="20"/>
              </w:rPr>
            </w:pPr>
            <w:r>
              <w:rPr>
                <w:rFonts w:ascii="Times New Roman" w:hAnsi="Times New Roman"/>
                <w:color w:val="000000"/>
                <w:sz w:val="20"/>
              </w:rPr>
              <w:t>xiv.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delisting of the shares; or</w:t>
            </w:r>
          </w:p>
          <w:p>
            <w:pPr>
              <w:pStyle w:val="TableContents"/>
              <w:bidi w:val="0"/>
              <w:spacing w:before="0" w:after="120"/>
              <w:ind w:left="619" w:right="0" w:firstLine="792"/>
              <w:jc w:val="both"/>
              <w:rPr>
                <w:rFonts w:ascii="Times New Roman" w:hAnsi="Times New Roman"/>
                <w:color w:val="000000"/>
                <w:sz w:val="20"/>
              </w:rPr>
            </w:pPr>
            <w:r>
              <w:rPr>
                <w:rFonts w:ascii="Times New Roman" w:hAnsi="Times New Roman"/>
                <w:color w:val="000000"/>
                <w:sz w:val="20"/>
              </w:rPr>
              <w:t>xv.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dissolution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the merger, de-merger or conversion of the Company (subject to mandatory law);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 xml:space="preserve">the alleviating or withdrawal of restrictions upon the transfer of registered shares;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conversion of registered shares into bearer shares and vice versa;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amendment or elimination of the provisions of articles 4 and 31 of the articles of association as well as those contained in this article 19.</w:t>
            </w:r>
          </w:p>
        </w:tc>
        <w:tc>
          <w:tcPr>
            <w:tcW w:w="938" w:type="dxa"/>
            <w:tcBorders/>
            <w:tcMar>
              <w:top w:w="0" w:type="dxa"/>
              <w:left w:w="0" w:type="dxa"/>
              <w:bottom w:w="0" w:type="dxa"/>
              <w:right w:w="0" w:type="dxa"/>
            </w:tcMar>
            <w:vAlign w:val="center"/>
          </w:tcPr>
          <w:p>
            <w:pPr>
              <w:pStyle w:val="TableContents"/>
              <w:bidi w:val="0"/>
              <w:spacing w:before="0" w:after="283"/>
              <w:ind w:left="0" w:right="0" w:firstLine="792"/>
              <w:jc w:val="left"/>
              <w:rPr/>
            </w:pPr>
            <w:r>
              <w:rPr/>
              <w:t> </w:t>
            </w:r>
          </w:p>
        </w:tc>
        <w:tc>
          <w:tcPr>
            <w:tcW w:w="4332" w:type="dxa"/>
            <w:tcBorders/>
            <w:tcMar>
              <w:top w:w="0" w:type="dxa"/>
              <w:left w:w="0" w:type="dxa"/>
              <w:bottom w:w="0" w:type="dxa"/>
              <w:right w:w="0" w:type="dxa"/>
            </w:tcMar>
            <w:vAlign w:val="center"/>
          </w:tcPr>
          <w:p>
            <w:pPr>
              <w:pStyle w:val="TableContents"/>
              <w:bidi w:val="0"/>
              <w:spacing w:before="120" w:after="120"/>
              <w:ind w:left="619" w:right="0" w:firstLine="792"/>
              <w:jc w:val="both"/>
              <w:rPr>
                <w:rFonts w:ascii="Times New Roman" w:hAnsi="Times New Roman"/>
                <w:color w:val="000000"/>
                <w:sz w:val="20"/>
              </w:rPr>
            </w:pPr>
            <w:r>
              <w:rPr>
                <w:rFonts w:ascii="Times New Roman" w:hAnsi="Times New Roman"/>
                <w:color w:val="000000"/>
                <w:sz w:val="20"/>
              </w:rPr>
              <w:t>xiv.</w:t>
            </w:r>
          </w:p>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die Dekotierung der Beteiligungspapiere; oder</w:t>
            </w:r>
          </w:p>
          <w:p>
            <w:pPr>
              <w:pStyle w:val="TableContents"/>
              <w:bidi w:val="0"/>
              <w:spacing w:before="0" w:after="120"/>
              <w:ind w:left="619" w:right="0" w:firstLine="792"/>
              <w:jc w:val="both"/>
              <w:rPr>
                <w:rFonts w:ascii="Times New Roman" w:hAnsi="Times New Roman"/>
                <w:color w:val="000000"/>
                <w:sz w:val="20"/>
              </w:rPr>
            </w:pPr>
            <w:r>
              <w:rPr>
                <w:rFonts w:ascii="Times New Roman" w:hAnsi="Times New Roman"/>
                <w:color w:val="000000"/>
                <w:sz w:val="20"/>
              </w:rPr>
              <w:t>xv.</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Auflösung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Fusion, Spaltung oder Umwandlung der Gesellschaft (vorbehalten zwingender gesetzlicher Bestimmungen);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Erleichterung oder den Entzug der Beschränkungen betreffend die Übertragung von Namenaktien;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Umwandlung von Namenaktien in Inhaberaktien und umgekehrt;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die Änderung oder Aufhebung der Bestimmungen der Artikel 4 und 31 der Statuten sowie dieses Artikels 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26</w:t>
      </w:r>
    </w:p>
    <w:tbl>
      <w:tblPr>
        <w:tblW w:w="10205" w:type="dxa"/>
        <w:jc w:val="left"/>
        <w:tblInd w:w="0" w:type="dxa"/>
        <w:tblLayout w:type="fixed"/>
        <w:tblCellMar>
          <w:top w:w="28" w:type="dxa"/>
          <w:left w:w="28" w:type="dxa"/>
          <w:bottom w:w="28" w:type="dxa"/>
          <w:right w:w="28" w:type="dxa"/>
        </w:tblCellMar>
      </w:tblPr>
      <w:tblGrid>
        <w:gridCol w:w="3612"/>
        <w:gridCol w:w="1608"/>
        <w:gridCol w:w="4985"/>
      </w:tblGrid>
      <w:tr>
        <w:trPr/>
        <w:tc>
          <w:tcPr>
            <w:tcW w:w="361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3612"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20 Votes on Compensation</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year, the General Meeting approves in one or separate resolutions the total maximum amounts pursuant to articles 34 and 35 of the articles of association for: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the non-performance-related compensation of the Board of Directors for the next term of office;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possible additional compensation of the Board of Directors for the preceding business year;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non-performance-related compensation of the Executive Committee for the following business year;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variable compensation for the Executive Committee for the following business year;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grant of options, shares or other equity-linked instruments in the Company to the Board of Directors and the Executive Committee.</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85"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20 Abstimmung über Vergütungen</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Die Generalversammlung genehmigt jährlich in einem oder mehreren Beschlüssen die maximalen Vergütungen gemäss Artikel 34 und 35 der Statuten betreffend: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nicht-erfolgsabhängige Vergütung des Verwaltungsrates für die Zeitperiode bis zur nächsten Generalversammlung;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b)</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eine allfällige zusätzliche Vergütung für den Verwaltungsrat für das abgeschlossene Geschäftsjahr;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c)</w:t>
            </w:r>
          </w:p>
          <w:p>
            <w:pPr>
              <w:pStyle w:val="TableContents"/>
              <w:bidi w:val="0"/>
              <w:spacing w:before="0" w:after="120"/>
              <w:jc w:val="left"/>
              <w:rPr/>
            </w:pPr>
            <w:r>
              <w:rPr>
                <w:rFonts w:ascii="Calibri Light;sans-serif" w:hAnsi="Calibri Light;sans-serif"/>
                <w:color w:val="000000"/>
                <w:sz w:val="20"/>
              </w:rPr>
              <w:t>die nicht-erfolgsabhängige Vergütung der Geschäftsleitung für das folgende Geschäftsjahr;</w:t>
              <w:br/>
            </w:r>
            <w:r>
              <w:rPr>
                <w:color w:val="000000"/>
              </w:rPr>
              <w:t>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variable Vergütung der Geschäftsleitung für das folgende Geschäftsjahr; und</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Gewährung von Optionen, Aktien oder anderen eigenkapitalbasierten Instrumenten der Gesellschaft an den Verwaltungsrat oder die Geschäftsleitung.</w:t>
            </w:r>
          </w:p>
        </w:tc>
      </w:tr>
      <w:tr>
        <w:trPr/>
        <w:tc>
          <w:tcPr>
            <w:tcW w:w="361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corresponding total compensation includes all social security, pension fund and other contributions payable by the receiving member of the Board of Directors or the Executive Board.</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entsprechenden Gesamtvergütungen umfassen alle vom empfangenden Mitglied des Verwaltungsrats oder der Geschäftsleitung zu bezahlenden Sozialversicherungs-, Pensionskassen- und andere Beiträge.</w:t>
            </w:r>
          </w:p>
        </w:tc>
      </w:tr>
      <w:tr>
        <w:trPr/>
        <w:tc>
          <w:tcPr>
            <w:tcW w:w="36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8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27</w:t>
      </w:r>
    </w:p>
    <w:tbl>
      <w:tblPr>
        <w:tblW w:w="10205" w:type="dxa"/>
        <w:jc w:val="left"/>
        <w:tblInd w:w="0" w:type="dxa"/>
        <w:tblLayout w:type="fixed"/>
        <w:tblCellMar>
          <w:top w:w="28" w:type="dxa"/>
          <w:left w:w="28" w:type="dxa"/>
          <w:bottom w:w="28" w:type="dxa"/>
          <w:right w:w="28" w:type="dxa"/>
        </w:tblCellMar>
      </w:tblPr>
      <w:tblGrid>
        <w:gridCol w:w="3671"/>
        <w:gridCol w:w="1608"/>
        <w:gridCol w:w="4926"/>
      </w:tblGrid>
      <w:tr>
        <w:trPr/>
        <w:tc>
          <w:tcPr>
            <w:tcW w:w="367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26" w:type="dxa"/>
            <w:tcBorders/>
            <w:vAlign w:val="center"/>
          </w:tcPr>
          <w:p>
            <w:pPr>
              <w:pStyle w:val="TableContents"/>
              <w:bidi w:val="0"/>
              <w:spacing w:before="0" w:after="283"/>
              <w:jc w:val="left"/>
              <w:rPr>
                <w:sz w:val="4"/>
                <w:szCs w:val="4"/>
              </w:rPr>
            </w:pPr>
            <w:r>
              <w:rPr>
                <w:sz w:val="4"/>
                <w:szCs w:val="4"/>
              </w:rPr>
            </w:r>
          </w:p>
        </w:tc>
      </w:tr>
      <w:tr>
        <w:trPr/>
        <w:tc>
          <w:tcPr>
            <w:tcW w:w="367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remuneration and subject to the approval by the General Meeting.</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21 Independent Proxy</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2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21 Unabhängiger Stimmrechtsvertreter</w:t>
            </w:r>
          </w:p>
          <w:p>
            <w:pPr>
              <w:pStyle w:val="TableContents"/>
              <w:bidi w:val="0"/>
              <w:spacing w:before="0" w:after="120"/>
              <w:ind w:left="0" w:right="0" w:firstLine="790"/>
              <w:jc w:val="both"/>
              <w:rPr>
                <w:rFonts w:ascii="Calibri Light;sans-serif" w:hAnsi="Calibri Light;sans-serif"/>
                <w:color w:val="000000"/>
                <w:sz w:val="20"/>
              </w:rPr>
            </w:pPr>
            <w:r>
              <w:rPr>
                <w:rFonts w:ascii="Calibri Light;sans-serif" w:hAnsi="Calibri Light;sans-serif"/>
                <w:color w:val="000000"/>
                <w:sz w:val="20"/>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 Verwaltungsrats gibt diese Informationen der Generalversammlung bekannt. Die Pflichten des Unabhängigen Stimmrechtsvertreters ergeben sich aus den anwendbaren gesetzlichen Bestimmungen.</w:t>
            </w:r>
          </w:p>
        </w:tc>
      </w:tr>
      <w:tr>
        <w:trPr/>
        <w:tc>
          <w:tcPr>
            <w:tcW w:w="3671"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 Board of directors</w:t>
            </w:r>
          </w:p>
        </w:tc>
        <w:tc>
          <w:tcPr>
            <w:tcW w:w="1608"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926" w:type="dxa"/>
            <w:tcBorders/>
            <w:tcMar>
              <w:top w:w="0" w:type="dxa"/>
              <w:left w:w="0" w:type="dxa"/>
              <w:bottom w:w="0" w:type="dxa"/>
              <w:right w:w="0" w:type="dxa"/>
            </w:tcMar>
            <w:vAlign w:val="center"/>
          </w:tcPr>
          <w:p>
            <w:pPr>
              <w:pStyle w:val="Heading1"/>
              <w:pBdr/>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V. Verwaltungsrat</w:t>
            </w:r>
          </w:p>
        </w:tc>
      </w:tr>
      <w:tr>
        <w:trPr/>
        <w:tc>
          <w:tcPr>
            <w:tcW w:w="367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22 Number of Members, Term of Office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2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22 Anzahl der Mitglieder, Amtsdauer</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tc>
      </w:tr>
      <w:tr>
        <w:trPr/>
        <w:tc>
          <w:tcPr>
            <w:tcW w:w="367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2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28</w:t>
      </w:r>
    </w:p>
    <w:tbl>
      <w:tblPr>
        <w:tblW w:w="10205" w:type="dxa"/>
        <w:jc w:val="left"/>
        <w:tblInd w:w="0" w:type="dxa"/>
        <w:tblLayout w:type="fixed"/>
        <w:tblCellMar>
          <w:top w:w="28" w:type="dxa"/>
          <w:left w:w="28" w:type="dxa"/>
          <w:bottom w:w="28" w:type="dxa"/>
          <w:right w:w="28" w:type="dxa"/>
        </w:tblCellMar>
      </w:tblPr>
      <w:tblGrid>
        <w:gridCol w:w="4488"/>
        <w:gridCol w:w="251"/>
        <w:gridCol w:w="5466"/>
      </w:tblGrid>
      <w:tr>
        <w:trPr/>
        <w:tc>
          <w:tcPr>
            <w:tcW w:w="4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66" w:type="dxa"/>
            <w:tcBorders/>
            <w:vAlign w:val="center"/>
          </w:tcPr>
          <w:p>
            <w:pPr>
              <w:pStyle w:val="TableContents"/>
              <w:bidi w:val="0"/>
              <w:spacing w:before="0" w:after="283"/>
              <w:jc w:val="left"/>
              <w:rPr>
                <w:sz w:val="4"/>
                <w:szCs w:val="4"/>
              </w:rPr>
            </w:pPr>
            <w:r>
              <w:rPr>
                <w:sz w:val="4"/>
                <w:szCs w:val="4"/>
              </w:rPr>
            </w:r>
          </w:p>
        </w:tc>
      </w:tr>
      <w:tr>
        <w:trPr/>
        <w:tc>
          <w:tcPr>
            <w:tcW w:w="44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office of the Chairman becomes vacant, the board of directors shall appoint a new Chairman, from among its members for the remaining term of office.</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Wird das Amt des Präsidenten vakant, ernennt der Verwaltungsrat für die verbleibende Amtsdauer aus seiner Mitte einen neuen Präsidenten des Verwaltungsrates für die verbleibende Amtszeit.</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23 Constitution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Subject to the powers of the General Meeting, the Board of Directors determines its own organization. It appoints a Secretary who needs not be a member of the Board of Directors.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23 Konstituierung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konstituiert sich vorbehältlich der Befugnisse der Generalversammlung selbst. Er bezeichnet insbesondere einen Sekretär, der nicht Mitglied des Verwaltungsrates sein muss.</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24 Function, Organization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It is the Board of Director's duty to lead the Company and to supervise the management. The Board of Director represents the Company and may take decisions to all affairs which are not assigned to any other body of the Company by law, the articles of association or Regulations.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24 Funktion, Organisation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tc>
      </w:tr>
      <w:tr>
        <w:trPr/>
        <w:tc>
          <w:tcPr>
            <w:tcW w:w="44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adopt the organizational regulations and the corresponding contractual relationships.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erlässt das Organisationsreglement und ordnet die entsprechenden Vertragsverhältnisse.</w:t>
            </w:r>
          </w:p>
        </w:tc>
      </w:tr>
      <w:tr>
        <w:trPr/>
        <w:tc>
          <w:tcPr>
            <w:tcW w:w="4488"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25 Powers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Board of Directors has the following non-delegable and inalienable duties: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overall management of the company and the issuing of all necessary directives;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determination of the company's organisation;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organisation of the accounting, financial control and financial planning systems as required for management of the company;</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appointment and dismissal of the persons entrusted with the management and representation of the Company and grant of signatures;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the overall supervision of the persons entrusted with managing the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6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25 Aufgaben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hat folgende unübertragbare und unentziehbare Aufgaben: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Oberleitung der Gesellschaft und Erteilung der nötigen Weisungen;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Festlegung der Organisation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Organisation des Rechnungswesens, der Finanzkontrolle sowie der Finanzplanung zur Führung der Gesellschaft;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Ernennung und Abberufung der mit der Geschäftsführung und der Vertretung betrauten Personen und Regelung der Zeichnungsberechtigung;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Oberaufsicht über die mit der Geschäftsführung betrauten Personen, namentlich im Hinblick auf die Befolgung der Gesetze, Statuten, Reglemente und Weisungen;</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Erstellung des Geschäftsberichtes sowie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29</w:t>
      </w:r>
    </w:p>
    <w:tbl>
      <w:tblPr>
        <w:tblW w:w="10205" w:type="dxa"/>
        <w:jc w:val="left"/>
        <w:tblInd w:w="0" w:type="dxa"/>
        <w:tblLayout w:type="fixed"/>
        <w:tblCellMar>
          <w:top w:w="28" w:type="dxa"/>
          <w:left w:w="28" w:type="dxa"/>
          <w:bottom w:w="28" w:type="dxa"/>
          <w:right w:w="28" w:type="dxa"/>
        </w:tblCellMar>
      </w:tblPr>
      <w:tblGrid>
        <w:gridCol w:w="3721"/>
        <w:gridCol w:w="1608"/>
        <w:gridCol w:w="4876"/>
      </w:tblGrid>
      <w:tr>
        <w:trPr/>
        <w:tc>
          <w:tcPr>
            <w:tcW w:w="372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company, in particular with regard to compliance with the law, articles of association, operational regulations and directives;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compilation of the annual report, preparation for the general meeting and implementation of its resolutions;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preparation of the compensation report and to request approval by the General Meeting regarding compensation of the Board of Directors and the Executive Committee;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notification of the court if liabilities exceed assets.</w:t>
            </w:r>
          </w:p>
        </w:tc>
        <w:tc>
          <w:tcPr>
            <w:tcW w:w="1608"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4876"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Vorbereitung der Generalversammlung und Ausführung ihrer Beschlüsse;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g)</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Erstellung des Vergütungsberichts sowie Antragsstellung betreffend die Genehmigung der Vergütungen des Verwaltungsrats und der Geschäftsleitung an die Generalversammlung;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h)</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Benachrichtigung des Richters im Falle der Überschuldung.</w:t>
            </w:r>
          </w:p>
        </w:tc>
      </w:tr>
      <w:tr>
        <w:trPr/>
        <w:tc>
          <w:tcPr>
            <w:tcW w:w="372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may assign responsibility for preparing and implementing its resolutions or monitoring transactions to committees or individual members. It must ensure appropriate reporting to its members.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76"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kann die Vorbereitung und die Ausführung seiner Beschlüsse oder die Überwachung von Geschäften Ausschüssen oder einzelnen Mitgliedern zuweisen. Er hat für eine angemessene Berichterstattung an seine Mitglieder zu sorgen.</w:t>
            </w:r>
          </w:p>
        </w:tc>
      </w:tr>
      <w:tr>
        <w:trPr/>
        <w:tc>
          <w:tcPr>
            <w:tcW w:w="372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26 Representation of the Company</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Board of Directors shall assign the persons with signatory power for the Company and the kind of signatory power.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7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26 Vertretung der Gesellschaft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bestimmt die für die Gesellschaft zeichnungsberechtigten Personen und die Art ihrer Zeichnung.</w:t>
            </w:r>
          </w:p>
        </w:tc>
      </w:tr>
      <w:tr>
        <w:trPr/>
        <w:tc>
          <w:tcPr>
            <w:tcW w:w="372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27 Delegation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76"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27 Delegation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tc>
      </w:tr>
      <w:tr>
        <w:trPr/>
        <w:tc>
          <w:tcPr>
            <w:tcW w:w="3721"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28 Meetings, Resolutions and Minutes</w:t>
            </w:r>
          </w:p>
          <w:p>
            <w:pPr>
              <w:pStyle w:val="TableContents"/>
              <w:bidi w:val="0"/>
              <w:spacing w:before="0" w:after="283"/>
              <w:ind w:left="0" w:right="0" w:firstLine="1357"/>
              <w:jc w:val="left"/>
              <w:rPr>
                <w:rFonts w:ascii="Times New Roman" w:hAnsi="Times New Roman"/>
                <w:sz w:val="20"/>
              </w:rPr>
            </w:pPr>
            <w:r>
              <w:rPr>
                <w:rFonts w:ascii="Calibri Light;sans-serif" w:hAnsi="Calibri Light;sans-serif"/>
                <w:color w:val="000000"/>
                <w:sz w:val="20"/>
              </w:rPr>
              <w:t>The organization of the meetings, the presence quorum and the passing of resolutions of the Board of Directors is determined by the organizational</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76"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28 Sitzungen, Beschlussfassung und Protokoll</w:t>
            </w:r>
          </w:p>
          <w:p>
            <w:pPr>
              <w:pStyle w:val="TableContents"/>
              <w:bidi w:val="0"/>
              <w:spacing w:before="0" w:after="283"/>
              <w:ind w:left="0" w:right="0" w:firstLine="1357"/>
              <w:jc w:val="left"/>
              <w:rPr>
                <w:rFonts w:ascii="Times New Roman" w:hAnsi="Times New Roman"/>
                <w:sz w:val="20"/>
              </w:rPr>
            </w:pPr>
            <w:r>
              <w:rPr>
                <w:rFonts w:ascii="Calibri Light;sans-serif" w:hAnsi="Calibri Light;sans-serif"/>
                <w:color w:val="000000"/>
                <w:sz w:val="20"/>
              </w:rPr>
              <w:t>Sitzungsordnung, Beschlussfähigkeit und Beschlussfassung des Verwaltungsrats richten sich nach dem Organisationsreglement. Für den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30</w:t>
      </w:r>
    </w:p>
    <w:tbl>
      <w:tblPr>
        <w:tblW w:w="10205" w:type="dxa"/>
        <w:jc w:val="left"/>
        <w:tblInd w:w="0" w:type="dxa"/>
        <w:tblLayout w:type="fixed"/>
        <w:tblCellMar>
          <w:top w:w="28" w:type="dxa"/>
          <w:left w:w="28" w:type="dxa"/>
          <w:bottom w:w="28" w:type="dxa"/>
          <w:right w:w="28" w:type="dxa"/>
        </w:tblCellMar>
      </w:tblPr>
      <w:tblGrid>
        <w:gridCol w:w="4088"/>
        <w:gridCol w:w="1608"/>
        <w:gridCol w:w="4509"/>
      </w:tblGrid>
      <w:tr>
        <w:trPr/>
        <w:tc>
          <w:tcPr>
            <w:tcW w:w="408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509" w:type="dxa"/>
            <w:tcBorders/>
            <w:vAlign w:val="center"/>
          </w:tcPr>
          <w:p>
            <w:pPr>
              <w:pStyle w:val="TableContents"/>
              <w:bidi w:val="0"/>
              <w:spacing w:before="0" w:after="283"/>
              <w:jc w:val="left"/>
              <w:rPr>
                <w:sz w:val="4"/>
                <w:szCs w:val="4"/>
              </w:rPr>
            </w:pPr>
            <w:r>
              <w:rPr>
                <w:sz w:val="4"/>
                <w:szCs w:val="4"/>
              </w:rPr>
            </w:r>
          </w:p>
        </w:tc>
      </w:tr>
      <w:tr>
        <w:trPr/>
        <w:tc>
          <w:tcPr>
            <w:tcW w:w="4088"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regulations. No presence quorum is required for the approval of a capital increase.</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509"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Feststellungsbeschluss einer Kapitalerhöhung ist kein Präsenzquorum erforderlich.</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Resolutions may be passed via telephone or videoconference. Resolutions may also be passed by way of circulation, provided that no member requests oral deliberation.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Beschlussfassung via Telefon- oder Videokonferenz ist zulässig. Beschlüsse können auch auf dem Zirkularweg gefasst werden, sofern nicht ein Mitglied die Durchführung einer Sitzung verlangt.</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Minutes are kept of the Board's discussions and resolutions and signed by the chairman and the minute-taker.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Times New Roman" w:hAnsi="Times New Roman"/>
                <w:sz w:val="24"/>
              </w:rPr>
            </w:pPr>
            <w:r>
              <w:rPr>
                <w:rFonts w:ascii="Calibri Light;sans-serif" w:hAnsi="Calibri Light;sans-serif"/>
                <w:color w:val="000000"/>
                <w:sz w:val="20"/>
              </w:rPr>
              <w:t>Über Verhandlungen und Beschlüsse des Verwaltungsrats wird ein Protokoll erstellt, welches vom</w:t>
            </w:r>
            <w:r>
              <w:rPr>
                <w:rFonts w:ascii="Times New Roman" w:hAnsi="Times New Roman"/>
                <w:color w:val="000000"/>
                <w:sz w:val="24"/>
              </w:rPr>
              <w:t xml:space="preserve"> </w:t>
            </w:r>
            <w:r>
              <w:rPr>
                <w:rFonts w:ascii="Calibri Light;sans-serif" w:hAnsi="Calibri Light;sans-serif"/>
                <w:color w:val="000000"/>
                <w:sz w:val="20"/>
              </w:rPr>
              <w:t>Vorsitzenden und vom Sekretär des Verwaltungsrates zu unterzeichnen ist.</w:t>
            </w:r>
          </w:p>
        </w:tc>
      </w:tr>
      <w:tr>
        <w:trPr/>
        <w:tc>
          <w:tcPr>
            <w:tcW w:w="4088"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29 Disclosure and Right of Inspection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Any member of the Board of Directors may request information on any company business.</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509"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29 Recht auf Auskunft und Einsicht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Jedes Mitglied des Verwaltungsrates kann Auskunft über alle Angelegenheiten der Gesellschaft verlangen.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Outside meetings, any member may request information from the persons entrusted with managing the company's business concerning the Company's business performance and, with the Chairman's authorization, specific transactions.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Ausserhalb der Sitzungen kann jedes Mitglied von den mit der Geschäftsführung betrauten Personen Auskunft über den Geschäftsgang und, mit Ermächtigung des Präsidenten, auch über einzelne Geschäfte verlangen.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Where required for the performance of his duties, any member may request the Chairman to have books of account and documents made available to him for inspection.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Soweit es für die Erfüllung einer Aufgabe erforderlich ist, kann jedes Mitglied dem Präsidenten beantragen, dass ihm Bücher und Akten vorgelegt werden.</w:t>
            </w:r>
          </w:p>
        </w:tc>
      </w:tr>
      <w:tr>
        <w:trPr/>
        <w:tc>
          <w:tcPr>
            <w:tcW w:w="4088"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the Chairman refuses a request for information, a request to be heard or an application to inspect documents, the Board of Directors rules on the matter.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509"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Weist der Präsident ein Gesuch auf Auskunft, Anhörung oder Einsicht ab, so entscheidet der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31</w:t>
      </w:r>
    </w:p>
    <w:tbl>
      <w:tblPr>
        <w:tblW w:w="10205" w:type="dxa"/>
        <w:jc w:val="left"/>
        <w:tblInd w:w="0" w:type="dxa"/>
        <w:tblLayout w:type="fixed"/>
        <w:tblCellMar>
          <w:top w:w="28" w:type="dxa"/>
          <w:left w:w="28" w:type="dxa"/>
          <w:bottom w:w="28" w:type="dxa"/>
          <w:right w:w="28" w:type="dxa"/>
        </w:tblCellMar>
      </w:tblPr>
      <w:tblGrid>
        <w:gridCol w:w="4735"/>
        <w:gridCol w:w="251"/>
        <w:gridCol w:w="5219"/>
      </w:tblGrid>
      <w:tr>
        <w:trPr/>
        <w:tc>
          <w:tcPr>
            <w:tcW w:w="47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9" w:type="dxa"/>
            <w:tcBorders/>
            <w:vAlign w:val="center"/>
          </w:tcPr>
          <w:p>
            <w:pPr>
              <w:pStyle w:val="TableContents"/>
              <w:bidi w:val="0"/>
              <w:spacing w:before="0" w:after="283"/>
              <w:jc w:val="left"/>
              <w:rPr>
                <w:sz w:val="4"/>
                <w:szCs w:val="4"/>
              </w:rPr>
            </w:pPr>
            <w:r>
              <w:rPr>
                <w:sz w:val="4"/>
                <w:szCs w:val="4"/>
              </w:rPr>
            </w:r>
          </w:p>
        </w:tc>
      </w:tr>
      <w:tr>
        <w:trPr/>
        <w:tc>
          <w:tcPr>
            <w:tcW w:w="4735"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30 Compensation Committee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draw up principles for compensation of members of the Board of Directors and the Executive Committee and to submit them to the Board of Directors for approval;</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propose to the Board of Directors the resolution to be submitted to the Ordinary General Meeting for the maximum total compensation of the Board of Directors and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request approval by the Board of Directors regarding the determination of the compensation-related targets for the Executive Committee;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to request approval by the Board of Directors regarding the adjustments to the articles of association relating to remuneration; and</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to prepare the Compensation Report and submit it to the Board of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219"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30 Vergütungsausschuss</w:t>
            </w:r>
          </w:p>
          <w:p>
            <w:pPr>
              <w:pStyle w:val="TableContents"/>
              <w:bidi w:val="0"/>
              <w:spacing w:before="0" w:after="120"/>
              <w:jc w:val="both"/>
              <w:rPr>
                <w:rFonts w:ascii="Times New Roman" w:hAnsi="Times New Roman"/>
                <w:sz w:val="20"/>
              </w:rPr>
            </w:pPr>
            <w:r>
              <w:rPr>
                <w:rFonts w:ascii="Calibri Light;sans-serif" w:hAnsi="Calibri Light;sans-serif"/>
                <w:color w:val="000000"/>
                <w:sz w:val="20"/>
              </w:rPr>
              <w:t>Der Vergütungsausschuss umfasst mindestens 2 Mitglieder. Die Mitglieder des Vergütungsausschusses werden jährlich von der ordentlichen Generalversammlung aus den Mitgliedern des Verwaltungsrats für die Dauer von einem Jahr bis zur nächsten ordentlichen Generalversammlung einzeln gewählt. Wiederwahl ist zulässig. Der Vergütungsausschuss hat folgende Aufgaben:</w:t>
            </w:r>
            <w:r>
              <w:rPr>
                <w:rFonts w:ascii="Times New Roman" w:hAnsi="Times New Roman"/>
                <w:color w:val="000000"/>
                <w:sz w:val="20"/>
              </w:rPr>
              <w:t xml:space="preserv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Ausarbeiten der Grundsätze betreffend Vergütung an den Verwaltungsrat und an die Geschäftsleitung und Vorlegen derselben zur Genehmigung durch den Verwaltungsrat;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zur Unterbreitung an die Generalversammlung betreffend Gesamtvergütung des Verwaltungsrats und der Geschäftsleitung;</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pPr>
            <w:r>
              <w:rPr>
                <w:rFonts w:ascii="Calibri Light;sans-serif" w:hAnsi="Calibri Light;sans-serif"/>
                <w:color w:val="000000"/>
                <w:sz w:val="20"/>
              </w:rPr>
              <w:t>Antragstellung an den Verwaltungsrat betreffend individuelle Vergütung der Verwaltungsratsmitglieder und der Mitglieder der Geschäftsleitung unter Vorbehalt und im Rahmen der Höhe der Gesamtvergütung;</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hinsichtlich der für die Geschäftsleitung vergütungsrelevanten Ziele;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Antragstellung an den Verwaltungsrat betreffend Anpassung der Statuten hinsichtlich des Vergütungssystems;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Entwurf des Vergütungsberichts und Unterbreitung des Vergütungsberichts an den Verwaltungsrat.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32</w:t>
      </w:r>
    </w:p>
    <w:tbl>
      <w:tblPr>
        <w:tblW w:w="10205" w:type="dxa"/>
        <w:jc w:val="left"/>
        <w:tblInd w:w="0" w:type="dxa"/>
        <w:tblLayout w:type="fixed"/>
        <w:tblCellMar>
          <w:top w:w="28" w:type="dxa"/>
          <w:left w:w="28" w:type="dxa"/>
          <w:bottom w:w="28" w:type="dxa"/>
          <w:right w:w="28" w:type="dxa"/>
        </w:tblCellMar>
      </w:tblPr>
      <w:tblGrid>
        <w:gridCol w:w="4314"/>
        <w:gridCol w:w="251"/>
        <w:gridCol w:w="5640"/>
      </w:tblGrid>
      <w:tr>
        <w:trPr/>
        <w:tc>
          <w:tcPr>
            <w:tcW w:w="43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40"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314"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Directors.</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6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Board of Directors shall set out any further duties and responsibilities vested on the Compensation Committee in the Company's organizational regulations.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4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Der Verwaltungsrat kann weitere Aufgaben und Zuständigkeiten des Vergütungsausschusses im Organisationsreglement vorsehen.</w:t>
            </w:r>
          </w:p>
        </w:tc>
      </w:tr>
      <w:tr>
        <w:trPr/>
        <w:tc>
          <w:tcPr>
            <w:tcW w:w="431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31 Indemnification</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4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Calibri Light;sans-serif" w:hAnsi="Calibri Light;sans-serif"/>
                <w:b/>
                <w:color w:val="000000"/>
                <w:sz w:val="20"/>
              </w:rPr>
              <w:t>Artikel 31 Schadloshaltung</w:t>
            </w:r>
            <w:r>
              <w:rPr>
                <w:rFonts w:ascii="Calibri Light;sans-serif" w:hAnsi="Calibri Light;sans-serif"/>
                <w:color w:val="000000"/>
                <w:sz w:val="20"/>
              </w:rPr>
              <w:t>.</w:t>
            </w:r>
          </w:p>
        </w:tc>
      </w:tr>
      <w:tr>
        <w:trPr/>
        <w:tc>
          <w:tcPr>
            <w:tcW w:w="43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To the extent not included in insurance coverage or paid by third parties, the Company shall indemnify and hold harmless, to the extent permitted by law, the existing and former members of the board of directors, the executive committee, and their heirs, executors and administrators, out of the assets of the Company from and against all threatened, pending or completed actions, suits or proceedings – whether civil, criminal, administrative or investigative –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 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64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Calibri Light;sans-serif" w:hAnsi="Calibri Light;sans-serif"/>
                <w:color w:val="000000"/>
                <w:sz w:val="20"/>
              </w:rPr>
              <w:t>Soweit nicht durch Versicherungen gedeckt oder von Dritten bezahlt, hält die Gesellschaft soweit gesetzlich zulässig, die gegenwärtigen und bisherigen Mitglieder des Verwaltungsrates und der Geschäftsleitung sowie deren Erben, Testamentsvollstrecker und Verwalter aus 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 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33</w:t>
      </w:r>
    </w:p>
    <w:tbl>
      <w:tblPr>
        <w:tblW w:w="10205" w:type="dxa"/>
        <w:jc w:val="left"/>
        <w:tblInd w:w="0" w:type="dxa"/>
        <w:tblLayout w:type="fixed"/>
        <w:tblCellMar>
          <w:top w:w="28" w:type="dxa"/>
          <w:left w:w="28" w:type="dxa"/>
          <w:bottom w:w="28" w:type="dxa"/>
          <w:right w:w="28" w:type="dxa"/>
        </w:tblCellMar>
      </w:tblPr>
      <w:tblGrid>
        <w:gridCol w:w="3904"/>
        <w:gridCol w:w="1041"/>
        <w:gridCol w:w="5260"/>
      </w:tblGrid>
      <w:tr>
        <w:trPr/>
        <w:tc>
          <w:tcPr>
            <w:tcW w:w="39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5260" w:type="dxa"/>
            <w:tcBorders/>
            <w:vAlign w:val="center"/>
          </w:tcPr>
          <w:p>
            <w:pPr>
              <w:pStyle w:val="TableContents"/>
              <w:bidi w:val="0"/>
              <w:spacing w:before="0" w:after="283"/>
              <w:jc w:val="left"/>
              <w:rPr>
                <w:sz w:val="4"/>
                <w:szCs w:val="4"/>
              </w:rPr>
            </w:pPr>
            <w:r>
              <w:rPr>
                <w:sz w:val="4"/>
                <w:szCs w:val="4"/>
              </w:rPr>
            </w:r>
          </w:p>
        </w:tc>
      </w:tr>
      <w:tr>
        <w:trPr/>
        <w:tc>
          <w:tcPr>
            <w:tcW w:w="3904"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or grossly negligent breach of his statutory duties as a member of the board of directors or executive committee.</w:t>
            </w:r>
          </w:p>
        </w:tc>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0"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als Mitglied des Verwaltungsrates oder der Geschäftsleitung begangen hat.</w:t>
            </w:r>
          </w:p>
        </w:tc>
      </w:tr>
      <w:tr>
        <w:trPr/>
        <w:tc>
          <w:tcPr>
            <w:tcW w:w="390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tc>
        <w:tc>
          <w:tcPr>
            <w:tcW w:w="1041" w:type="dxa"/>
            <w:tcBorders/>
            <w:tcMar>
              <w:top w:w="0" w:type="dxa"/>
              <w:left w:w="0" w:type="dxa"/>
              <w:bottom w:w="0" w:type="dxa"/>
              <w:right w:w="0" w:type="dxa"/>
            </w:tcMar>
            <w:vAlign w:val="center"/>
          </w:tcPr>
          <w:p>
            <w:pPr>
              <w:pStyle w:val="TableContents"/>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 eingelegt werden kann, wegen vorsätzlicher oder grobfahrlässiger Verletzung ihrer gesetzlichen Pflichten als Mitglied des Verwaltungsrates oder der Geschäftsleitung verurteilt wird.</w:t>
            </w:r>
          </w:p>
        </w:tc>
      </w:tr>
      <w:tr>
        <w:trPr/>
        <w:tc>
          <w:tcPr>
            <w:tcW w:w="3904"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VI. Auditors</w:t>
            </w:r>
          </w:p>
        </w:tc>
        <w:tc>
          <w:tcPr>
            <w:tcW w:w="1041"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5260" w:type="dxa"/>
            <w:tcBorders/>
            <w:tcMar>
              <w:top w:w="0" w:type="dxa"/>
              <w:left w:w="0" w:type="dxa"/>
              <w:bottom w:w="0" w:type="dxa"/>
              <w:right w:w="0" w:type="dxa"/>
            </w:tcMar>
            <w:vAlign w:val="center"/>
          </w:tcPr>
          <w:p>
            <w:pPr>
              <w:pStyle w:val="Heading1"/>
              <w:pBdr/>
              <w:bidi w:val="0"/>
              <w:spacing w:before="360" w:after="360"/>
              <w:ind w:left="0" w:right="0" w:hanging="790"/>
              <w:jc w:val="left"/>
              <w:rPr>
                <w:rFonts w:ascii="Calibri Light;sans-serif" w:hAnsi="Calibri Light;sans-serif"/>
                <w:caps/>
                <w:color w:val="000000"/>
                <w:sz w:val="20"/>
              </w:rPr>
            </w:pPr>
            <w:r>
              <w:rPr>
                <w:rFonts w:ascii="Calibri Light;sans-serif" w:hAnsi="Calibri Light;sans-serif"/>
                <w:caps/>
                <w:color w:val="000000"/>
                <w:sz w:val="20"/>
              </w:rPr>
              <w:t>VI. Revisionsstelle</w:t>
            </w:r>
          </w:p>
        </w:tc>
      </w:tr>
      <w:tr>
        <w:trPr/>
        <w:tc>
          <w:tcPr>
            <w:tcW w:w="390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32 Election, Term</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The General Meeting shall elect one or more accountants as its Auditors in terms of articles 727 et seq. CO every year with the rights and duties determined by law.</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32 Wahl, Amtsdauer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Generalversammlung wählt jedes Jahr eine oder mehrere natürliche oder juristische Personen als Revisionsstelle im Sinne von Artikeln 727 ff. OR mit den im Gesetz festgehaltenen Rechten und Pflichten.</w:t>
            </w:r>
          </w:p>
        </w:tc>
      </w:tr>
      <w:tr>
        <w:trPr/>
        <w:tc>
          <w:tcPr>
            <w:tcW w:w="390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General Meeting may appoint Special Auditors for a term of up to three years who provide the attestations required for capital increases.</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Generalversammlung kann für die Dauer von bis zu drei Jahren Sonderrevisoren bestimmen, welche die bei Kapitalerhöhungen erforderlichen Bescheinigungen erbringen.</w:t>
            </w:r>
          </w:p>
        </w:tc>
      </w:tr>
      <w:tr>
        <w:trPr/>
        <w:tc>
          <w:tcPr>
            <w:tcW w:w="390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33 Duties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Auditors shall perform their duties to audit and report whether the accounting, the annual accounts and the proposal regarding allocation of profits is in accordance with law and the articles of association.</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5260"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33 Aufgaben</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Revisionsstelle prüft, ob die Buchführung und die Jahresrechnung sowie der Antrag über die Verwendung des Bilanzgewinns Gesetz und Statuten entsprechen.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34</w:t>
      </w:r>
    </w:p>
    <w:tbl>
      <w:tblPr>
        <w:tblW w:w="10205" w:type="dxa"/>
        <w:jc w:val="left"/>
        <w:tblInd w:w="0" w:type="dxa"/>
        <w:tblLayout w:type="fixed"/>
        <w:tblCellMar>
          <w:top w:w="28" w:type="dxa"/>
          <w:left w:w="28" w:type="dxa"/>
          <w:bottom w:w="28" w:type="dxa"/>
          <w:right w:w="28" w:type="dxa"/>
        </w:tblCellMar>
      </w:tblPr>
      <w:tblGrid>
        <w:gridCol w:w="3840"/>
        <w:gridCol w:w="1608"/>
        <w:gridCol w:w="4757"/>
      </w:tblGrid>
      <w:tr>
        <w:trPr/>
        <w:tc>
          <w:tcPr>
            <w:tcW w:w="384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57" w:type="dxa"/>
            <w:tcBorders/>
            <w:vAlign w:val="center"/>
          </w:tcPr>
          <w:p>
            <w:pPr>
              <w:pStyle w:val="TableContents"/>
              <w:bidi w:val="0"/>
              <w:spacing w:before="0" w:after="283"/>
              <w:ind w:left="0" w:right="0" w:firstLine="790"/>
              <w:jc w:val="left"/>
              <w:rPr>
                <w:sz w:val="4"/>
                <w:szCs w:val="4"/>
              </w:rPr>
            </w:pPr>
            <w:r>
              <w:rPr>
                <w:sz w:val="4"/>
                <w:szCs w:val="4"/>
              </w:rPr>
            </w:r>
          </w:p>
        </w:tc>
      </w:tr>
      <w:tr>
        <w:trPr/>
        <w:tc>
          <w:tcPr>
            <w:tcW w:w="3840"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Times New Roman" w:hAnsi="Times New Roman"/>
                <w:sz w:val="20"/>
              </w:rPr>
            </w:pPr>
            <w:r>
              <w:rPr>
                <w:rFonts w:ascii="Calibri Light;sans-serif" w:hAnsi="Calibri Light;sans-serif"/>
                <w:caps/>
                <w:color w:val="000000"/>
                <w:sz w:val="20"/>
              </w:rPr>
              <w:t>VII. compensation and related provisions</w:t>
            </w:r>
            <w:r>
              <w:rPr>
                <w:rFonts w:ascii="Times New Roman" w:hAnsi="Times New Roman"/>
                <w:caps/>
                <w:color w:val="000000"/>
                <w:sz w:val="20"/>
              </w:rPr>
              <w:t xml:space="preserve"> </w:t>
            </w:r>
          </w:p>
        </w:tc>
        <w:tc>
          <w:tcPr>
            <w:tcW w:w="1608"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757" w:type="dxa"/>
            <w:tcBorders/>
            <w:tcMar>
              <w:top w:w="0" w:type="dxa"/>
              <w:left w:w="0" w:type="dxa"/>
              <w:bottom w:w="0" w:type="dxa"/>
              <w:right w:w="0" w:type="dxa"/>
            </w:tcMar>
            <w:vAlign w:val="center"/>
          </w:tcPr>
          <w:p>
            <w:pPr>
              <w:pStyle w:val="Heading1"/>
              <w:pBdr/>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vii. Vergütungen und verwandte Bestimmungen</w:t>
            </w:r>
          </w:p>
        </w:tc>
      </w:tr>
      <w:tr>
        <w:trPr/>
        <w:tc>
          <w:tcPr>
            <w:tcW w:w="3840"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34 Principles of the Compensation of the Board of Directors</w:t>
            </w:r>
          </w:p>
          <w:p>
            <w:pPr>
              <w:pStyle w:val="TableContents"/>
              <w:bidi w:val="0"/>
              <w:spacing w:before="0" w:after="120"/>
              <w:ind w:left="0" w:right="0" w:firstLine="1357"/>
              <w:jc w:val="both"/>
              <w:rPr>
                <w:rFonts w:ascii="Calibri Light;sans-serif" w:hAnsi="Calibri Light;sans-serif"/>
                <w:color w:val="000000"/>
                <w:sz w:val="20"/>
              </w:rPr>
            </w:pPr>
            <w:r>
              <w:rPr>
                <w:rFonts w:ascii="Calibri Light;sans-serif" w:hAnsi="Calibri Light;sans-serif"/>
                <w:color w:val="000000"/>
                <w:sz w:val="20"/>
              </w:rPr>
              <w:t>The compensation payable to the members of the Board of Directors comprises, subject to and within the bounds of the approval by the General Meeting of the total compensation, the following elements:</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fixed basic remuneration;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fixed committee fee for work in a committee of the Board of Directors;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lump sum compensation for expenses;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number of options, shares or other equity-linked instruments in the Company, as further outlined in article 43 of the articles of association.</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57"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34 Grundsätze der Vergütung für die Mitglieder des Verwaltungsrats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für die Mitglieder des Verwaltungsrats umfasst, unter Vorbehalt der Genehmigung durch die Generalversammlung und im Rahmen der durch diese genehmigten Gesamtvergütung, folgende Elemente:</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 fixes Grundhonorar;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fixe Entschädigung für Tätigkeiten als Mitglied eines Ausschusses des Verwaltungsrats;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eine pauschale Spesenentschädigung;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Anzahl von Optionen, Aktien oder anderen eigenkapitalbasierten Instrumenten der Gesellschaft, gemäss Artikel 43 der Statuten.</w:t>
            </w:r>
          </w:p>
        </w:tc>
      </w:tr>
      <w:tr>
        <w:trPr/>
        <w:tc>
          <w:tcPr>
            <w:tcW w:w="384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compensation is paid in cash and in form of options, shares or other equity-linked instruments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5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Vergütung kann bar und in Form von Optionen, Aktien oder anderen eigenkapitalbasierten Instrumenten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 oder Mandatsverhältnisses, Vesting-, Ausübungs- 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35</w:t>
      </w:r>
    </w:p>
    <w:tbl>
      <w:tblPr>
        <w:tblW w:w="10205" w:type="dxa"/>
        <w:jc w:val="left"/>
        <w:tblInd w:w="0" w:type="dxa"/>
        <w:tblLayout w:type="fixed"/>
        <w:tblCellMar>
          <w:top w:w="28" w:type="dxa"/>
          <w:left w:w="28" w:type="dxa"/>
          <w:bottom w:w="28" w:type="dxa"/>
          <w:right w:w="28" w:type="dxa"/>
        </w:tblCellMar>
      </w:tblPr>
      <w:tblGrid>
        <w:gridCol w:w="3802"/>
        <w:gridCol w:w="1608"/>
        <w:gridCol w:w="4795"/>
      </w:tblGrid>
      <w:tr>
        <w:trPr/>
        <w:tc>
          <w:tcPr>
            <w:tcW w:w="380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795" w:type="dxa"/>
            <w:tcBorders/>
            <w:vAlign w:val="center"/>
          </w:tcPr>
          <w:p>
            <w:pPr>
              <w:pStyle w:val="TableContents"/>
              <w:bidi w:val="0"/>
              <w:spacing w:before="0" w:after="283"/>
              <w:jc w:val="left"/>
              <w:rPr>
                <w:sz w:val="4"/>
                <w:szCs w:val="4"/>
              </w:rPr>
            </w:pPr>
            <w:r>
              <w:rPr>
                <w:sz w:val="4"/>
                <w:szCs w:val="4"/>
              </w:rPr>
            </w:r>
          </w:p>
        </w:tc>
      </w:tr>
      <w:tr>
        <w:trPr/>
        <w:tc>
          <w:tcPr>
            <w:tcW w:w="3802"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shares or by using contingent or authorized share capital.</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7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0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9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tc>
      </w:tr>
      <w:tr>
        <w:trPr/>
        <w:tc>
          <w:tcPr>
            <w:tcW w:w="3802"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compensation may also be paid for activities in companies that are directly or indirectly controlled by the Company and may be paid by the Company or by a company controlled by 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95" w:type="dxa"/>
            <w:tcBorders/>
            <w:tcMar>
              <w:top w:w="0" w:type="dxa"/>
              <w:left w:w="0" w:type="dxa"/>
              <w:bottom w:w="0" w:type="dxa"/>
              <w:right w:w="0" w:type="dxa"/>
            </w:tcMar>
            <w:vAlign w:val="center"/>
          </w:tcPr>
          <w:p>
            <w:pPr>
              <w:pStyle w:val="TableContents"/>
              <w:bidi w:val="0"/>
              <w:spacing w:before="12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Die Vergütung kann auch ausgerichtet werden für Tätigkeiten in Unternehmen, die durch die Gesellschaft direkt oder indirekt kontrolliert werden und kann durch die Gesellschaft oder durch von ihr kontrollierte Unternehmen ausgerichtet werden.</w:t>
            </w:r>
          </w:p>
        </w:tc>
      </w:tr>
      <w:tr>
        <w:trPr/>
        <w:tc>
          <w:tcPr>
            <w:tcW w:w="3802"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35 Principles of the Compensation of the Executive Committee</w:t>
            </w:r>
          </w:p>
          <w:p>
            <w:pPr>
              <w:pStyle w:val="TableContents"/>
              <w:bidi w:val="0"/>
              <w:spacing w:before="0" w:after="120"/>
              <w:ind w:left="0" w:right="0" w:firstLine="1355"/>
              <w:jc w:val="left"/>
              <w:rPr>
                <w:rFonts w:ascii="Times New Roman" w:hAnsi="Times New Roman"/>
                <w:sz w:val="20"/>
              </w:rPr>
            </w:pPr>
            <w:r>
              <w:rPr>
                <w:rFonts w:ascii="Calibri Light;sans-serif" w:hAnsi="Calibri Light;sans-serif"/>
                <w:color w:val="000000"/>
                <w:sz w:val="20"/>
              </w:rPr>
              <w:t>The compensation payable to the members of the Executive Committee is subject to the approval by the General Meeting and comprises the following elements:</w:t>
            </w:r>
            <w:r>
              <w:rPr>
                <w:rFonts w:ascii="Times New Roman" w:hAnsi="Times New Roman"/>
                <w:color w:val="000000"/>
                <w:sz w:val="20"/>
              </w:rPr>
              <w:t xml:space="preserve"> </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fixed remuneration payable in cash;</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a performance-related remuneration payable in cash (variable);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a number of options, shares or equity-lined instruments in the Company (variable), as further outlined in article 43 of the articles of association.</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795"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35 Grundsätze der Vergütung für die Mitglieder der Geschäftsleitung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für die Mitglieder der Geschäftsleitung ist von der Generalversammlung zu genehmigen und umfasst folgende Elemente:</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fixe Vergütung in bar;</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pPr>
            <w:r>
              <w:rPr>
                <w:rFonts w:ascii="Calibri Light;sans-serif" w:hAnsi="Calibri Light;sans-serif"/>
                <w:color w:val="000000"/>
                <w:sz w:val="20"/>
              </w:rPr>
              <w:t xml:space="preserve">eine erfolgsabhängige Vergütung in bar (variabel);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eine Anzahl Optionen, Aktien oder anderen eigenkapitalbasierten Instrumenten der Gesellschaft (variabel), gemäss Artikel 43 der Statuten.</w:t>
            </w:r>
          </w:p>
        </w:tc>
      </w:tr>
      <w:tr>
        <w:trPr/>
        <w:tc>
          <w:tcPr>
            <w:tcW w:w="380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79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36</w:t>
      </w:r>
    </w:p>
    <w:tbl>
      <w:tblPr>
        <w:tblW w:w="10205" w:type="dxa"/>
        <w:jc w:val="left"/>
        <w:tblInd w:w="0" w:type="dxa"/>
        <w:tblLayout w:type="fixed"/>
        <w:tblCellMar>
          <w:top w:w="28" w:type="dxa"/>
          <w:left w:w="28" w:type="dxa"/>
          <w:bottom w:w="28" w:type="dxa"/>
          <w:right w:w="28" w:type="dxa"/>
        </w:tblCellMar>
      </w:tblPr>
      <w:tblGrid>
        <w:gridCol w:w="3584"/>
        <w:gridCol w:w="1608"/>
        <w:gridCol w:w="5013"/>
      </w:tblGrid>
      <w:tr>
        <w:trPr/>
        <w:tc>
          <w:tcPr>
            <w:tcW w:w="358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5013" w:type="dxa"/>
            <w:tcBorders/>
            <w:vAlign w:val="center"/>
          </w:tcPr>
          <w:p>
            <w:pPr>
              <w:pStyle w:val="TableContents"/>
              <w:bidi w:val="0"/>
              <w:spacing w:before="0" w:after="283"/>
              <w:jc w:val="left"/>
              <w:rPr>
                <w:sz w:val="4"/>
                <w:szCs w:val="4"/>
              </w:rPr>
            </w:pPr>
            <w:r>
              <w:rPr>
                <w:sz w:val="4"/>
                <w:szCs w:val="4"/>
              </w:rPr>
            </w:r>
          </w:p>
        </w:tc>
      </w:tr>
      <w:tr>
        <w:trPr/>
        <w:tc>
          <w:tcPr>
            <w:tcW w:w="3584"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501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Vergütung in bar für das jeweilige Geschäftsleitungsmitglied wird vom Verwaltungsrat festgelegt und darf 100% der im entsprechenden Geschäftsjahr relevanten individuellen, fixen Vergütung nicht überschreiten.</w:t>
            </w:r>
          </w:p>
        </w:tc>
      </w:tr>
      <w:tr>
        <w:trPr/>
        <w:tc>
          <w:tcPr>
            <w:tcW w:w="358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The compensation may also be paid for activities in companies that are directly or indirectly controlled by the Company and may be paid by the Company or by a company controlled by it.</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13"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Vergütung kann auch ausgerichtet werden für Tätigkeiten in Unternehmen, die durch die Gesellschaft direkt oder indirekt kontrolliert werden und kann durch die Gesellschaft oder durch von ihr kontrollierte Unternehmen ausgerichtet werden.</w:t>
            </w:r>
          </w:p>
        </w:tc>
      </w:tr>
      <w:tr>
        <w:trPr/>
        <w:tc>
          <w:tcPr>
            <w:tcW w:w="3584"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36 Compensation for new Members of the Executive Committee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5013"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36 Vergütungen für neue Mitglieder der Geschäftsleitung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tc>
      </w:tr>
      <w:tr>
        <w:trPr/>
        <w:tc>
          <w:tcPr>
            <w:tcW w:w="358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This additional overall compensation is understood to include any settlements for any disadvantage suffered as a result of the change of job.</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50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Mit diesem Zusatzbetrag sind allfällige durch ein Geschäftsleitungsmitglied erlittene Nachteile aufgrund Stellenwechsel abgegolten.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37</w:t>
      </w:r>
    </w:p>
    <w:tbl>
      <w:tblPr>
        <w:tblW w:w="10205" w:type="dxa"/>
        <w:jc w:val="left"/>
        <w:tblInd w:w="0" w:type="dxa"/>
        <w:tblLayout w:type="fixed"/>
        <w:tblCellMar>
          <w:top w:w="28" w:type="dxa"/>
          <w:left w:w="28" w:type="dxa"/>
          <w:bottom w:w="28" w:type="dxa"/>
          <w:right w:w="28" w:type="dxa"/>
        </w:tblCellMar>
      </w:tblPr>
      <w:tblGrid>
        <w:gridCol w:w="3667"/>
        <w:gridCol w:w="1608"/>
        <w:gridCol w:w="4930"/>
      </w:tblGrid>
      <w:tr>
        <w:trPr/>
        <w:tc>
          <w:tcPr>
            <w:tcW w:w="366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930" w:type="dxa"/>
            <w:tcBorders/>
            <w:vAlign w:val="center"/>
          </w:tcPr>
          <w:p>
            <w:pPr>
              <w:pStyle w:val="TableContents"/>
              <w:bidi w:val="0"/>
              <w:spacing w:before="0" w:after="283"/>
              <w:jc w:val="left"/>
              <w:rPr>
                <w:sz w:val="4"/>
                <w:szCs w:val="4"/>
              </w:rPr>
            </w:pPr>
            <w:r>
              <w:rPr>
                <w:sz w:val="4"/>
                <w:szCs w:val="4"/>
              </w:rPr>
            </w:r>
          </w:p>
        </w:tc>
      </w:tr>
      <w:tr>
        <w:trPr/>
        <w:tc>
          <w:tcPr>
            <w:tcW w:w="366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37 Expenses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Expenses which are not covered by the lump sum compensation pursuant to the Company's expense regulations shall be reimbursed following presentation of the supporting receipts. This additional remuneration is not subject to a separate vote by the General Meeting.</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30"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37 Spesen</w:t>
            </w:r>
          </w:p>
          <w:p>
            <w:pPr>
              <w:pStyle w:val="TableContents"/>
              <w:bidi w:val="0"/>
              <w:spacing w:before="0" w:after="120"/>
              <w:ind w:left="0" w:right="0" w:firstLine="1357"/>
              <w:jc w:val="left"/>
              <w:rPr>
                <w:rFonts w:ascii="Times New Roman" w:hAnsi="Times New Roman"/>
                <w:sz w:val="20"/>
              </w:rPr>
            </w:pPr>
            <w:r>
              <w:rPr>
                <w:rFonts w:ascii="Calibri Light;sans-serif" w:hAnsi="Calibri Light;sans-serif"/>
                <w:color w:val="000000"/>
                <w:sz w:val="20"/>
              </w:rPr>
              <w:t>Spesen, welche nicht durch die pauschale Spesenentschädigung gemäss Spesenreglement abgedeckt sind, werden nach Vorlage der entsprechenden Belege rückvergütet. Diese Rückvergütung ist von der Generalversammlung nicht zu genehmigen.</w:t>
            </w:r>
            <w:r>
              <w:rPr>
                <w:rFonts w:ascii="Times New Roman" w:hAnsi="Times New Roman"/>
                <w:color w:val="000000"/>
                <w:sz w:val="20"/>
              </w:rPr>
              <w:t xml:space="preserve"> </w:t>
            </w:r>
          </w:p>
        </w:tc>
      </w:tr>
      <w:tr>
        <w:trPr/>
        <w:tc>
          <w:tcPr>
            <w:tcW w:w="3667"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38 Compensation Agreements</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Agreements on compensation with members of the Board of Directors may not exceed the term of maximal one year.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30"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38 Verträge über die Vergütung</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Verträge, die den Vergütungen für die Mitglieder des Verwaltungsrats zugrunde liegen, sind auf maximal ein Jahr befristet.</w:t>
            </w:r>
          </w:p>
        </w:tc>
      </w:tr>
      <w:tr>
        <w:trPr/>
        <w:tc>
          <w:tcPr>
            <w:tcW w:w="3667"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930" w:type="dxa"/>
            <w:tcBorders/>
            <w:tcMar>
              <w:top w:w="0" w:type="dxa"/>
              <w:left w:w="0" w:type="dxa"/>
              <w:bottom w:w="0" w:type="dxa"/>
              <w:right w:w="0" w:type="dxa"/>
            </w:tcMar>
            <w:vAlign w:val="center"/>
          </w:tcPr>
          <w:p>
            <w:pPr>
              <w:pStyle w:val="TableContents"/>
              <w:bidi w:val="0"/>
              <w:spacing w:before="12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Arbeitsverträge der Geschäftsleitungsmitglieder sind grundsätzlich unbefristet, wobei die Kündigungsfrist maximal zwölf Monate betragen darf. Wird ein befristeter Vertrag abgeschlossen, so darf dieser die Dauer von ein Jahr nicht überschreiten.</w:t>
            </w:r>
          </w:p>
        </w:tc>
      </w:tr>
      <w:tr>
        <w:trPr/>
        <w:tc>
          <w:tcPr>
            <w:tcW w:w="3667"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39 Mandates of a Member of the Board of Directors outside the Company</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7 mandates for publicly traded companies pursuant to article 727 para. 1 number 1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8 mandates for companies pursuant to article 727 para. 1 number 2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mandates for companies which do not fulfil the criteria under a) and b) hereunder.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930"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39 Mandate eines Verwaltungsratsmitglieds ausserhalb der Gesellschaft</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7 Mandate für Publikumsgesellschaften gemäss Artikel 727 Abs. 1 Ziff. 1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8 Mandate für Gesellschaften gemäss Artikel 727 Abs. 1 Ziff. 2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 für Rechtseinheiten, welche die Kriterien gemäss lit. a) und b) hiervor nicht erfüllen.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38</w:t>
      </w:r>
    </w:p>
    <w:tbl>
      <w:tblPr>
        <w:tblW w:w="10205" w:type="dxa"/>
        <w:jc w:val="left"/>
        <w:tblInd w:w="0" w:type="dxa"/>
        <w:tblLayout w:type="fixed"/>
        <w:tblCellMar>
          <w:top w:w="28" w:type="dxa"/>
          <w:left w:w="28" w:type="dxa"/>
          <w:bottom w:w="28" w:type="dxa"/>
          <w:right w:w="28" w:type="dxa"/>
        </w:tblCellMar>
      </w:tblPr>
      <w:tblGrid>
        <w:gridCol w:w="4174"/>
        <w:gridCol w:w="1608"/>
        <w:gridCol w:w="4423"/>
      </w:tblGrid>
      <w:tr>
        <w:trPr/>
        <w:tc>
          <w:tcPr>
            <w:tcW w:w="417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423" w:type="dxa"/>
            <w:tcBorders/>
            <w:vAlign w:val="center"/>
          </w:tcPr>
          <w:p>
            <w:pPr>
              <w:pStyle w:val="TableContents"/>
              <w:bidi w:val="0"/>
              <w:spacing w:before="0" w:after="283"/>
              <w:jc w:val="left"/>
              <w:rPr>
                <w:sz w:val="4"/>
                <w:szCs w:val="4"/>
              </w:rPr>
            </w:pPr>
            <w:r>
              <w:rPr>
                <w:sz w:val="4"/>
                <w:szCs w:val="4"/>
              </w:rPr>
            </w:r>
          </w:p>
        </w:tc>
      </w:tr>
      <w:tr>
        <w:trPr/>
        <w:tc>
          <w:tcPr>
            <w:tcW w:w="417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Mandates held in several legal entities each operating under the same management or same beneficial owner (group) are deemed to be a single mandate.</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2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Mandate von verschiedenen Rechtseinheiten, welche aber derselben Führung oder derselben wirtschaftlichen Eigentümerin unterstehen (Konzern), gelten als ein Mandat, dürfen aber insgesamt vierzig nicht übersteigen.</w:t>
            </w:r>
          </w:p>
        </w:tc>
      </w:tr>
      <w:tr>
        <w:trPr/>
        <w:tc>
          <w:tcPr>
            <w:tcW w:w="417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a legal entity fulfills several of the above mentioned criteria, it can be freely counted towards any category. The following mandates are excepted from this restrictions: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mandates in legal entities which are controlled by the Company or which control the Company;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honorary mandates in charitable legal entities.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2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Erfüllt eine Rechtseinheit mehrere der vorgenannten Kriterien, kann sie beliebig jeder auf sie zutreffenden Kategorie zugerechnet werden. Folgende Mandate sind von diesen Beschränkungen ausgenommen: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Mandate in Rechtseinheiten, welche von der Gesellschaft kontrolliert werden oder welche die Gesellschaft kontrollieren;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ind w:left="0" w:right="0" w:firstLine="1355"/>
              <w:jc w:val="both"/>
              <w:rPr>
                <w:rFonts w:ascii="Calibri Light;sans-serif" w:hAnsi="Calibri Light;sans-serif"/>
                <w:color w:val="000000"/>
                <w:sz w:val="20"/>
              </w:rPr>
            </w:pPr>
            <w:r>
              <w:rPr>
                <w:rFonts w:ascii="Calibri Light;sans-serif" w:hAnsi="Calibri Light;sans-serif"/>
                <w:color w:val="000000"/>
                <w:sz w:val="20"/>
              </w:rPr>
              <w:t>Ehrenamtliche Mandate in gemeinnützigen Rechtseinheiten.</w:t>
            </w:r>
          </w:p>
        </w:tc>
      </w:tr>
      <w:tr>
        <w:trPr/>
        <w:tc>
          <w:tcPr>
            <w:tcW w:w="4174" w:type="dxa"/>
            <w:tcBorders/>
            <w:tcMar>
              <w:top w:w="0" w:type="dxa"/>
              <w:left w:w="0" w:type="dxa"/>
              <w:bottom w:w="0" w:type="dxa"/>
              <w:right w:w="0" w:type="dxa"/>
            </w:tcMar>
            <w:vAlign w:val="center"/>
          </w:tcPr>
          <w:p>
            <w:pPr>
              <w:pStyle w:val="TableContents"/>
              <w:pBdr/>
              <w:bidi w:val="0"/>
              <w:spacing w:before="120" w:after="120"/>
              <w:ind w:left="0" w:right="0" w:hanging="1355"/>
              <w:jc w:val="left"/>
              <w:rPr>
                <w:rFonts w:ascii="Calibri Light;sans-serif" w:hAnsi="Calibri Light;sans-serif"/>
                <w:b/>
                <w:color w:val="000000"/>
                <w:sz w:val="20"/>
              </w:rPr>
            </w:pPr>
            <w:r>
              <w:rPr>
                <w:rFonts w:ascii="Calibri Light;sans-serif" w:hAnsi="Calibri Light;sans-serif"/>
                <w:b/>
                <w:color w:val="000000"/>
                <w:sz w:val="20"/>
              </w:rPr>
              <w:t>Article 40 Mandates of a Member of the Executive Committee outside the Company</w:t>
            </w:r>
          </w:p>
          <w:p>
            <w:pPr>
              <w:pStyle w:val="TableContents"/>
              <w:bidi w:val="0"/>
              <w:spacing w:before="0" w:after="120"/>
              <w:ind w:left="0" w:right="0" w:firstLine="1355"/>
              <w:jc w:val="left"/>
              <w:rPr>
                <w:rFonts w:ascii="Calibri Light;sans-serif" w:hAnsi="Calibri Light;sans-serif"/>
                <w:color w:val="000000"/>
                <w:sz w:val="20"/>
              </w:rPr>
            </w:pPr>
            <w:r>
              <w:rPr>
                <w:rFonts w:ascii="Calibri Light;sans-serif" w:hAnsi="Calibri Light;sans-serif"/>
                <w:color w:val="000000"/>
                <w:sz w:val="20"/>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bidi w:val="0"/>
              <w:spacing w:before="0" w:after="120"/>
              <w:ind w:left="0" w:right="0" w:firstLine="1355"/>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2 mandates for publicly traded companies pursuant to article 727 para. 1 number 1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3 mandates for companies pursuant to article 727 para. 1 number 2 CO; and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mandates for companies which do not fulfil the criteria under litera a) and b) hereunder.</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423"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Times New Roman" w:hAnsi="Times New Roman"/>
                <w:sz w:val="20"/>
              </w:rPr>
            </w:pPr>
            <w:r>
              <w:rPr>
                <w:rFonts w:ascii="Calibri Light;sans-serif" w:hAnsi="Calibri Light;sans-serif"/>
                <w:b/>
                <w:color w:val="000000"/>
                <w:sz w:val="20"/>
              </w:rPr>
              <w:t>Artikel 40 Mandate eines Geschäftsleitungsmitglieds ausserhalb der Gesellschaft</w:t>
              <w:br/>
            </w:r>
            <w:r>
              <w:rPr>
                <w:rFonts w:ascii="Times New Roman" w:hAnsi="Times New Roman"/>
                <w:color w:val="000000"/>
                <w:sz w:val="20"/>
              </w:rPr>
              <w:t> </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pStyle w:val="TableContents"/>
              <w:bidi w:val="0"/>
              <w:spacing w:before="0" w:after="120"/>
              <w:ind w:left="0" w:right="0" w:firstLine="1357"/>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2 Mandate für Publikumsgesellschaften gemäss Artikel 727 Abs. 1 Ziff. 1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3 Mandate für Gesellschaften gemäss Artikel 727 Abs. 1 Ziff. 2 OR; und</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5 Mandate für Rechtseinheiten, welche die Kriterien gemäss lit. a) und b) hiervor nicht erfüllen.</w:t>
            </w:r>
          </w:p>
        </w:tc>
      </w:tr>
      <w:tr>
        <w:trPr/>
        <w:tc>
          <w:tcPr>
            <w:tcW w:w="41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Mandates held in several legal entities each operating under the same management or same beneficial owner</w:t>
            </w:r>
            <w:r>
              <w:rPr>
                <w:rFonts w:ascii="Times New Roman" w:hAnsi="Times New Roman"/>
                <w:color w:val="000000"/>
                <w:sz w:val="20"/>
              </w:rPr>
              <w:t xml:space="preserve"> </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42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Mandate von verschiedenen Rechtseinheiten, welche aber derselben Führung oder derselben</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39</w:t>
      </w:r>
    </w:p>
    <w:tbl>
      <w:tblPr>
        <w:tblW w:w="10205" w:type="dxa"/>
        <w:jc w:val="left"/>
        <w:tblInd w:w="0" w:type="dxa"/>
        <w:tblLayout w:type="fixed"/>
        <w:tblCellMar>
          <w:top w:w="28" w:type="dxa"/>
          <w:left w:w="28" w:type="dxa"/>
          <w:bottom w:w="28" w:type="dxa"/>
          <w:right w:w="28" w:type="dxa"/>
        </w:tblCellMar>
      </w:tblPr>
      <w:tblGrid>
        <w:gridCol w:w="3741"/>
        <w:gridCol w:w="251"/>
        <w:gridCol w:w="6213"/>
      </w:tblGrid>
      <w:tr>
        <w:trPr/>
        <w:tc>
          <w:tcPr>
            <w:tcW w:w="37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13" w:type="dxa"/>
            <w:tcBorders/>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(group) are deemed to be a single mandate.</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wirtschaftlichen Eigentümerin unterstehen (Konzern), gelten als ein Mandat.</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a legal entity fulfills several of the above mentioned criteria, it can be freely counted towards any category. The following mandates are excepted from this restrictions: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pPr>
            <w:r>
              <w:rPr>
                <w:rFonts w:ascii="Calibri Light;sans-serif" w:hAnsi="Calibri Light;sans-serif"/>
                <w:color w:val="000000"/>
                <w:sz w:val="20"/>
              </w:rPr>
              <w:t xml:space="preserve">mandates in legal entities which are controlled by the Company or which control the Company; </w:t>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honorary mandates in charitable legal entities.</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Erfüllt eine Rechtseinheit mehrere der vorgenannten Kriterien, kann sie beliebig jeder auf sie zutreffenden Kategorie zugerechnet werden. Folgende Mandate sind von diesen Beschränkungen ausgenommen: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Mandate in Rechtseinheiten, welche von der Gesellschaft kontrolliert werden oder welche die Gesellschaft kontrollieren;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Ehrenamtliche Mandate in gemeinnützigen Rechtseinheiten.</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b/>
                <w:color w:val="000000"/>
                <w:sz w:val="20"/>
              </w:rPr>
              <w:t>Article 41 Loans and Credits</w:t>
            </w:r>
            <w:r>
              <w:rPr>
                <w:rFonts w:ascii="Times New Roman" w:hAnsi="Times New Roman"/>
                <w:color w:val="000000"/>
                <w:sz w:val="20"/>
              </w:rPr>
              <w:t xml:space="preserve">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31.</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b/>
                <w:color w:val="000000"/>
                <w:sz w:val="20"/>
              </w:rPr>
              <w:t>Artikel 41 Darlehen und Kredite</w:t>
            </w:r>
            <w:r>
              <w:rPr>
                <w:rFonts w:ascii="Times New Roman" w:hAnsi="Times New Roman"/>
                <w:color w:val="000000"/>
                <w:sz w:val="20"/>
              </w:rPr>
              <w:t xml:space="preserve"> </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Den Mitgliedern des Verwaltungsrats und der Geschäftsleitung dürfen keine Darlehen, Kredite oder Sicherheiten gewährt werden. Ausnahme davon bilden Vorschusszahlungen über einen Betrag von maximal CHF 500'000 pro Person für Anwalts-, Gerichts- und ähnliche Kosten zur Abwehr von Verantwortlichkeitsansprüchen, sofern zulässig nach Artikel 31.</w:t>
            </w:r>
          </w:p>
        </w:tc>
      </w:tr>
      <w:tr>
        <w:trPr/>
        <w:tc>
          <w:tcPr>
            <w:tcW w:w="374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42 Pension Funds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42 Pensionskasse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tc>
      </w:tr>
      <w:tr>
        <w:trPr/>
        <w:tc>
          <w:tcPr>
            <w:tcW w:w="37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Members of the Executive Committee participate in the Company's pension plans (the Company's pension fund and the management pension plan). The pension plans conform to the legal requirements (BVG). For members of the Executive Committee, the insured income</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621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Calibri Light;sans-serif" w:hAnsi="Calibri Light;sans-serif"/>
                <w:color w:val="000000"/>
                <w:sz w:val="20"/>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 dem Betrag der fixen Vergütung zuzüglich 50% der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40</w:t>
      </w:r>
    </w:p>
    <w:tbl>
      <w:tblPr>
        <w:tblW w:w="10205" w:type="dxa"/>
        <w:jc w:val="left"/>
        <w:tblInd w:w="0" w:type="dxa"/>
        <w:tblLayout w:type="fixed"/>
        <w:tblCellMar>
          <w:top w:w="28" w:type="dxa"/>
          <w:left w:w="28" w:type="dxa"/>
          <w:bottom w:w="28" w:type="dxa"/>
          <w:right w:w="28" w:type="dxa"/>
        </w:tblCellMar>
      </w:tblPr>
      <w:tblGrid>
        <w:gridCol w:w="4481"/>
        <w:gridCol w:w="251"/>
        <w:gridCol w:w="5473"/>
      </w:tblGrid>
      <w:tr>
        <w:trPr/>
        <w:tc>
          <w:tcPr>
            <w:tcW w:w="44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r>
      <w:tr>
        <w:trPr/>
        <w:tc>
          <w:tcPr>
            <w:tcW w:w="4481"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is defined as the fixed remuneration plus 50% of the target performance-related remuneration, up to the legal maximum. Equity-linked income components are not included.</w:t>
            </w:r>
          </w:p>
        </w:tc>
        <w:tc>
          <w:tcPr>
            <w:tcW w:w="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erfolgsabhängigen Vergütung bis zum gesetzlichen Maximum. Aktienbezogene Vergütungen werden nicht berücksichtigt.</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tc>
      </w:tr>
      <w:tr>
        <w:trPr/>
        <w:tc>
          <w:tcPr>
            <w:tcW w:w="448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Article 43 Option and Share Plans</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to be determined by the Board of Directors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r>
              <w:rPr>
                <w:rFonts w:ascii="Times New Roman" w:hAnsi="Times New Roman"/>
                <w:color w:val="000000"/>
                <w:sz w:val="20"/>
              </w:rPr>
              <w:t xml:space="preserve"> </w:t>
            </w:r>
          </w:p>
        </w:tc>
        <w:tc>
          <w:tcPr>
            <w:tcW w:w="251" w:type="dxa"/>
            <w:tcBorders/>
            <w:tcMar>
              <w:top w:w="0" w:type="dxa"/>
              <w:left w:w="0" w:type="dxa"/>
              <w:bottom w:w="0" w:type="dxa"/>
              <w:right w:w="0" w:type="dxa"/>
            </w:tcMar>
            <w:vAlign w:val="center"/>
          </w:tcPr>
          <w:p>
            <w:pPr>
              <w:pStyle w:val="Heading1"/>
              <w:bidi w:val="0"/>
              <w:spacing w:before="120" w:after="120"/>
              <w:jc w:val="left"/>
              <w:rPr/>
            </w:pPr>
            <w:r>
              <w:rPr/>
              <w:t> </w:t>
            </w:r>
          </w:p>
        </w:tc>
        <w:tc>
          <w:tcPr>
            <w:tcW w:w="547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b/>
                <w:color w:val="000000"/>
                <w:sz w:val="20"/>
              </w:rPr>
            </w:pPr>
            <w:r>
              <w:rPr>
                <w:rFonts w:ascii="Calibri Light;sans-serif" w:hAnsi="Calibri Light;sans-serif"/>
                <w:b/>
                <w:color w:val="000000"/>
                <w:sz w:val="20"/>
              </w:rPr>
              <w:t>Artikel 43 Options- und Aktienpläne</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Gemäss dem Optionsplan der Gesellschaft, teilt der Verwaltungsrat auf Antrag des Vergütungsausschusses den Mitgliedern der Geschäftsleitung und des Verwaltungsrats eine bestimmte Anzahl Optionen, Aktien oder anderen eigenkapitalbasierten Instrumenten zu, welche einer durch den Verwaltungsrat festzulegenden Sperrfrist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Es liegt im freien Ermessen des Verwaltungsrats, ob und wem Optionen, Aktien oder anderen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41</w:t>
      </w:r>
    </w:p>
    <w:tbl>
      <w:tblPr>
        <w:tblW w:w="10205" w:type="dxa"/>
        <w:jc w:val="left"/>
        <w:tblInd w:w="0" w:type="dxa"/>
        <w:tblLayout w:type="fixed"/>
        <w:tblCellMar>
          <w:top w:w="28" w:type="dxa"/>
          <w:left w:w="28" w:type="dxa"/>
          <w:bottom w:w="28" w:type="dxa"/>
          <w:right w:w="28" w:type="dxa"/>
        </w:tblCellMar>
      </w:tblPr>
      <w:tblGrid>
        <w:gridCol w:w="4250"/>
        <w:gridCol w:w="650"/>
        <w:gridCol w:w="5305"/>
      </w:tblGrid>
      <w:tr>
        <w:trPr/>
        <w:tc>
          <w:tcPr>
            <w:tcW w:w="42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305"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250"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w:t>
            </w:r>
          </w:p>
          <w:p>
            <w:pPr>
              <w:pStyle w:val="TableContents"/>
              <w:bidi w:val="0"/>
              <w:spacing w:before="120" w:after="120"/>
              <w:jc w:val="both"/>
              <w:rPr>
                <w:rFonts w:ascii="Calibri Light;sans-serif" w:hAnsi="Calibri Light;sans-serif"/>
                <w:color w:val="000000"/>
                <w:sz w:val="20"/>
              </w:rPr>
            </w:pPr>
            <w:r>
              <w:rPr>
                <w:rFonts w:ascii="Calibri Light;sans-serif" w:hAnsi="Calibri Light;sans-serif"/>
                <w:color w:val="000000"/>
                <w:sz w:val="20"/>
              </w:rPr>
              <w:t>it is the sole discretion of the Board of Directors to decide whether to allocate options, shares and other equity-linked instruments and to whom;</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year, the Board of Directors, upon proposal of the Compensation Committee, stipulates the number of options and shares to be allocated, the date of allocation and the strike price;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each option incorporates a non-transferable, pre-emptive, and contingent right to acquire a certain number of Company's shares;</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pPr>
            <w:r>
              <w:rPr>
                <w:rFonts w:ascii="Calibri Light;sans-serif" w:hAnsi="Calibri Light;sans-serif"/>
                <w:color w:val="000000"/>
                <w:sz w:val="20"/>
              </w:rPr>
              <w:t xml:space="preserve">in the case of a change of control (as defined in the Option Plan) or delisting of the Company's shares, the Board may decide that the vesting period shall end (accelerated vesting) and whether the participating member of the Executive Committee or the Board shall be entitled to exercise the options on a pro rata basis on the day the transaction that led to the change of control or delisting was executed. It is at the sole discretion of the Board of Directors to decide upon proposal of the Compensation Committee whether the objectives have been met; </w:t>
              <w:br/>
              <w:br/>
            </w:r>
            <w:r>
              <w:rPr>
                <w:color w:val="000000"/>
              </w:rPr>
              <w:t>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pPr>
            <w:r>
              <w:rPr>
                <w:rFonts w:ascii="Calibri Light;sans-serif" w:hAnsi="Calibri Light;sans-serif"/>
                <w:color w:val="000000"/>
                <w:sz w:val="20"/>
              </w:rPr>
              <w:t xml:space="preserve">the individual members of the Executive Committee or the Board of Directors participating in the Option Plan are responsible for paying any taxes or social security contributions for which they are legally liable and for declaring income correctly to the authorities; </w:t>
              <w:br/>
            </w:r>
            <w:r>
              <w:rPr>
                <w:color w:val="000000"/>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it is at the sole discretion of the Board of Directors to decide whether to </w:t>
            </w:r>
          </w:p>
        </w:tc>
        <w:tc>
          <w:tcPr>
            <w:tcW w:w="650"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5305" w:type="dxa"/>
            <w:tcBorders/>
            <w:tcMar>
              <w:top w:w="0" w:type="dxa"/>
              <w:left w:w="0" w:type="dxa"/>
              <w:bottom w:w="0" w:type="dxa"/>
              <w:right w:w="0" w:type="dxa"/>
            </w:tcMar>
            <w:vAlign w:val="center"/>
          </w:tcPr>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eigenkapitalbasierten Instrumenten zugeteilt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b)</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Verwaltungsrat bestimmt jährlich auf Antrag des Vergütungsausschusses Anzahl und Datum der Zuteilung sowie Ausübungspreis der Optionen und Aktien;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Jede Option begründet ein unübertragbares, bedingtes Bezugsrecht eine bestimmte Anzahl Aktien der Gesellschaft zu erwerben;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d)</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 xml:space="preserve">Im Falle eines Kontrollwechsels (gemäss Definition im Optionsplan) oder der Dekotierung der Aktien kann der Verwaltungsrat entscheiden, ob die Sperrfrist vorzeitig endet und das teilnehmende Geschäftsleitungsmitglied oder Mitglied des Verwaltungsrat entsprechend berechtigt wird, seine Optionen pro-rata basierend auf dem Stichtag der Transaktion, welche zum Kontrollwechsel geführt hat, oder der Dekotierung der Aktien auszuüben. Der Verwaltungsrat entscheidet nach freiem Ermessen und auf Antrag des Vergütungsausschusses, ob die Ziele in diesem Zusammenhang gegeben sind;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Das jeweilige Mitglied der Geschäftsleitung oder des Verwaltungsrats, welches am Optionsplan teilnimmt, ist selber dafür verantwortlich, dass die vom Empfänger zu bezahlenden Steuern oder Sozialabgaben bezahlt und Einkommen der zuständigen Behörden korrekt gemeldet werden.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f)</w:t>
            </w:r>
          </w:p>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Der Verwaltungsrat entscheidet nach freiem Ermessen über Ergänzungen des Optionsplans im Rahmen der obgenannten Grundsätze oder über dessen Beendigung.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42</w:t>
      </w:r>
    </w:p>
    <w:tbl>
      <w:tblPr>
        <w:tblW w:w="10205" w:type="dxa"/>
        <w:jc w:val="left"/>
        <w:tblInd w:w="0" w:type="dxa"/>
        <w:tblLayout w:type="fixed"/>
        <w:tblCellMar>
          <w:top w:w="28" w:type="dxa"/>
          <w:left w:w="28" w:type="dxa"/>
          <w:bottom w:w="28" w:type="dxa"/>
          <w:right w:w="28" w:type="dxa"/>
        </w:tblCellMar>
      </w:tblPr>
      <w:tblGrid>
        <w:gridCol w:w="4211"/>
        <w:gridCol w:w="1041"/>
        <w:gridCol w:w="4953"/>
      </w:tblGrid>
      <w:tr>
        <w:trPr/>
        <w:tc>
          <w:tcPr>
            <w:tcW w:w="4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953" w:type="dxa"/>
            <w:tcBorders/>
            <w:vAlign w:val="center"/>
          </w:tcPr>
          <w:p>
            <w:pPr>
              <w:pStyle w:val="TableContents"/>
              <w:bidi w:val="0"/>
              <w:spacing w:before="0" w:after="283"/>
              <w:ind w:left="0" w:right="0" w:firstLine="432"/>
              <w:jc w:val="left"/>
              <w:rPr>
                <w:sz w:val="4"/>
                <w:szCs w:val="4"/>
              </w:rPr>
            </w:pPr>
            <w:r>
              <w:rPr>
                <w:sz w:val="4"/>
                <w:szCs w:val="4"/>
              </w:rPr>
            </w:r>
          </w:p>
        </w:tc>
      </w:tr>
      <w:tr>
        <w:trPr/>
        <w:tc>
          <w:tcPr>
            <w:tcW w:w="4211" w:type="dxa"/>
            <w:tcBorders/>
            <w:tcMar>
              <w:top w:w="0" w:type="dxa"/>
              <w:left w:w="0" w:type="dxa"/>
              <w:bottom w:w="0" w:type="dxa"/>
              <w:right w:w="0" w:type="dxa"/>
            </w:tcMar>
            <w:vAlign w:val="center"/>
          </w:tcPr>
          <w:p>
            <w:pPr>
              <w:pStyle w:val="TableContents"/>
              <w:bidi w:val="0"/>
              <w:spacing w:before="0" w:after="120"/>
              <w:jc w:val="both"/>
              <w:rPr>
                <w:rFonts w:ascii="Calibri Light;sans-serif" w:hAnsi="Calibri Light;sans-serif"/>
                <w:color w:val="000000"/>
                <w:sz w:val="20"/>
              </w:rPr>
            </w:pPr>
            <w:r>
              <w:rPr>
                <w:rFonts w:ascii="Calibri Light;sans-serif" w:hAnsi="Calibri Light;sans-serif"/>
                <w:color w:val="000000"/>
                <w:sz w:val="20"/>
              </w:rPr>
              <w:t>supplement the Option Plan within the bounds of the principles set out above or to discontinue it.</w:t>
            </w:r>
          </w:p>
        </w:tc>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ind w:left="0" w:right="0" w:firstLine="788"/>
              <w:jc w:val="left"/>
              <w:rPr>
                <w:rFonts w:ascii="Calibri Light;sans-serif" w:hAnsi="Calibri Light;sans-serif"/>
                <w:color w:val="000000"/>
                <w:sz w:val="20"/>
              </w:rPr>
            </w:pPr>
            <w:r>
              <w:rPr>
                <w:rFonts w:ascii="Calibri Light;sans-serif" w:hAnsi="Calibri Light;sans-serif"/>
                <w:color w:val="000000"/>
                <w:sz w:val="20"/>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tc>
      </w:tr>
      <w:tr>
        <w:trPr/>
        <w:tc>
          <w:tcPr>
            <w:tcW w:w="4211"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VIII. Fiscal Year, Accounting principles, Allocation of Profits</w:t>
            </w:r>
          </w:p>
        </w:tc>
        <w:tc>
          <w:tcPr>
            <w:tcW w:w="1041"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953" w:type="dxa"/>
            <w:tcBorders/>
            <w:tcMar>
              <w:top w:w="0" w:type="dxa"/>
              <w:left w:w="0" w:type="dxa"/>
              <w:bottom w:w="0" w:type="dxa"/>
              <w:right w:w="0" w:type="dxa"/>
            </w:tcMar>
            <w:vAlign w:val="center"/>
          </w:tcPr>
          <w:p>
            <w:pPr>
              <w:pStyle w:val="Heading1"/>
              <w:pBdr/>
              <w:bidi w:val="0"/>
              <w:spacing w:before="360" w:after="360"/>
              <w:ind w:left="0" w:right="0" w:hanging="790"/>
              <w:jc w:val="left"/>
              <w:rPr>
                <w:rFonts w:ascii="Calibri Light;sans-serif" w:hAnsi="Calibri Light;sans-serif"/>
                <w:caps/>
                <w:color w:val="000000"/>
                <w:sz w:val="20"/>
              </w:rPr>
            </w:pPr>
            <w:r>
              <w:rPr>
                <w:rFonts w:ascii="Calibri Light;sans-serif" w:hAnsi="Calibri Light;sans-serif"/>
                <w:caps/>
                <w:color w:val="000000"/>
                <w:sz w:val="20"/>
              </w:rPr>
              <w:t>VIII. Geschäftsjahr, REchnungslegung, Gewinnverteilung</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44 Fiscal Year</w:t>
            </w:r>
          </w:p>
          <w:p>
            <w:pPr>
              <w:pStyle w:val="TableContents"/>
              <w:bidi w:val="0"/>
              <w:spacing w:before="0" w:after="120"/>
              <w:jc w:val="left"/>
              <w:rPr>
                <w:rFonts w:ascii="Times New Roman" w:hAnsi="Times New Roman"/>
                <w:sz w:val="20"/>
              </w:rPr>
            </w:pPr>
            <w:r>
              <w:rPr>
                <w:rFonts w:ascii="Calibri Light;sans-serif" w:hAnsi="Calibri Light;sans-serif"/>
                <w:color w:val="000000"/>
                <w:sz w:val="20"/>
              </w:rPr>
              <w:t>The Board of Directors shall determine the start and the end of the Company's business year.</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44 Geschäftsjahr</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Verwaltungsrat bestimmt, wann das Geschäftsjahr beginnt und wann es endet.</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45 Accounting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annual accounts consist of the profit and loss statement, the balance sheet, the cash flow statement, the annex and the management report, and shall be drawn up pursuant to the provisions of the Swiss Code of Obligations, particularly of articles 958 et seq. CO, and the generally accepted commercial principles and customary rules in that business area.</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45 Rechnungslegung</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Die Jahresrechnung besteht aus der Erfolgsrechnung, der Bilanz, der Geldflussrechnung, dem Anhang und dem Lagebericht und ist gemäss den Vorschriften des Schweizerischen Obligationenrechts, insbesondere Artikeln 958 ff. OR, sowie nach den allgemein anerkannten kaufmännischen und branchenüblichen Grundsätzen zu erstellen.</w:t>
            </w:r>
          </w:p>
        </w:tc>
      </w:tr>
      <w:tr>
        <w:trPr/>
        <w:tc>
          <w:tcPr>
            <w:tcW w:w="4211"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If required by law, the consolidated financial statements shall be drawn in accordance with the provisions of article 962 CO.</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Die Konzernrechnung wird, sofern gesetzlich vorgeschrieben, gemäss den Bestimmungen von Artikeln 962 OR erstellt.</w:t>
            </w:r>
          </w:p>
        </w:tc>
      </w:tr>
      <w:tr>
        <w:trPr/>
        <w:tc>
          <w:tcPr>
            <w:tcW w:w="4211"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46 Allocation of Profits</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Subject to the legal provisions regarding distribution of profits, the profit as shown on the balance sheet shall be allocated by</w:t>
            </w:r>
            <w:r>
              <w:rPr>
                <w:rFonts w:ascii="Times New Roman" w:hAnsi="Times New Roman"/>
                <w:color w:val="000000"/>
                <w:sz w:val="20"/>
              </w:rPr>
              <w:t xml:space="preserve"> </w:t>
            </w:r>
          </w:p>
        </w:tc>
        <w:tc>
          <w:tcPr>
            <w:tcW w:w="1041" w:type="dxa"/>
            <w:tcBorders/>
            <w:tcMar>
              <w:top w:w="0" w:type="dxa"/>
              <w:left w:w="0" w:type="dxa"/>
              <w:bottom w:w="0" w:type="dxa"/>
              <w:right w:w="0" w:type="dxa"/>
            </w:tcMar>
            <w:vAlign w:val="center"/>
          </w:tcPr>
          <w:p>
            <w:pPr>
              <w:pStyle w:val="Heading1"/>
              <w:bidi w:val="0"/>
              <w:spacing w:before="120" w:after="120"/>
              <w:jc w:val="left"/>
              <w:rPr/>
            </w:pPr>
            <w:r>
              <w:rPr/>
              <w:t> </w:t>
            </w:r>
          </w:p>
        </w:tc>
        <w:tc>
          <w:tcPr>
            <w:tcW w:w="495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46 Gewinnverteilung</w:t>
            </w:r>
          </w:p>
          <w:p>
            <w:pPr>
              <w:pStyle w:val="TableContents"/>
              <w:bidi w:val="0"/>
              <w:spacing w:before="0" w:after="283"/>
              <w:jc w:val="left"/>
              <w:rPr>
                <w:rFonts w:ascii="Times New Roman" w:hAnsi="Times New Roman"/>
                <w:sz w:val="20"/>
              </w:rPr>
            </w:pPr>
            <w:r>
              <w:rPr>
                <w:rFonts w:ascii="Calibri Light;sans-serif" w:hAnsi="Calibri Light;sans-serif"/>
                <w:color w:val="000000"/>
                <w:sz w:val="20"/>
              </w:rPr>
              <w:t>Die Generalversammlung beschliesst nach Entgegennahme der Anträge des Verwaltungsrates und des Berichtes der Revisionsstelle unter Vorbehalt</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43</w:t>
      </w:r>
    </w:p>
    <w:tbl>
      <w:tblPr>
        <w:tblW w:w="10205" w:type="dxa"/>
        <w:jc w:val="left"/>
        <w:tblInd w:w="0" w:type="dxa"/>
        <w:tblLayout w:type="fixed"/>
        <w:tblCellMar>
          <w:top w:w="28" w:type="dxa"/>
          <w:left w:w="28" w:type="dxa"/>
          <w:bottom w:w="28" w:type="dxa"/>
          <w:right w:w="28" w:type="dxa"/>
        </w:tblCellMar>
      </w:tblPr>
      <w:tblGrid>
        <w:gridCol w:w="3703"/>
        <w:gridCol w:w="1608"/>
        <w:gridCol w:w="4894"/>
      </w:tblGrid>
      <w:tr>
        <w:trPr/>
        <w:tc>
          <w:tcPr>
            <w:tcW w:w="370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3703"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General Meeting at its discretion after receipt of the proposals of the Board of Directors and the Auditors.</w:t>
            </w:r>
          </w:p>
        </w:tc>
        <w:tc>
          <w:tcPr>
            <w:tcW w:w="1608" w:type="dxa"/>
            <w:tcBorders/>
            <w:tcMar>
              <w:top w:w="0" w:type="dxa"/>
              <w:left w:w="0" w:type="dxa"/>
              <w:bottom w:w="0" w:type="dxa"/>
              <w:right w:w="0" w:type="dxa"/>
            </w:tcMar>
            <w:vAlign w:val="center"/>
          </w:tcPr>
          <w:p>
            <w:pPr>
              <w:pStyle w:val="TableContents"/>
              <w:bidi w:val="0"/>
              <w:spacing w:before="0" w:after="283"/>
              <w:jc w:val="left"/>
              <w:rPr/>
            </w:pPr>
            <w:r>
              <w:rPr/>
              <w:t> </w:t>
            </w:r>
          </w:p>
        </w:tc>
        <w:tc>
          <w:tcPr>
            <w:tcW w:w="4894" w:type="dxa"/>
            <w:tcBorders/>
            <w:tcMar>
              <w:top w:w="0" w:type="dxa"/>
              <w:left w:w="0" w:type="dxa"/>
              <w:bottom w:w="0" w:type="dxa"/>
              <w:right w:w="0" w:type="dxa"/>
            </w:tcMar>
            <w:vAlign w:val="center"/>
          </w:tcPr>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der gesetzlichen Bestimmungen über die Verwendung des Bilanzgewinnes und setzt die Dividende und den Zeitpunkt ihrer Auszahlung fest.</w:t>
            </w:r>
          </w:p>
        </w:tc>
      </w:tr>
      <w:tr>
        <w:trPr/>
        <w:tc>
          <w:tcPr>
            <w:tcW w:w="370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addition to the legal reserves, the General Meeting may create supplemental reserves.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9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Zusätzlich zu den gesetzlichen Reserven kann die Generalversammlung zusätzliche Reserven bereitstellen.</w:t>
            </w:r>
          </w:p>
        </w:tc>
      </w:tr>
      <w:tr>
        <w:trPr/>
        <w:tc>
          <w:tcPr>
            <w:tcW w:w="370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Dividends not claimed within five years after the due date shall remain with the Company and be allocated to the general reserves.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94" w:type="dxa"/>
            <w:tcBorders/>
            <w:tcMar>
              <w:top w:w="0" w:type="dxa"/>
              <w:left w:w="0" w:type="dxa"/>
              <w:bottom w:w="0" w:type="dxa"/>
              <w:right w:w="0" w:type="dxa"/>
            </w:tcMar>
            <w:vAlign w:val="center"/>
          </w:tcPr>
          <w:p>
            <w:pPr>
              <w:pStyle w:val="TableContents"/>
              <w:bidi w:val="0"/>
              <w:spacing w:before="120" w:after="120"/>
              <w:ind w:left="0" w:right="0" w:firstLine="790"/>
              <w:jc w:val="left"/>
              <w:rPr>
                <w:rFonts w:ascii="Calibri Light;sans-serif" w:hAnsi="Calibri Light;sans-serif"/>
                <w:color w:val="000000"/>
                <w:sz w:val="20"/>
              </w:rPr>
            </w:pPr>
            <w:r>
              <w:rPr>
                <w:rFonts w:ascii="Calibri Light;sans-serif" w:hAnsi="Calibri Light;sans-serif"/>
                <w:color w:val="000000"/>
                <w:sz w:val="20"/>
              </w:rPr>
              <w:t>Dividenden, die nicht innerhalb von fünf Jahren nach dem Fälligkeitstag beansprucht werden, verbleiben bei der Gesellschaft und werden den allgemeinen Rücklagen zugeführt.</w:t>
            </w:r>
          </w:p>
        </w:tc>
      </w:tr>
      <w:tr>
        <w:trPr/>
        <w:tc>
          <w:tcPr>
            <w:tcW w:w="3703"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Ix. Dissolution and Liquidation</w:t>
            </w:r>
          </w:p>
        </w:tc>
        <w:tc>
          <w:tcPr>
            <w:tcW w:w="1608"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894" w:type="dxa"/>
            <w:tcBorders/>
            <w:tcMar>
              <w:top w:w="0" w:type="dxa"/>
              <w:left w:w="0" w:type="dxa"/>
              <w:bottom w:w="0" w:type="dxa"/>
              <w:right w:w="0" w:type="dxa"/>
            </w:tcMar>
            <w:vAlign w:val="center"/>
          </w:tcPr>
          <w:p>
            <w:pPr>
              <w:pStyle w:val="Heading1"/>
              <w:pBdr/>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ix. Auflösung und Liquidation</w:t>
            </w:r>
          </w:p>
        </w:tc>
      </w:tr>
      <w:tr>
        <w:trPr/>
        <w:tc>
          <w:tcPr>
            <w:tcW w:w="3703"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Article 47 Dissolution and Liquidation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The dissolution and liquidation of the Company shall take place in accordance with the provisions of the Swiss Code of Obligations.</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94"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Artikel 47 Auflösung und Liquidation</w:t>
            </w:r>
          </w:p>
          <w:p>
            <w:pPr>
              <w:pStyle w:val="TableContents"/>
              <w:bidi w:val="0"/>
              <w:spacing w:before="0" w:after="120"/>
              <w:ind w:left="0" w:right="0" w:firstLine="790"/>
              <w:jc w:val="left"/>
              <w:rPr>
                <w:rFonts w:ascii="Calibri Light;sans-serif" w:hAnsi="Calibri Light;sans-serif"/>
                <w:color w:val="000000"/>
                <w:sz w:val="20"/>
              </w:rPr>
            </w:pPr>
            <w:r>
              <w:rPr>
                <w:rFonts w:ascii="Calibri Light;sans-serif" w:hAnsi="Calibri Light;sans-serif"/>
                <w:color w:val="000000"/>
                <w:sz w:val="20"/>
              </w:rPr>
              <w:t>Für die Auflösung und Liquidation der Gesellschaft gelten die Bestimmungen des Schweizerischen Obligationenrechts.</w:t>
            </w:r>
          </w:p>
        </w:tc>
      </w:tr>
      <w:tr>
        <w:trPr/>
        <w:tc>
          <w:tcPr>
            <w:tcW w:w="3703"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X. Notices and Publications</w:t>
            </w:r>
          </w:p>
        </w:tc>
        <w:tc>
          <w:tcPr>
            <w:tcW w:w="1608"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894" w:type="dxa"/>
            <w:tcBorders/>
            <w:tcMar>
              <w:top w:w="0" w:type="dxa"/>
              <w:left w:w="0" w:type="dxa"/>
              <w:bottom w:w="0" w:type="dxa"/>
              <w:right w:w="0" w:type="dxa"/>
            </w:tcMar>
            <w:vAlign w:val="center"/>
          </w:tcPr>
          <w:p>
            <w:pPr>
              <w:pStyle w:val="Heading1"/>
              <w:pBdr/>
              <w:bidi w:val="0"/>
              <w:spacing w:before="360" w:after="360"/>
              <w:ind w:left="0" w:right="0" w:hanging="790"/>
              <w:jc w:val="left"/>
              <w:rPr>
                <w:rFonts w:ascii="Calibri Light;sans-serif" w:hAnsi="Calibri Light;sans-serif"/>
                <w:caps/>
                <w:color w:val="000000"/>
                <w:sz w:val="20"/>
              </w:rPr>
            </w:pPr>
            <w:r>
              <w:rPr>
                <w:rFonts w:ascii="Calibri Light;sans-serif" w:hAnsi="Calibri Light;sans-serif"/>
                <w:caps/>
                <w:color w:val="000000"/>
                <w:sz w:val="20"/>
              </w:rPr>
              <w:t>X. Mitteilungen und Bekanntmachungen</w:t>
            </w:r>
          </w:p>
        </w:tc>
      </w:tr>
      <w:tr>
        <w:trPr/>
        <w:tc>
          <w:tcPr>
            <w:tcW w:w="3703" w:type="dxa"/>
            <w:tcBorders/>
            <w:tcMar>
              <w:top w:w="0" w:type="dxa"/>
              <w:left w:w="0" w:type="dxa"/>
              <w:bottom w:w="0" w:type="dxa"/>
              <w:right w:w="0" w:type="dxa"/>
            </w:tcMar>
            <w:vAlign w:val="center"/>
          </w:tcPr>
          <w:p>
            <w:pPr>
              <w:pStyle w:val="TableContents"/>
              <w:bidi w:val="0"/>
              <w:spacing w:before="120" w:after="120"/>
              <w:jc w:val="both"/>
              <w:rPr>
                <w:rFonts w:ascii="Calibri Light;sans-serif" w:hAnsi="Calibri Light;sans-serif"/>
                <w:b/>
                <w:color w:val="000000"/>
                <w:sz w:val="20"/>
              </w:rPr>
            </w:pPr>
            <w:r>
              <w:rPr>
                <w:rFonts w:ascii="Calibri Light;sans-serif" w:hAnsi="Calibri Light;sans-serif"/>
                <w:b/>
                <w:color w:val="000000"/>
                <w:sz w:val="20"/>
              </w:rPr>
              <w:t>Article 48 Notices and Publications</w:t>
            </w:r>
          </w:p>
          <w:p>
            <w:pPr>
              <w:pStyle w:val="TableContents"/>
              <w:bidi w:val="0"/>
              <w:spacing w:before="0" w:after="120"/>
              <w:jc w:val="left"/>
              <w:rPr>
                <w:rFonts w:ascii="Calibri Light;sans-serif" w:hAnsi="Calibri Light;sans-serif"/>
                <w:color w:val="000000"/>
                <w:sz w:val="20"/>
              </w:rPr>
            </w:pPr>
            <w:r>
              <w:rPr>
                <w:rFonts w:ascii="Calibri Light;sans-serif" w:hAnsi="Calibri Light;sans-serif"/>
                <w:color w:val="000000"/>
                <w:sz w:val="20"/>
              </w:rPr>
              <w:t>The Swiss Official Gazette of Commerce (SOGC) is the official publication medium.</w:t>
            </w:r>
          </w:p>
        </w:tc>
        <w:tc>
          <w:tcPr>
            <w:tcW w:w="1608" w:type="dxa"/>
            <w:tcBorders/>
            <w:tcMar>
              <w:top w:w="0" w:type="dxa"/>
              <w:left w:w="0" w:type="dxa"/>
              <w:bottom w:w="0" w:type="dxa"/>
              <w:right w:w="0" w:type="dxa"/>
            </w:tcMar>
            <w:vAlign w:val="center"/>
          </w:tcPr>
          <w:p>
            <w:pPr>
              <w:pStyle w:val="Heading1"/>
              <w:bidi w:val="0"/>
              <w:spacing w:before="120" w:after="120"/>
              <w:ind w:left="0" w:right="0" w:firstLine="1357"/>
              <w:jc w:val="left"/>
              <w:rPr/>
            </w:pPr>
            <w:r>
              <w:rPr/>
              <w:t> </w:t>
            </w:r>
          </w:p>
        </w:tc>
        <w:tc>
          <w:tcPr>
            <w:tcW w:w="4894"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48 Mitteilungen und Bekanntmachungen</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Das Schweizerische Handelsamtsblatt (SHAB) ist das offizielle Publikationsmedium.</w:t>
            </w:r>
          </w:p>
        </w:tc>
      </w:tr>
      <w:tr>
        <w:trPr/>
        <w:tc>
          <w:tcPr>
            <w:tcW w:w="370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Shareholder communications and notices the shareholders shall be made by publication in the Swiss Official Gazette of Commerce or sent by mail or e-mail to the addresses registered in the share register.</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9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Mitteilungen und Bekanntmachungen an die Aktionäre erfolgen durch Publikation im Schweizerischen Handelsamtsblatt oder durch Brief oder E-Mail an die im Aktienbuch verzeichneten Adressen.</w:t>
            </w:r>
          </w:p>
        </w:tc>
      </w:tr>
      <w:tr>
        <w:trPr/>
        <w:tc>
          <w:tcPr>
            <w:tcW w:w="3703"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Unless the law provides otherwise, notices shall be given to creditors by publication in the Swiss Official Gazette of Commerce. The Board of Directors may assign further means of communication.</w:t>
            </w:r>
          </w:p>
        </w:tc>
        <w:tc>
          <w:tcPr>
            <w:tcW w:w="1608" w:type="dxa"/>
            <w:tcBorders/>
            <w:tcMar>
              <w:top w:w="0" w:type="dxa"/>
              <w:left w:w="0" w:type="dxa"/>
              <w:bottom w:w="0" w:type="dxa"/>
              <w:right w:w="0" w:type="dxa"/>
            </w:tcMar>
            <w:vAlign w:val="center"/>
          </w:tcPr>
          <w:p>
            <w:pPr>
              <w:pStyle w:val="Heading1"/>
              <w:bidi w:val="0"/>
              <w:spacing w:before="120" w:after="120"/>
              <w:jc w:val="left"/>
              <w:rPr/>
            </w:pPr>
            <w:r>
              <w:rPr/>
              <w:t> </w:t>
            </w:r>
          </w:p>
        </w:tc>
        <w:tc>
          <w:tcPr>
            <w:tcW w:w="4894"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Bekanntmachungen an die Gläubiger erfolgen in den vom Gesetz vorgeschriebenen Fällen durch Veröffentlichung im Schweizerischen Handelsamtsblatt, dem Publikationsorgan der Gesellschaft. Der Verwaltungsrat kann weitere Publikationsmittel bezeichnen.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44</w:t>
      </w:r>
    </w:p>
    <w:tbl>
      <w:tblPr>
        <w:tblW w:w="10205" w:type="dxa"/>
        <w:jc w:val="left"/>
        <w:tblInd w:w="0" w:type="dxa"/>
        <w:tblLayout w:type="fixed"/>
        <w:tblCellMar>
          <w:top w:w="28" w:type="dxa"/>
          <w:left w:w="28" w:type="dxa"/>
          <w:bottom w:w="28" w:type="dxa"/>
          <w:right w:w="28" w:type="dxa"/>
        </w:tblCellMar>
      </w:tblPr>
      <w:tblGrid>
        <w:gridCol w:w="4035"/>
        <w:gridCol w:w="1503"/>
        <w:gridCol w:w="4667"/>
      </w:tblGrid>
      <w:tr>
        <w:trPr/>
        <w:tc>
          <w:tcPr>
            <w:tcW w:w="403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4667" w:type="dxa"/>
            <w:tcBorders/>
            <w:vAlign w:val="center"/>
          </w:tcPr>
          <w:p>
            <w:pPr>
              <w:pStyle w:val="TableContents"/>
              <w:bidi w:val="0"/>
              <w:spacing w:before="0" w:after="283"/>
              <w:ind w:left="0" w:right="0" w:firstLine="790"/>
              <w:jc w:val="left"/>
              <w:rPr>
                <w:sz w:val="4"/>
                <w:szCs w:val="4"/>
              </w:rPr>
            </w:pPr>
            <w:r>
              <w:rPr>
                <w:sz w:val="4"/>
                <w:szCs w:val="4"/>
              </w:rPr>
            </w:r>
          </w:p>
        </w:tc>
      </w:tr>
      <w:tr>
        <w:trPr/>
        <w:tc>
          <w:tcPr>
            <w:tcW w:w="4035" w:type="dxa"/>
            <w:tcBorders/>
            <w:tcMar>
              <w:top w:w="0" w:type="dxa"/>
              <w:left w:w="0" w:type="dxa"/>
              <w:bottom w:w="0" w:type="dxa"/>
              <w:right w:w="0" w:type="dxa"/>
            </w:tcMar>
            <w:vAlign w:val="center"/>
          </w:tcPr>
          <w:p>
            <w:pPr>
              <w:pStyle w:val="Heading1"/>
              <w:pBdr/>
              <w:bidi w:val="0"/>
              <w:spacing w:before="360" w:after="360"/>
              <w:ind w:left="0" w:right="0" w:firstLine="790"/>
              <w:jc w:val="left"/>
              <w:rPr>
                <w:rFonts w:ascii="Calibri Light;sans-serif" w:hAnsi="Calibri Light;sans-serif"/>
                <w:caps/>
                <w:color w:val="000000"/>
                <w:sz w:val="20"/>
              </w:rPr>
            </w:pPr>
            <w:r>
              <w:rPr>
                <w:rFonts w:ascii="Calibri Light;sans-serif" w:hAnsi="Calibri Light;sans-serif"/>
                <w:caps/>
                <w:color w:val="000000"/>
                <w:sz w:val="20"/>
              </w:rPr>
              <w:t>XI. QUALIFIED FACTS</w:t>
            </w:r>
          </w:p>
        </w:tc>
        <w:tc>
          <w:tcPr>
            <w:tcW w:w="1503" w:type="dxa"/>
            <w:tcBorders/>
            <w:tcMar>
              <w:top w:w="0" w:type="dxa"/>
              <w:left w:w="0" w:type="dxa"/>
              <w:bottom w:w="0" w:type="dxa"/>
              <w:right w:w="0" w:type="dxa"/>
            </w:tcMar>
            <w:vAlign w:val="center"/>
          </w:tcPr>
          <w:p>
            <w:pPr>
              <w:pStyle w:val="Heading1"/>
              <w:pBdr/>
              <w:bidi w:val="0"/>
              <w:spacing w:before="360" w:after="360"/>
              <w:ind w:left="0" w:right="0" w:firstLine="790"/>
              <w:jc w:val="left"/>
              <w:rPr/>
            </w:pPr>
            <w:r>
              <w:rPr/>
              <w:t> </w:t>
            </w:r>
          </w:p>
        </w:tc>
        <w:tc>
          <w:tcPr>
            <w:tcW w:w="4667" w:type="dxa"/>
            <w:tcBorders/>
            <w:tcMar>
              <w:top w:w="0" w:type="dxa"/>
              <w:left w:w="0" w:type="dxa"/>
              <w:bottom w:w="0" w:type="dxa"/>
              <w:right w:w="0" w:type="dxa"/>
            </w:tcMar>
            <w:vAlign w:val="center"/>
          </w:tcPr>
          <w:p>
            <w:pPr>
              <w:pStyle w:val="Heading1"/>
              <w:pBdr/>
              <w:bidi w:val="0"/>
              <w:spacing w:before="360" w:after="360"/>
              <w:ind w:left="0" w:right="0" w:firstLine="1357"/>
              <w:jc w:val="left"/>
              <w:rPr>
                <w:rFonts w:ascii="Calibri Light;sans-serif" w:hAnsi="Calibri Light;sans-serif"/>
                <w:caps/>
                <w:color w:val="000000"/>
                <w:sz w:val="20"/>
              </w:rPr>
            </w:pPr>
            <w:r>
              <w:rPr>
                <w:rFonts w:ascii="Calibri Light;sans-serif" w:hAnsi="Calibri Light;sans-serif"/>
                <w:caps/>
                <w:color w:val="000000"/>
                <w:sz w:val="20"/>
              </w:rPr>
              <w:t>XI. QUALIFIZIERTE TATBESTÄNDE</w:t>
            </w:r>
          </w:p>
        </w:tc>
      </w:tr>
      <w:tr>
        <w:trPr/>
        <w:tc>
          <w:tcPr>
            <w:tcW w:w="4035"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49 Contribution in Kind</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In connection with the capital increase of 1 March 2023, and in accordance with the contribution in kind agreement as of 1 March 2023 (the Contribution in Kind Agreement), the Company acquires 10'489'371 ordinary shares in the nominal amount of UDS 0.001 each of European Biotech Acquisition Corp with registered seat in George Town, Cayman Islands (EBAC), from Continental Stock Exchange Corp (Contributor), acting in its own name but on behalf of the shareholders of EBAC. The shares of EBAC are acquired for a total value of USD 104'893'710.00. Based on the Contribution in Kind Agreement and as consideration, the Company issues to the Contributor, acting in its own name but for the account of the holders of ordinary shares of EBAC, a total of 10'489'371 fully paid registered shares with a with a par value of CHF 0.01 each.</w:t>
            </w:r>
          </w:p>
        </w:tc>
        <w:tc>
          <w:tcPr>
            <w:tcW w:w="1503" w:type="dxa"/>
            <w:tcBorders/>
            <w:tcMar>
              <w:top w:w="0" w:type="dxa"/>
              <w:left w:w="0" w:type="dxa"/>
              <w:bottom w:w="0" w:type="dxa"/>
              <w:right w:w="0" w:type="dxa"/>
            </w:tcMar>
            <w:vAlign w:val="center"/>
          </w:tcPr>
          <w:p>
            <w:pPr>
              <w:pStyle w:val="TableContents"/>
              <w:bidi w:val="0"/>
              <w:spacing w:before="120" w:after="120"/>
              <w:ind w:left="0" w:right="0" w:firstLine="1357"/>
              <w:jc w:val="both"/>
              <w:rPr/>
            </w:pPr>
            <w:r>
              <w:rPr/>
              <w:t> </w:t>
            </w:r>
          </w:p>
        </w:tc>
        <w:tc>
          <w:tcPr>
            <w:tcW w:w="4667" w:type="dxa"/>
            <w:tcBorders/>
            <w:tcMar>
              <w:top w:w="0" w:type="dxa"/>
              <w:left w:w="0" w:type="dxa"/>
              <w:bottom w:w="0" w:type="dxa"/>
              <w:right w:w="0" w:type="dxa"/>
            </w:tcMar>
            <w:vAlign w:val="center"/>
          </w:tcPr>
          <w:p>
            <w:pPr>
              <w:pStyle w:val="TableContents"/>
              <w:pBdr/>
              <w:bidi w:val="0"/>
              <w:spacing w:before="120" w:after="120"/>
              <w:ind w:left="0" w:right="0" w:hanging="1357"/>
              <w:jc w:val="left"/>
              <w:rPr>
                <w:rFonts w:ascii="Calibri Light;sans-serif" w:hAnsi="Calibri Light;sans-serif"/>
                <w:b/>
                <w:color w:val="000000"/>
                <w:sz w:val="20"/>
              </w:rPr>
            </w:pPr>
            <w:r>
              <w:rPr>
                <w:rFonts w:ascii="Calibri Light;sans-serif" w:hAnsi="Calibri Light;sans-serif"/>
                <w:b/>
                <w:color w:val="000000"/>
                <w:sz w:val="20"/>
              </w:rPr>
              <w:t>Artikel 49 Sacheinlage</w:t>
            </w:r>
          </w:p>
          <w:p>
            <w:pPr>
              <w:pStyle w:val="TableContents"/>
              <w:bidi w:val="0"/>
              <w:spacing w:before="0" w:after="120"/>
              <w:ind w:left="0" w:right="0" w:firstLine="1357"/>
              <w:jc w:val="left"/>
              <w:rPr>
                <w:rFonts w:ascii="Calibri Light;sans-serif" w:hAnsi="Calibri Light;sans-serif"/>
                <w:color w:val="000000"/>
                <w:sz w:val="20"/>
              </w:rPr>
            </w:pPr>
            <w:r>
              <w:rPr>
                <w:rFonts w:ascii="Calibri Light;sans-serif" w:hAnsi="Calibri Light;sans-serif"/>
                <w:color w:val="000000"/>
                <w:sz w:val="20"/>
              </w:rPr>
              <w:t>Die Gesellschaft übernimmt bei der Kapitalerhöhung vom 1. März 2023 gemäss Sacheinlagevertrag vom 1. März 2023 (Sacheinlagevertrag) 10'489'371 Aktien (ordinary shares) im Nennwert von USD 0.001 der European Biotech Acquisition Corp, mit Sitz in George Town, Cayman Islands (EBAC), von Continental Stock Exchange Corp (Einlegerin), handelnd im eigenen Namen aber auf Rechnung der Aktionäre der EBAC. Die Aktien der EBAC werden zu einem Übernahmewert von insgesamt USD 104'893'710.00 übernommen. Im Einklang mit dem Sacheinlagevertrag weist die Gesellschaft als Gegenleistung der Einlegerin, handelnd im eigenen Namen aber auf Rechnung der Aktionäre der EBAC, insgesamt 10'489'371 voll einbezahlte Namenaktien mit einem Nennwert von je CHF 0.01 der Gesellschaft zu.</w:t>
            </w:r>
          </w:p>
        </w:tc>
      </w:tr>
      <w:tr>
        <w:trPr/>
        <w:tc>
          <w:tcPr>
            <w:tcW w:w="4035" w:type="dxa"/>
            <w:tcBorders/>
            <w:tcMar>
              <w:top w:w="0" w:type="dxa"/>
              <w:left w:w="0" w:type="dxa"/>
              <w:bottom w:w="0" w:type="dxa"/>
              <w:right w:w="0" w:type="dxa"/>
            </w:tcMar>
            <w:vAlign w:val="center"/>
          </w:tcPr>
          <w:p>
            <w:pPr>
              <w:pStyle w:val="TableContents"/>
              <w:bidi w:val="0"/>
              <w:spacing w:before="120" w:after="120"/>
              <w:jc w:val="left"/>
              <w:rPr>
                <w:rFonts w:ascii="Calibri Light;sans-serif" w:hAnsi="Calibri Light;sans-serif"/>
                <w:color w:val="000000"/>
                <w:sz w:val="20"/>
              </w:rPr>
            </w:pPr>
            <w:r>
              <w:rPr>
                <w:rFonts w:ascii="Calibri Light;sans-serif" w:hAnsi="Calibri Light;sans-serif"/>
                <w:color w:val="000000"/>
                <w:sz w:val="20"/>
              </w:rPr>
              <w:t>"In connection with the capital increase of 2 March 2023, and in accordance with the contribution in kind agreement as of 2 March 2023 (the Contribution in Kind Agreement), the Company acquires</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3'306'771 registered shares (Common Shares)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1'623'793 registered shares series A (Preferred Shares Series A)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2'486'188 registered shares series B1 (Preferred Shares Series B1)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1'675'474 registered shares series B2 (Preferred Shares Series B2 First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 xml:space="preserve">426'378 registered shares series B2 </w:t>
            </w:r>
          </w:p>
        </w:tc>
        <w:tc>
          <w:tcPr>
            <w:tcW w:w="1503" w:type="dxa"/>
            <w:tcBorders/>
            <w:tcMar>
              <w:top w:w="0" w:type="dxa"/>
              <w:left w:w="0" w:type="dxa"/>
              <w:bottom w:w="0" w:type="dxa"/>
              <w:right w:w="0" w:type="dxa"/>
            </w:tcMar>
            <w:vAlign w:val="center"/>
          </w:tcPr>
          <w:p>
            <w:pPr>
              <w:pStyle w:val="TableContents"/>
              <w:bidi w:val="0"/>
              <w:spacing w:before="120" w:after="120"/>
              <w:jc w:val="both"/>
              <w:rPr/>
            </w:pPr>
            <w:r>
              <w:rPr/>
              <w:t> </w:t>
            </w:r>
          </w:p>
        </w:tc>
        <w:tc>
          <w:tcPr>
            <w:tcW w:w="4667"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Calibri Light;sans-serif" w:hAnsi="Calibri Light;sans-serif"/>
                <w:color w:val="000000"/>
                <w:sz w:val="20"/>
              </w:rPr>
              <w:t xml:space="preserve">Die Gesellschaft übernimmt bei der Kapitalerhöhung vom 2. März 2023 gemäss Sacheinlagevertrag vom 2. März 2023 (Sacheinlagevertrag) </w:t>
              <w:br/>
            </w:r>
            <w:r>
              <w:rPr>
                <w:rFonts w:ascii="Times New Roman" w:hAnsi="Times New Roman"/>
                <w:color w:val="000000"/>
                <w:sz w:val="20"/>
              </w:rPr>
              <w:t>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3'306'771 Namenaktien (Stammaktien) mit einem Nennwert von je CHF 0.10;</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1'623'793 Namenaktien (Vorzugsaktien Serie A) mit einem Nennwert von je CHF 0.10;</w:t>
            </w:r>
            <w:r>
              <w:rPr>
                <w:color w:val="000000"/>
              </w:rPr>
              <w:t xml:space="preserve"> </w:t>
            </w:r>
            <w:r>
              <w:rPr>
                <w:rFonts w:ascii="Calibri Light;sans-serif" w:hAnsi="Calibri Light;sans-serif"/>
                <w:color w:val="000000"/>
                <w:sz w:val="20"/>
              </w:rPr>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2'486'188 Namenaktien (Vorzugsaktien Serie B1) mit einem Nennwert von je CHF 0.10;</w:t>
            </w:r>
            <w:r>
              <w:rPr>
                <w:color w:val="000000"/>
              </w:rPr>
              <w:t xml:space="preserve"> </w:t>
            </w:r>
            <w:r>
              <w:rPr>
                <w:rFonts w:ascii="Calibri Light;sans-serif" w:hAnsi="Calibri Light;sans-serif"/>
                <w:color w:val="000000"/>
                <w:sz w:val="24"/>
              </w:rPr>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1'675'474 Namenaktien (Vorzugsaktien Serie B2 erste Tranche) mit einem Nennwert von je CHF 0.10;</w:t>
              <w:br/>
            </w:r>
            <w:r>
              <w:rPr>
                <w:color w:val="000000"/>
              </w:rPr>
              <w:t> </w:t>
            </w:r>
          </w:p>
          <w:p>
            <w:pPr>
              <w:pStyle w:val="TableContents"/>
              <w:bidi w:val="0"/>
              <w:spacing w:before="0" w:after="120"/>
              <w:jc w:val="both"/>
              <w:rPr>
                <w:color w:val="000000"/>
              </w:rPr>
            </w:pPr>
            <w:r>
              <w:rPr>
                <w:color w:val="000000"/>
              </w:rPr>
              <w:t></w:t>
            </w:r>
          </w:p>
          <w:p>
            <w:pPr>
              <w:pStyle w:val="TableContents"/>
              <w:bidi w:val="0"/>
              <w:spacing w:before="0" w:after="120"/>
              <w:jc w:val="both"/>
              <w:rPr/>
            </w:pPr>
            <w:r>
              <w:rPr>
                <w:rFonts w:ascii="Calibri Light;sans-serif" w:hAnsi="Calibri Light;sans-serif"/>
                <w:color w:val="000000"/>
                <w:sz w:val="20"/>
              </w:rPr>
              <w:t xml:space="preserve">426'378 Namenaktien (Vorzugsaktien Serie B2 zweite Tranche) mit einem Nennwert von je CHF 0.10; </w:t>
            </w:r>
            <w:r>
              <w:rPr>
                <w:rFonts w:ascii="Calibri Light;sans-serif" w:hAnsi="Calibri Light;sans-serif"/>
                <w:color w:val="000000"/>
                <w:sz w:val="24"/>
              </w:rPr>
              <w:br/>
            </w:r>
            <w:r>
              <w:rPr>
                <w:color w:val="000000"/>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14"/>
        </w:rPr>
      </w:pPr>
      <w:r>
        <w:rPr>
          <w:rFonts w:ascii="Verdana;sans-serif" w:hAnsi="Verdana;sans-serif"/>
          <w:color w:val="000000"/>
          <w:sz w:val="14"/>
        </w:rPr>
        <w:t>45</w:t>
      </w:r>
    </w:p>
    <w:tbl>
      <w:tblPr>
        <w:tblW w:w="10205" w:type="dxa"/>
        <w:jc w:val="left"/>
        <w:tblInd w:w="0" w:type="dxa"/>
        <w:tblLayout w:type="fixed"/>
        <w:tblCellMar>
          <w:top w:w="28" w:type="dxa"/>
          <w:left w:w="28" w:type="dxa"/>
          <w:bottom w:w="28" w:type="dxa"/>
          <w:right w:w="28" w:type="dxa"/>
        </w:tblCellMar>
      </w:tblPr>
      <w:tblGrid>
        <w:gridCol w:w="4562"/>
        <w:gridCol w:w="434"/>
        <w:gridCol w:w="5209"/>
      </w:tblGrid>
      <w:tr>
        <w:trPr/>
        <w:tc>
          <w:tcPr>
            <w:tcW w:w="45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209"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4562" w:type="dxa"/>
            <w:tcBorders/>
            <w:tcMar>
              <w:top w:w="0" w:type="dxa"/>
              <w:left w:w="0" w:type="dxa"/>
              <w:bottom w:w="0" w:type="dxa"/>
              <w:right w:w="0" w:type="dxa"/>
            </w:tcMar>
            <w:vAlign w:val="center"/>
          </w:tcPr>
          <w:p>
            <w:pPr>
              <w:pStyle w:val="TableContents"/>
              <w:bidi w:val="0"/>
              <w:spacing w:before="0" w:after="120"/>
              <w:jc w:val="both"/>
              <w:rPr/>
            </w:pPr>
            <w:r>
              <w:rPr>
                <w:rFonts w:ascii="Calibri Light;sans-serif" w:hAnsi="Calibri Light;sans-serif"/>
                <w:color w:val="000000"/>
                <w:sz w:val="20"/>
              </w:rPr>
              <w:t>(Preferred Shares Series B2 Second Tranche) with a nominal value of CHF 0.10 each;</w:t>
            </w:r>
            <w:r>
              <w:rPr>
                <w:color w:val="000000"/>
              </w:rPr>
              <w:t xml:space="preserve">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603'472 registered shares series B2 (Preferred Shares Series B2 Third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5'337'777 registered shares series C 1a (Preferred Shares Series C 1a First Tranche) with a nominal value of CHF 0.10 each</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362'036 registered shares series C 1a (Preferred Shares Series C 1a Second Tranche) with a nominal value of CHF 0.10 each</w:t>
            </w:r>
          </w:p>
          <w:p>
            <w:pPr>
              <w:pStyle w:val="TableContents"/>
              <w:bidi w:val="0"/>
              <w:spacing w:before="0" w:after="0"/>
              <w:jc w:val="both"/>
              <w:rPr>
                <w:color w:val="000000"/>
              </w:rPr>
            </w:pPr>
            <w:r>
              <w:rPr>
                <w:color w:val="000000"/>
              </w:rPr>
              <w:t></w:t>
            </w:r>
          </w:p>
          <w:p>
            <w:pPr>
              <w:pStyle w:val="TableContents"/>
              <w:bidi w:val="0"/>
              <w:jc w:val="both"/>
              <w:rPr>
                <w:rFonts w:ascii="Calibri Light;sans-serif" w:hAnsi="Calibri Light;sans-serif"/>
                <w:color w:val="000000"/>
                <w:sz w:val="20"/>
              </w:rPr>
            </w:pPr>
            <w:r>
              <w:rPr>
                <w:rFonts w:ascii="Calibri Light;sans-serif" w:hAnsi="Calibri Light;sans-serif"/>
                <w:color w:val="000000"/>
                <w:sz w:val="20"/>
              </w:rPr>
              <w:t>197'745 registered shares series C 1b (Preferred Shares Series C 1b) with a nominal value of CHF 0.50 each</w:t>
            </w:r>
          </w:p>
          <w:p>
            <w:pPr>
              <w:pStyle w:val="TableContents"/>
              <w:bidi w:val="0"/>
              <w:spacing w:before="0" w:after="120"/>
              <w:ind w:left="0" w:right="0" w:firstLine="288"/>
              <w:jc w:val="left"/>
              <w:rPr>
                <w:rFonts w:ascii="Calibri Light;sans-serif" w:hAnsi="Calibri Light;sans-serif"/>
                <w:color w:val="000000"/>
                <w:sz w:val="20"/>
              </w:rPr>
            </w:pPr>
            <w:r>
              <w:rPr>
                <w:rFonts w:ascii="Calibri Light;sans-serif" w:hAnsi="Calibri Light;sans-serif"/>
                <w:color w:val="000000"/>
                <w:sz w:val="20"/>
              </w:rPr>
              <w:t>of Oculis SA with registered seat in Ecublens (VD), Switzerland, from Continental Stock Exchange Corp (Contributor), acting in its own name but on behalf of the shareholders Oculis SA. The shares of Oculis SA are acquired for a total value of USD 202'770.02 and CHF 37'939.95. Based on the Contribution in Kind Agreement and as consideration, the Company issues to the Contributor, acting in its own name but for the account of the shareholders of Oculis SA, a total of 24'070'997 fully paid registered shares with a with a par value of CHF 0.01.</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5209"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Calibri Light;sans-serif" w:hAnsi="Calibri Light;sans-serif"/>
                <w:color w:val="000000"/>
                <w:sz w:val="20"/>
              </w:rPr>
              <w:t xml:space="preserve">603'472 Namenaktien (Vorzugsaktien Serie B2 dritte Tranche) mit einem Nennwert von je CHF 0.10; </w:t>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Calibri Light;sans-serif" w:hAnsi="Calibri Light;sans-serif"/>
                <w:color w:val="000000"/>
                <w:sz w:val="20"/>
              </w:rPr>
              <w:t>5'337'777 Namenaktien (Vorzugsaktien Serie C 1a erste Tranche) mit einem Nennwert von je CHF 0.10;</w:t>
              <w:br/>
            </w:r>
            <w:r>
              <w:rPr>
                <w:color w:val="000000"/>
              </w:rPr>
              <w:t> </w:t>
            </w:r>
          </w:p>
          <w:p>
            <w:pPr>
              <w:pStyle w:val="TableContents"/>
              <w:bidi w:val="0"/>
              <w:spacing w:before="0" w:after="0"/>
              <w:jc w:val="both"/>
              <w:rPr>
                <w:color w:val="000000"/>
              </w:rPr>
            </w:pPr>
            <w:r>
              <w:rPr>
                <w:color w:val="000000"/>
              </w:rPr>
              <w:t></w:t>
            </w:r>
          </w:p>
          <w:p>
            <w:pPr>
              <w:pStyle w:val="TableContents"/>
              <w:bidi w:val="0"/>
              <w:spacing w:before="0" w:after="0"/>
              <w:jc w:val="both"/>
              <w:rPr>
                <w:rFonts w:ascii="Calibri Light;sans-serif" w:hAnsi="Calibri Light;sans-serif"/>
                <w:color w:val="000000"/>
                <w:sz w:val="20"/>
              </w:rPr>
            </w:pPr>
            <w:r>
              <w:rPr>
                <w:rFonts w:ascii="Calibri Light;sans-serif" w:hAnsi="Calibri Light;sans-serif"/>
                <w:color w:val="000000"/>
                <w:sz w:val="20"/>
              </w:rPr>
              <w:t>362'036 Namenaktien (Vorzugsaktien Serie C 1a zweite Tranche) mit einem Nennwert von je CHF 0.10; sowie</w:t>
            </w:r>
          </w:p>
          <w:p>
            <w:pPr>
              <w:pStyle w:val="TableContents"/>
              <w:bidi w:val="0"/>
              <w:spacing w:before="0" w:after="0"/>
              <w:jc w:val="both"/>
              <w:rPr>
                <w:color w:val="000000"/>
              </w:rPr>
            </w:pPr>
            <w:r>
              <w:rPr>
                <w:color w:val="000000"/>
              </w:rPr>
              <w:t></w:t>
            </w:r>
          </w:p>
          <w:p>
            <w:pPr>
              <w:pStyle w:val="TableContents"/>
              <w:bidi w:val="0"/>
              <w:jc w:val="both"/>
              <w:rPr/>
            </w:pPr>
            <w:r>
              <w:rPr>
                <w:rFonts w:ascii="Calibri Light;sans-serif" w:hAnsi="Calibri Light;sans-serif"/>
                <w:color w:val="000000"/>
                <w:sz w:val="20"/>
              </w:rPr>
              <w:t>197'745 Namenaktien (Vorzugsaktien Serie C 1b) mit einem Nennwert von je CHF 0.50</w:t>
            </w:r>
            <w:r>
              <w:rPr>
                <w:color w:val="000000"/>
              </w:rPr>
              <w:t xml:space="preserve"> </w:t>
            </w:r>
            <w:r>
              <w:rPr>
                <w:rFonts w:ascii="Calibri Light;sans-serif" w:hAnsi="Calibri Light;sans-serif"/>
                <w:color w:val="000000"/>
                <w:sz w:val="24"/>
              </w:rPr>
              <w:br/>
            </w:r>
            <w:r>
              <w:rPr>
                <w:color w:val="000000"/>
              </w:rPr>
              <w:t> </w:t>
            </w:r>
          </w:p>
          <w:p>
            <w:pPr>
              <w:pStyle w:val="TableContents"/>
              <w:bidi w:val="0"/>
              <w:spacing w:before="0" w:after="120"/>
              <w:ind w:left="0" w:right="0" w:firstLine="288"/>
              <w:jc w:val="left"/>
              <w:rPr>
                <w:rFonts w:ascii="Times New Roman" w:hAnsi="Times New Roman"/>
                <w:sz w:val="20"/>
              </w:rPr>
            </w:pPr>
            <w:r>
              <w:rPr>
                <w:rFonts w:ascii="Calibri Light;sans-serif" w:hAnsi="Calibri Light;sans-serif"/>
                <w:color w:val="000000"/>
                <w:sz w:val="20"/>
              </w:rPr>
              <w:t>der Oculis SA mit Sitz in Ecublens (VD), Schweiz, von Continental Stock Exchange Corp (Einlegerin), handelnd im eigenen Namen aber auf Rechnung der Aktionäre der Oculis SA. Die Aktien der Oculis SA werden zu einem Übernahmewert von insgesamt USD 202'770.02</w:t>
            </w:r>
            <w:r>
              <w:rPr>
                <w:rFonts w:ascii="Times New Roman" w:hAnsi="Times New Roman"/>
                <w:color w:val="000000"/>
                <w:sz w:val="20"/>
              </w:rPr>
              <w:t> </w:t>
            </w:r>
            <w:r>
              <w:rPr>
                <w:rFonts w:ascii="Calibri Light;sans-serif" w:hAnsi="Calibri Light;sans-serif"/>
                <w:color w:val="000000"/>
                <w:sz w:val="20"/>
              </w:rPr>
              <w:t>und CHF 37'939.95 übernommen. Im Einklang mit dem Sacheinlagevertrag weist die Gesellschaft als Gegenleistung der Einlegerin, handelnd im eigenen Namen aber auf Rechnung der Aktionäre der Oculis SA, insgesamt 24'070'997</w:t>
            </w:r>
            <w:r>
              <w:rPr>
                <w:rFonts w:ascii="Times New Roman" w:hAnsi="Times New Roman"/>
                <w:color w:val="000000"/>
                <w:sz w:val="20"/>
              </w:rPr>
              <w:t> </w:t>
            </w:r>
            <w:r>
              <w:rPr>
                <w:rFonts w:ascii="Calibri Light;sans-serif" w:hAnsi="Calibri Light;sans-serif"/>
                <w:color w:val="000000"/>
                <w:sz w:val="20"/>
              </w:rPr>
              <w:t>voll einbezahlte Namenaktien mit einem Nennwert von je CHF 0.01 zu.</w:t>
            </w:r>
          </w:p>
        </w:tc>
      </w:tr>
    </w:tbl>
    <w:p>
      <w:pPr>
        <w:pStyle w:val="TextBody"/>
        <w:bidi w:val="0"/>
        <w:jc w:val="both"/>
        <w:rPr/>
      </w:pPr>
      <w:r>
        <w:rPr/>
        <w:t> </w:t>
      </w:r>
    </w:p>
    <w:p>
      <w:pPr>
        <w:pStyle w:val="TextBody"/>
        <w:bidi w:val="0"/>
        <w:jc w:val="both"/>
        <w:rPr>
          <w:rFonts w:ascii="Calibri Light;sans-serif" w:hAnsi="Calibri Light;sans-serif"/>
          <w:color w:val="000000"/>
          <w:sz w:val="20"/>
        </w:rPr>
      </w:pPr>
      <w:r>
        <w:rPr>
          <w:rFonts w:ascii="Calibri Light;sans-serif" w:hAnsi="Calibri Light;sans-serif"/>
          <w:color w:val="000000"/>
          <w:sz w:val="20"/>
        </w:rPr>
        <w:t>Basel, 20 Mai 2026 Basel, 20. Mai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both"/>
        <w:rPr/>
      </w:pPr>
      <w:bookmarkStart w:id="5" w:name="ocs-ex5_1.htm"/>
      <w:bookmarkStart w:id="6" w:name="ksocsex5_1"/>
      <w:bookmarkEnd w:id="5"/>
      <w:bookmarkEnd w:id="6"/>
      <w:r>
        <w:rPr/>
        <w:drawing>
          <wp:inline distT="0" distB="0" distL="0" distR="0">
            <wp:extent cx="13716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371600" cy="200025"/>
                    </a:xfrm>
                    <a:prstGeom prst="rect">
                      <a:avLst/>
                    </a:prstGeom>
                  </pic:spPr>
                </pic:pic>
              </a:graphicData>
            </a:graphic>
          </wp:inline>
        </w:drawing>
      </w:r>
      <w:r>
        <w:br w:type="page"/>
      </w:r>
    </w:p>
    <w:p>
      <w:pPr>
        <w:pStyle w:val="TextBody"/>
        <w:bidi w:val="0"/>
        <w:spacing w:before="720" w:after="120"/>
        <w:jc w:val="left"/>
        <w:rPr/>
      </w:pPr>
      <w:r>
        <w:rPr/>
        <w:t> </w:t>
      </w:r>
    </w:p>
    <w:p>
      <w:pPr>
        <w:pStyle w:val="TextBody"/>
        <w:bidi w:val="0"/>
        <w:jc w:val="left"/>
        <w:rPr>
          <w:rFonts w:ascii="Verdana;sans-serif" w:hAnsi="Verdana;sans-serif"/>
          <w:color w:val="000000"/>
          <w:sz w:val="20"/>
        </w:rPr>
      </w:pPr>
      <w:r>
        <w:rPr>
          <w:rFonts w:ascii="Verdana;sans-serif" w:hAnsi="Verdana;sans-serif"/>
          <w:color w:val="000000"/>
          <w:sz w:val="20"/>
        </w:rPr>
        <w:t>Oculis Holding AG</w:t>
        <w:br/>
        <w:t>Bahnhofstrasse 20</w:t>
        <w:br/>
        <w:t>6300 Zug</w:t>
      </w:r>
    </w:p>
    <w:p>
      <w:pPr>
        <w:pStyle w:val="TextBody"/>
        <w:bidi w:val="0"/>
        <w:spacing w:before="120" w:after="80"/>
        <w:jc w:val="left"/>
        <w:rPr>
          <w:rFonts w:ascii="Verdana;sans-serif" w:hAnsi="Verdana;sans-serif"/>
          <w:color w:val="000000"/>
          <w:sz w:val="20"/>
        </w:rPr>
      </w:pPr>
      <w:r>
        <w:rPr>
          <w:rFonts w:ascii="Verdana;sans-serif" w:hAnsi="Verdana;sans-serif"/>
          <w:color w:val="000000"/>
          <w:sz w:val="20"/>
        </w:rPr>
        <w:t>August 6, 2026</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90" w:after="290"/>
        <w:jc w:val="left"/>
        <w:rPr>
          <w:rFonts w:ascii="Verdana;sans-serif" w:hAnsi="Verdana;sans-serif"/>
          <w:b/>
          <w:color w:val="000000"/>
          <w:sz w:val="20"/>
        </w:rPr>
      </w:pPr>
      <w:bookmarkStart w:id="7" w:name="start"/>
      <w:bookmarkEnd w:id="7"/>
      <w:r>
        <w:rPr>
          <w:rFonts w:ascii="Verdana;sans-serif" w:hAnsi="Verdana;sans-serif"/>
          <w:b/>
          <w:color w:val="000000"/>
          <w:sz w:val="20"/>
        </w:rPr>
        <w:t>Oculis Holding AG – Registration Statement on Form S-8</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Dear Sir or Madam,</w:t>
      </w:r>
    </w:p>
    <w:p>
      <w:pPr>
        <w:pStyle w:val="TextBody"/>
        <w:bidi w:val="0"/>
        <w:spacing w:before="0" w:after="120"/>
        <w:jc w:val="both"/>
        <w:rPr>
          <w:rFonts w:ascii="Times New Roman" w:hAnsi="Times New Roman"/>
          <w:sz w:val="20"/>
        </w:rPr>
      </w:pPr>
      <w:r>
        <w:rPr>
          <w:rFonts w:ascii="Verdana;sans-serif" w:hAnsi="Verdana;sans-serif"/>
          <w:color w:val="000000"/>
          <w:sz w:val="20"/>
        </w:rPr>
        <w:t>We have acted as special Swiss counsel to Oculis Holding AG (the "</w:t>
      </w:r>
      <w:r>
        <w:rPr>
          <w:rFonts w:ascii="Verdana;sans-serif" w:hAnsi="Verdana;sans-serif"/>
          <w:b/>
          <w:color w:val="000000"/>
          <w:sz w:val="20"/>
        </w:rPr>
        <w:t>Company</w:t>
      </w:r>
      <w:r>
        <w:rPr>
          <w:rFonts w:ascii="Verdana;sans-serif" w:hAnsi="Verdana;sans-serif"/>
          <w:color w:val="000000"/>
          <w:sz w:val="20"/>
        </w:rPr>
        <w:t>"), a company incorporated under the laws of Switzerland with a share capital of CHF 677,921.76 and 67,792,176 outstanding registered shares with a par value of CHF 0.01 each (the "</w:t>
      </w:r>
      <w:r>
        <w:rPr>
          <w:rFonts w:ascii="Verdana;sans-serif" w:hAnsi="Verdana;sans-serif"/>
          <w:b/>
          <w:color w:val="000000"/>
          <w:sz w:val="20"/>
        </w:rPr>
        <w:t>Registered Shares</w:t>
      </w:r>
      <w:r>
        <w:rPr>
          <w:rFonts w:ascii="Verdana;sans-serif" w:hAnsi="Verdana;sans-serif"/>
          <w:color w:val="000000"/>
          <w:sz w:val="20"/>
        </w:rPr>
        <w:t>"), in connection with the Company's registration statement on Form S-8, as amended or supplemented (the "</w:t>
      </w:r>
      <w:r>
        <w:rPr>
          <w:rFonts w:ascii="Verdana;sans-serif" w:hAnsi="Verdana;sans-serif"/>
          <w:b/>
          <w:color w:val="000000"/>
          <w:sz w:val="20"/>
        </w:rPr>
        <w:t>Registration Statement</w:t>
      </w:r>
      <w:r>
        <w:rPr>
          <w:rFonts w:ascii="Verdana;sans-serif" w:hAnsi="Verdana;sans-serif"/>
          <w:color w:val="000000"/>
          <w:sz w:val="20"/>
        </w:rPr>
        <w:t>"), filed with the United States Securities and Exchange Commission with respect to the registration under the U.S. Securities Act of 1933, as amended (the "</w:t>
      </w:r>
      <w:r>
        <w:rPr>
          <w:rFonts w:ascii="Verdana;sans-serif" w:hAnsi="Verdana;sans-serif"/>
          <w:b/>
          <w:color w:val="000000"/>
          <w:sz w:val="20"/>
        </w:rPr>
        <w:t>Securities Act</w:t>
      </w:r>
      <w:r>
        <w:rPr>
          <w:rFonts w:ascii="Verdana;sans-serif" w:hAnsi="Verdana;sans-serif"/>
          <w:color w:val="000000"/>
          <w:sz w:val="20"/>
        </w:rPr>
        <w:t>") relating to (i) the registration of up to 12,677,700 registered shares of the Company each with a par value of CHF 0.01 (the "</w:t>
      </w:r>
      <w:r>
        <w:rPr>
          <w:rFonts w:ascii="Verdana;sans-serif" w:hAnsi="Verdana;sans-serif"/>
          <w:b/>
          <w:color w:val="000000"/>
          <w:sz w:val="20"/>
        </w:rPr>
        <w:t>Plan</w:t>
      </w:r>
      <w:r>
        <w:rPr>
          <w:rFonts w:ascii="Times New Roman" w:hAnsi="Times New Roman"/>
          <w:color w:val="000000"/>
          <w:sz w:val="20"/>
        </w:rPr>
        <w:t xml:space="preserve"> </w:t>
      </w:r>
      <w:r>
        <w:rPr>
          <w:rFonts w:ascii="Verdana;sans-serif" w:hAnsi="Verdana;sans-serif"/>
          <w:b/>
          <w:color w:val="000000"/>
          <w:sz w:val="20"/>
        </w:rPr>
        <w:t>Shares</w:t>
      </w:r>
      <w:r>
        <w:rPr>
          <w:rFonts w:ascii="Verdana;sans-serif" w:hAnsi="Verdana;sans-serif"/>
          <w:color w:val="000000"/>
          <w:sz w:val="20"/>
        </w:rPr>
        <w:t>") that are issuable under the Company's Stock Option and Incentive Plan Regulation dated January 2023 (the "</w:t>
      </w:r>
      <w:r>
        <w:rPr>
          <w:rFonts w:ascii="Verdana;sans-serif" w:hAnsi="Verdana;sans-serif"/>
          <w:b/>
          <w:color w:val="000000"/>
          <w:sz w:val="20"/>
        </w:rPr>
        <w:t>2023 Stock Option Plan</w:t>
      </w:r>
      <w:r>
        <w:rPr>
          <w:rFonts w:ascii="Verdana;sans-serif" w:hAnsi="Verdana;sans-serif"/>
          <w:color w:val="000000"/>
          <w:sz w:val="20"/>
        </w:rPr>
        <w: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As such counsel, we have been requested to render an opinion as to certain matters of Swiss law.</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I.</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Basis of opinion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confined to and given on the basis of the laws of Switzerland in force at the date hereof and as currently applied by Swiss courts. Such laws and the interpretation thereof are subject to change. In the absence of explicit statutory law, we base our opinion on our independent professional judgement.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also confined to the matters stated herein and is not to be read as extending, by implication or otherwise, to any document referred to in the Documents (other than listed below) or any other matter.</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For the purpose of giving this opinion, we have examined originals or copies, certified or otherwise identified to our satisfaction, of</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an electronic copy of the Registration Statement;</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August 6, 2026 2</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b)</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an electronic copy of the 2023 Stock Option Plan enacted by the Company's board of directors on March 2, 2023;</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c)</w:t>
      </w:r>
    </w:p>
    <w:p>
      <w:pPr>
        <w:pStyle w:val="TextBody"/>
        <w:bidi w:val="0"/>
        <w:spacing w:before="0" w:after="120"/>
        <w:jc w:val="both"/>
        <w:rPr/>
      </w:pPr>
      <w:r>
        <w:rPr>
          <w:rFonts w:ascii="Verdana;sans-serif" w:hAnsi="Verdana;sans-serif"/>
          <w:color w:val="000000"/>
          <w:sz w:val="20"/>
        </w:rPr>
        <w:t>an electronic copy of the minutes of the Company's board of directors dated March 2, 2023 approving the 2023 Stock Option Plan (the "</w:t>
      </w:r>
      <w:r>
        <w:rPr>
          <w:rFonts w:ascii="Verdana;sans-serif" w:hAnsi="Verdana;sans-serif"/>
          <w:b/>
          <w:color w:val="000000"/>
          <w:sz w:val="20"/>
        </w:rPr>
        <w:t>Board Resolution</w:t>
      </w:r>
      <w:r>
        <w:rPr>
          <w:rFonts w:ascii="Verdana;sans-serif" w:hAnsi="Verdana;sans-serif"/>
          <w:color w:val="000000"/>
          <w:sz w:val="20"/>
        </w:rPr>
        <w: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w:t>
      </w:r>
    </w:p>
    <w:p>
      <w:pPr>
        <w:pStyle w:val="TextBody"/>
        <w:bidi w:val="0"/>
        <w:spacing w:before="0" w:after="120"/>
        <w:jc w:val="both"/>
        <w:rPr/>
      </w:pPr>
      <w:r>
        <w:rPr>
          <w:rFonts w:ascii="Verdana;sans-serif" w:hAnsi="Verdana;sans-serif"/>
          <w:color w:val="000000"/>
          <w:sz w:val="20"/>
        </w:rPr>
        <w:t xml:space="preserve">an electronic copy of the minutes of the shareholder resolutions passed at the Company's ordinary general meeting held on May 13, 2026, and resolving, </w:t>
      </w:r>
      <w:r>
        <w:rPr>
          <w:rFonts w:ascii="Verdana;sans-serif" w:hAnsi="Verdana;sans-serif"/>
          <w:i/>
          <w:color w:val="000000"/>
          <w:sz w:val="20"/>
        </w:rPr>
        <w:t>inter alia</w:t>
      </w:r>
      <w:r>
        <w:rPr>
          <w:rFonts w:ascii="Verdana;sans-serif" w:hAnsi="Verdana;sans-serif"/>
          <w:color w:val="000000"/>
          <w:sz w:val="20"/>
        </w:rPr>
        <w:t>, on introduction of a conditional share capital in the amount of CHF 126,777.00 for employee benefit plans allowing for the issuance of a maximum of 12,677,700 Plan Shares (the conditional share capital, the "</w:t>
      </w:r>
      <w:r>
        <w:rPr>
          <w:rFonts w:ascii="Verdana;sans-serif" w:hAnsi="Verdana;sans-serif"/>
          <w:b/>
          <w:color w:val="000000"/>
          <w:sz w:val="20"/>
        </w:rPr>
        <w:t>Conditional Share Capital</w:t>
      </w:r>
      <w:r>
        <w:rPr>
          <w:rFonts w:ascii="Verdana;sans-serif" w:hAnsi="Verdana;sans-serif"/>
          <w:color w:val="000000"/>
          <w:sz w:val="20"/>
        </w:rPr>
        <w:t>", and the shareholder resolutions, the "</w:t>
      </w:r>
      <w:r>
        <w:rPr>
          <w:rFonts w:ascii="Verdana;sans-serif" w:hAnsi="Verdana;sans-serif"/>
          <w:b/>
          <w:color w:val="000000"/>
          <w:sz w:val="20"/>
        </w:rPr>
        <w:t>Shareholder Resolution</w:t>
      </w:r>
      <w:r>
        <w:rPr>
          <w:rFonts w:ascii="Verdana;sans-serif" w:hAnsi="Verdana;sans-serif"/>
          <w:color w:val="000000"/>
          <w:sz w:val="20"/>
        </w:rPr>
        <w: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e)</w:t>
      </w:r>
    </w:p>
    <w:p>
      <w:pPr>
        <w:pStyle w:val="TextBody"/>
        <w:bidi w:val="0"/>
        <w:spacing w:before="0" w:after="120"/>
        <w:jc w:val="both"/>
        <w:rPr/>
      </w:pPr>
      <w:r>
        <w:rPr>
          <w:rFonts w:ascii="Verdana;sans-serif" w:hAnsi="Verdana;sans-serif"/>
          <w:color w:val="000000"/>
          <w:sz w:val="20"/>
        </w:rPr>
        <w:t>an uncertified electronic copy of an extract from the Commercial Register of the Canton of Zug (the "</w:t>
      </w:r>
      <w:r>
        <w:rPr>
          <w:rFonts w:ascii="Verdana;sans-serif" w:hAnsi="Verdana;sans-serif"/>
          <w:b/>
          <w:color w:val="000000"/>
          <w:sz w:val="20"/>
        </w:rPr>
        <w:t>Commercial Register</w:t>
      </w:r>
      <w:r>
        <w:rPr>
          <w:rFonts w:ascii="Verdana;sans-serif" w:hAnsi="Verdana;sans-serif"/>
          <w:color w:val="000000"/>
          <w:sz w:val="20"/>
        </w:rPr>
        <w:t>") dated August 6, 2026 regarding the Company, retrieved online, together with an electronic copy of a certified extract from the Commercial Register dated May 20, 2026 relating to the Company (collectively, the "</w:t>
      </w:r>
      <w:r>
        <w:rPr>
          <w:rFonts w:ascii="Verdana;sans-serif" w:hAnsi="Verdana;sans-serif"/>
          <w:b/>
          <w:color w:val="000000"/>
          <w:sz w:val="20"/>
        </w:rPr>
        <w:t>Register Extracts</w:t>
      </w:r>
      <w:r>
        <w:rPr>
          <w:rFonts w:ascii="Verdana;sans-serif" w:hAnsi="Verdana;sans-serif"/>
          <w:color w:val="000000"/>
          <w:sz w:val="20"/>
        </w:rPr>
        <w:t>"); and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f)</w:t>
      </w:r>
    </w:p>
    <w:p>
      <w:pPr>
        <w:pStyle w:val="TextBody"/>
        <w:bidi w:val="0"/>
        <w:spacing w:before="0" w:after="120"/>
        <w:jc w:val="both"/>
        <w:rPr/>
      </w:pPr>
      <w:r>
        <w:rPr>
          <w:rFonts w:ascii="Verdana;sans-serif" w:hAnsi="Verdana;sans-serif"/>
          <w:color w:val="000000"/>
          <w:sz w:val="20"/>
        </w:rPr>
        <w:t>the articles of association (</w:t>
      </w:r>
      <w:r>
        <w:rPr>
          <w:rFonts w:ascii="Verdana;sans-serif" w:hAnsi="Verdana;sans-serif"/>
          <w:i/>
          <w:color w:val="000000"/>
          <w:sz w:val="20"/>
        </w:rPr>
        <w:t>Statuten</w:t>
      </w:r>
      <w:r>
        <w:rPr>
          <w:rFonts w:ascii="Verdana;sans-serif" w:hAnsi="Verdana;sans-serif"/>
          <w:color w:val="000000"/>
          <w:sz w:val="20"/>
        </w:rPr>
        <w:t>) of the Company dated May 20, 2026, shown on the Register Extracts as being the most recent articles of association filed with the Commercial Register (the "</w:t>
      </w:r>
      <w:r>
        <w:rPr>
          <w:rFonts w:ascii="Verdana;sans-serif" w:hAnsi="Verdana;sans-serif"/>
          <w:b/>
          <w:color w:val="000000"/>
          <w:sz w:val="20"/>
        </w:rPr>
        <w:t>Articles of Association</w:t>
      </w:r>
      <w:r>
        <w:rPr>
          <w:rFonts w:ascii="Verdana;sans-serif" w:hAnsi="Verdana;sans-serif"/>
          <w:color w:val="000000"/>
          <w:sz w:val="20"/>
        </w:rPr>
        <w:t>").</w:t>
      </w:r>
    </w:p>
    <w:p>
      <w:pPr>
        <w:pStyle w:val="TextBody"/>
        <w:bidi w:val="0"/>
        <w:spacing w:before="0" w:after="120"/>
        <w:jc w:val="both"/>
        <w:rPr>
          <w:rFonts w:ascii="Times New Roman" w:hAnsi="Times New Roman"/>
          <w:sz w:val="20"/>
        </w:rPr>
      </w:pPr>
      <w:r>
        <w:rPr>
          <w:rFonts w:ascii="Verdana;sans-serif" w:hAnsi="Verdana;sans-serif"/>
          <w:color w:val="000000"/>
          <w:sz w:val="20"/>
        </w:rPr>
        <w:t>The documents referred to above in the preceding paragraph are referred to together as the "</w:t>
      </w:r>
      <w:r>
        <w:rPr>
          <w:rFonts w:ascii="Verdana;sans-serif" w:hAnsi="Verdana;sans-serif"/>
          <w:b/>
          <w:color w:val="000000"/>
          <w:sz w:val="20"/>
        </w:rPr>
        <w:t>Documents</w:t>
      </w:r>
      <w:r>
        <w:rPr>
          <w:rFonts w:ascii="Verdana;sans-serif" w:hAnsi="Verdana;sans-serif"/>
          <w:color w:val="000000"/>
          <w:sz w:val="20"/>
        </w:rPr>
        <w: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No documents have been reviewed by ourselves in connection with this opinion other than those listed above. Accordingly, our opinion is limited to the above Documents and their legal implications under Swiss law.</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terms used in this opinion in uppercase form shall have the meaning ascribed to them in the Registration Statement, unless otherwise defined herein.</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II.</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 xml:space="preserve">Assumptions </w:t>
      </w:r>
    </w:p>
    <w:p>
      <w:pPr>
        <w:pStyle w:val="TextBody"/>
        <w:bidi w:val="0"/>
        <w:spacing w:before="0" w:after="120"/>
        <w:jc w:val="both"/>
        <w:rPr>
          <w:rFonts w:ascii="Times New Roman" w:hAnsi="Times New Roman"/>
          <w:sz w:val="20"/>
        </w:rPr>
      </w:pPr>
      <w:r>
        <w:rPr>
          <w:rFonts w:ascii="Verdana;sans-serif" w:hAnsi="Verdana;sans-serif"/>
          <w:color w:val="000000"/>
          <w:sz w:val="20"/>
        </w:rPr>
        <w:t>In rendering the opinion below, we have assumed:</w:t>
      </w:r>
      <w:r>
        <w:rPr>
          <w:rFonts w:ascii="Times New Roman" w:hAnsi="Times New Roman"/>
          <w:color w:val="000000"/>
          <w:sz w:val="20"/>
        </w:rPr>
        <w:t xml:space="preserve">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documents produced to us as originals are authentic and complete, and all documents produced to us as copies (including, without limitation, electronic copies) conform to the original;</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b)</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documents produced to us as originals and the originals of all documents produced to us as copies were duly executed and certified, as applicable, by the individuals purported to have executed or certified, as the case may be, such documents;</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August 6, 2026 3</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c)</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each party to the Documents (other than the Company) is a corporation or other legal entity duly organized and validly existing and in good standing (if applicable) under the laws of the jurisdiction of its incorporation and/or establishment and none of the parties to the Documents (other than the Company) has passed or, until the issuance of the Plan Shares, will have passed a voluntary winding-up resolution; no petition has been, or, until the issuance of the Plan Shares, will be presented or order made by a court for the winding-up, dissolution, bankruptcy or administration of any party (other than the Company); and no receiver, trustee in bankruptcy, administrator or similar officer has been or, until the issuance of the Plan Shares, will have been appointed in relation to any of the parties (other than the Company) or any of their assets or revenues;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 xml:space="preserve">to the extent relevant for purposes of this opinion, any and all information contained in the Documents is and will be true, complete and accurate at all relevant times;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relation to the Company, there have been no changes of the Articles of Association, or their respective registration in the Commercial Register or compared to the Articles of Association in the form examined by us;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f)</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Registration Statement has been filed by the Company;</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g)</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Shareholder Resolution and the Board Resolution (i) have been duly resolved in meetings duly convened and otherwise in the manner set forth therein, (ii) have not been amended and (iii) are in full force and effect;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h)</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2023 Stock Option Plan has not been rescinded or amended and is in full force and effect;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prior to the issuance of any Plan Shares, the board of directors of the Company will have duly authorized the issuance of any options on Plan Shares and, if necessary, will have validly excluded the pre-emptive rights of the existing shareholders for purposes of offering the Plan Shares under the 2023 Stock Option Plan as contemplated in the Registration Statement, and such authorization and exclusion will not have been amended and will be in full force and effect until the issuance of all Plan Shares;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j)</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if applicable, the exercise notice with respect to Plan Shares issued out of the Conditional Share Capital will be duly delivered in accordance with Swiss law and the 2023 Stock Option Plan;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k)</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to the extent the Company issues Plan Shares out of the Conditional Share Capital against cash, the performance of the contribution in money shall be made in accordance with the provisions of the 2023 Stock Option Plan and at a banking institution subject to the Swiss Federal Act on Banks and Savings Banks of November 8, 1934, as amended;</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August 6, 2026 4</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l)</w:t>
      </w:r>
    </w:p>
    <w:p>
      <w:pPr>
        <w:pStyle w:val="TextBody"/>
        <w:bidi w:val="0"/>
        <w:spacing w:before="120" w:after="120"/>
        <w:jc w:val="both"/>
        <w:rPr/>
      </w:pPr>
      <w:r>
        <w:rPr>
          <w:rFonts w:ascii="Verdana;sans-serif" w:hAnsi="Verdana;sans-serif"/>
          <w:color w:val="000000"/>
          <w:sz w:val="20"/>
        </w:rPr>
        <w:t>the Company has not entered and will not enter into any transaction which could be construed as repayment of share capital (</w:t>
      </w:r>
      <w:r>
        <w:rPr>
          <w:rFonts w:ascii="Verdana;sans-serif" w:hAnsi="Verdana;sans-serif"/>
          <w:i/>
          <w:color w:val="000000"/>
          <w:sz w:val="20"/>
        </w:rPr>
        <w:t>Einlagenrückgewähr</w:t>
      </w:r>
      <w:r>
        <w:rPr>
          <w:rFonts w:ascii="Verdana;sans-serif" w:hAnsi="Verdana;sans-serif"/>
          <w:color w:val="000000"/>
          <w:sz w:val="20"/>
        </w:rPr>
        <w:t>) and has not undertaken and will not undertake an acquisition in kind (</w:t>
      </w:r>
      <w:r>
        <w:rPr>
          <w:rFonts w:ascii="Verdana;sans-serif" w:hAnsi="Verdana;sans-serif"/>
          <w:i/>
          <w:color w:val="000000"/>
          <w:sz w:val="20"/>
        </w:rPr>
        <w:t>Sacheinlage</w:t>
      </w:r>
      <w:r>
        <w:rPr>
          <w:rFonts w:ascii="Verdana;sans-serif" w:hAnsi="Verdana;sans-serif"/>
          <w:color w:val="000000"/>
          <w:sz w:val="20"/>
        </w:rPr>
        <w:t xml:space="preserve">) without complying with the formal procedure set forth in articles 634 seq. of the Swiss Code of Obligations;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m)</w:t>
      </w:r>
    </w:p>
    <w:p>
      <w:pPr>
        <w:pStyle w:val="TextBody"/>
        <w:bidi w:val="0"/>
        <w:spacing w:before="0" w:after="120"/>
        <w:jc w:val="both"/>
        <w:rPr/>
      </w:pPr>
      <w:r>
        <w:rPr>
          <w:rFonts w:ascii="Verdana;sans-serif" w:hAnsi="Verdana;sans-serif"/>
          <w:color w:val="000000"/>
          <w:sz w:val="20"/>
        </w:rPr>
        <w:t>upon the issuance of Plan Shares out of the Conditional Share Capital, the Company will register the Plan Shares in the Company’s uncertificated securities book (</w:t>
      </w:r>
      <w:r>
        <w:rPr>
          <w:rFonts w:ascii="Verdana;sans-serif" w:hAnsi="Verdana;sans-serif"/>
          <w:i/>
          <w:color w:val="000000"/>
          <w:sz w:val="20"/>
        </w:rPr>
        <w:t>Wertrechteregister</w:t>
      </w:r>
      <w:r>
        <w:rPr>
          <w:rFonts w:ascii="Verdana;sans-serif" w:hAnsi="Verdana;sans-serif"/>
          <w:color w:val="000000"/>
          <w:sz w:val="20"/>
        </w:rPr>
        <w: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authorizations, approvals, consents, licenses, exemptions, other than as required by mandatory Swiss law applicable to the Company or the Articles of Association, and other requirements for the filing of the Registration Statement or for any other activities carried on in view of, or in connection with, the performance of the obligations expressed to be undertaken by the Company in the Registration Statement have been duly obtained or fulfilled in due time and are and will remain in full force and effect, and any related conditions to which the parties thereto are subject have been satisfied; and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o)</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there are no provisions of the laws of any jurisdiction outside Switzerland which would have any implication for the opinion we express and that, insofar as the laws of any jurisdiction outside Switzerland may be relevant, such laws have been or will be complied with.</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III.</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Opinion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Based upon the foregoing and subject to the qualifications set out below, we are of the opinion that: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w:t>
      </w:r>
    </w:p>
    <w:p>
      <w:pPr>
        <w:pStyle w:val="TextBody"/>
        <w:bidi w:val="0"/>
        <w:spacing w:before="0" w:after="120"/>
        <w:jc w:val="both"/>
        <w:rPr/>
      </w:pPr>
      <w:r>
        <w:rPr>
          <w:rFonts w:ascii="Verdana;sans-serif" w:hAnsi="Verdana;sans-serif"/>
          <w:color w:val="000000"/>
          <w:sz w:val="20"/>
        </w:rPr>
        <w:t>The Company is duly incorporated and organized as a stock corporation (</w:t>
      </w:r>
      <w:r>
        <w:rPr>
          <w:rFonts w:ascii="Verdana;sans-serif" w:hAnsi="Verdana;sans-serif"/>
          <w:i/>
          <w:color w:val="000000"/>
          <w:sz w:val="20"/>
        </w:rPr>
        <w:t>Aktiengesellschaft</w:t>
      </w:r>
      <w:r>
        <w:rPr>
          <w:rFonts w:ascii="Verdana;sans-serif" w:hAnsi="Verdana;sans-serif"/>
          <w:color w:val="000000"/>
          <w:sz w:val="20"/>
        </w:rPr>
        <w:t>) and is validly existing under the laws of Switzerland.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b)</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Company's share capital registered in the Commercial Register of the Canton of Zug amounts to CHF 677,921.76, divided into 67,792,176 Registered Shares. Such Registered Shares have been validly issued, fully paid as to their nominal value and are non-assessable (which term means when used herein that no further contributions have to be made by the holders of the Registered Shares).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c)</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Plan Shares that may be issued from the Conditional Share Capital, if and when such Plan Shares are issued pursuant to the Articles of Association, the 2023 Stock Option Plan and registered with the Commercial Register of the Canton of Zug, and after the nominal amount for such Plan Shares has been paid-in in cash or by way of set-off, and entered into the Company's book of uncertificated securities, will be validly issued, fully paid as to their nominal value and non-assessable (which term means when used herein that no further contributions are required to be made by the holders of the Plan Shares).</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August 6, 2026 5</w:t>
      </w:r>
    </w:p>
    <w:p>
      <w:pPr>
        <w:pStyle w:val="TextBody"/>
        <w:bidi w:val="0"/>
        <w:spacing w:before="360" w:after="120"/>
        <w:jc w:val="left"/>
        <w:rPr>
          <w:rFonts w:ascii="Verdana;sans-serif" w:hAnsi="Verdana;sans-serif"/>
          <w:b/>
          <w:caps/>
          <w:color w:val="000000"/>
          <w:sz w:val="20"/>
        </w:rPr>
      </w:pPr>
      <w:r>
        <w:rPr>
          <w:rFonts w:ascii="Verdana;sans-serif" w:hAnsi="Verdana;sans-serif"/>
          <w:b/>
          <w:caps/>
          <w:color w:val="000000"/>
          <w:sz w:val="20"/>
        </w:rPr>
        <w:t>IV.</w:t>
      </w:r>
    </w:p>
    <w:p>
      <w:pPr>
        <w:pStyle w:val="TextBody"/>
        <w:bidi w:val="0"/>
        <w:spacing w:before="360" w:after="120"/>
        <w:jc w:val="left"/>
        <w:rPr>
          <w:rFonts w:ascii="Verdana;sans-serif" w:hAnsi="Verdana;sans-serif"/>
          <w:b/>
          <w:caps/>
          <w:color w:val="000000"/>
          <w:sz w:val="20"/>
        </w:rPr>
      </w:pPr>
      <w:r>
        <w:rPr>
          <w:rFonts w:ascii="Verdana;sans-serif" w:hAnsi="Verdana;sans-serif"/>
          <w:b/>
          <w:caps/>
          <w:color w:val="000000"/>
          <w:sz w:val="20"/>
        </w:rPr>
        <w:t>Qualifications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subject to the following qualifications: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limited to matters of Swiss law as in force on the date hereof and as applied and construed by the courts of Switzerland.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b)</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exercise of voting rights and rights related thereto with respect to any Plan Shares is only permissible after registration in the Company’s book of uncertificated securities as a shareholder with voting rights in accordance with the provisions of, and subject to the limitations provided in, the Articles of Association.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c)</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issuance of any Plan Shares out of conditional share capital requires sufficient conditional share capital. We express no opinion as to the future availability of conditional share capital.</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We express no opinion as to whether the Registration Statement is accurate, true, correct, complete or not misleading. In particular, and without limitation to the foregoing, we express no opinion on whether the Registration Statement provides sufficient information for investors to reach an informed assessment of the Company and the Plan Shares.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Notwithstanding or irrespective of the issuance of the Plan Shares and the registration of the Conditional Share Capital reserved for the Plan Shares with the Commercial Register, the underlying shareholder resolutions may still be challenged by a dissenting shareholder of the Company or others in court or otherwise. However, we believe that a challenge of the Shareholder Resolution by a dissenting shareholder of the Company after registration of the Plan Shares with the Commercial Register, even if successful, would not in itself void such Plan Shares.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f)</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in this opinion no opinion as to tax law.</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We have rendered this opinion as of the date hereof and we assume no obligation to advise you of changes that may thereafter be brought to our attention.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this opinion, Swiss legal concepts are expressed in English language terms and not in their original terms. The concepts concerned may not be identical to the concepts described by the same English language terms as they exist under the laws of other jurisdictions.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We hereby consent to the filing of this opinion as an exhibit to the Registration Statement. In giving such consent, we do not thereby admit that we are in the category of persons whose consent is required under Section 7 of the Securities Act.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governed by and shall be construed in accordance with the laws of Switzerland.</w:t>
      </w:r>
    </w:p>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August 6, 2026 6</w:t>
      </w:r>
    </w:p>
    <w:p>
      <w:pPr>
        <w:pStyle w:val="TextBody"/>
        <w:bidi w:val="0"/>
        <w:spacing w:before="120" w:after="120"/>
        <w:jc w:val="center"/>
        <w:rPr>
          <w:rFonts w:ascii="Verdana;sans-serif" w:hAnsi="Verdana;sans-serif"/>
          <w:b/>
          <w:i/>
          <w:color w:val="000000"/>
          <w:sz w:val="20"/>
        </w:rPr>
      </w:pPr>
      <w:r>
        <w:rPr>
          <w:rFonts w:ascii="Verdana;sans-serif" w:hAnsi="Verdana;sans-serif"/>
          <w:b/>
          <w:i/>
          <w:color w:val="000000"/>
          <w:sz w:val="20"/>
        </w:rPr>
        <w:t>* *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August 6, 2026 7</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Very truly yours,</w:t>
      </w:r>
    </w:p>
    <w:p>
      <w:pPr>
        <w:pStyle w:val="TextBody"/>
        <w:bidi w:val="0"/>
        <w:spacing w:before="0" w:after="120"/>
        <w:jc w:val="left"/>
        <w:rPr>
          <w:rFonts w:ascii="Verdana;sans-serif" w:hAnsi="Verdana;sans-serif"/>
          <w:color w:val="000000"/>
          <w:sz w:val="20"/>
        </w:rPr>
      </w:pPr>
      <w:r>
        <w:rPr>
          <w:rFonts w:ascii="Verdana;sans-serif" w:hAnsi="Verdana;sans-serif"/>
          <w:color w:val="000000"/>
          <w:sz w:val="20"/>
        </w:rPr>
        <w:t>VISCHER AG</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Verdana;sans-serif" w:hAnsi="Verdana;sans-serif"/>
          <w:color w:val="000000"/>
          <w:sz w:val="20"/>
          <w:u w:val="single"/>
        </w:rPr>
        <w:t>__/s/ Vincent Reardon____________________</w:t>
      </w:r>
      <w:r>
        <w:rPr>
          <w:rFonts w:ascii="Verdana;sans-serif" w:hAnsi="Verdana;sans-serif"/>
          <w:color w:val="000000"/>
          <w:sz w:val="20"/>
        </w:rPr>
        <w:br/>
        <w:t>Dr. Vincent Reardon</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8" w:name="ocs-ex23_1.htm"/>
      <w:bookmarkStart w:id="9" w:name="ksocsex23_1"/>
      <w:bookmarkStart w:id="10" w:name="ocs-ex23_1.htm"/>
      <w:bookmarkStart w:id="11" w:name="ksocsex23_1"/>
      <w:bookmarkEnd w:id="10"/>
      <w:bookmarkEnd w:id="11"/>
      <w:r>
        <w:br w:type="page"/>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80" w:after="480"/>
        <w:jc w:val="center"/>
        <w:rPr/>
      </w:pPr>
      <w:r>
        <w:rPr/>
        <w:t> </w:t>
      </w:r>
    </w:p>
    <w:p>
      <w:pPr>
        <w:pStyle w:val="TextBody"/>
        <w:bidi w:val="0"/>
        <w:spacing w:before="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this Registration Statement on Form S-8 of Oculis Holding AG of our report dated March 4, 2026 relating to the financial statements and the effectiveness of internal control over financial reporting, which appears in Oculis Holding AG’s Annual Report on Form 20-F for the year ended December 31, 2025.</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120"/>
        <w:jc w:val="left"/>
        <w:rPr>
          <w:rFonts w:ascii="Georgia;serif" w:hAnsi="Georgia;serif"/>
          <w:color w:val="000000"/>
          <w:sz w:val="20"/>
        </w:rPr>
      </w:pPr>
      <w:r>
        <w:rPr>
          <w:rFonts w:ascii="Georgia;serif" w:hAnsi="Georgia;serif"/>
          <w:color w:val="000000"/>
          <w:sz w:val="20"/>
        </w:rPr>
        <w:t>/s/ PricewaterhouseCoopers SA</w:t>
      </w:r>
    </w:p>
    <w:p>
      <w:pPr>
        <w:pStyle w:val="TextBody"/>
        <w:bidi w:val="0"/>
        <w:spacing w:before="0" w:after="120"/>
        <w:jc w:val="left"/>
        <w:rPr>
          <w:rFonts w:ascii="Georgia;serif" w:hAnsi="Georgia;serif"/>
          <w:color w:val="000000"/>
          <w:sz w:val="20"/>
        </w:rPr>
      </w:pPr>
      <w:r>
        <w:rPr>
          <w:rFonts w:ascii="Georgia;serif" w:hAnsi="Georgia;serif"/>
          <w:color w:val="000000"/>
          <w:sz w:val="20"/>
        </w:rPr>
        <w:t xml:space="preserve">Lausanne, Switzerland </w:t>
        <w:br/>
        <w:t>August 6, 2026</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2" w:name="ocs-exfiling_fees.htm"/>
      <w:bookmarkStart w:id="13" w:name="ksocsexfiling_fees"/>
      <w:bookmarkStart w:id="14" w:name="ocs-exfiling_fees.htm"/>
      <w:bookmarkStart w:id="15" w:name="ksocsexfiling_fees"/>
      <w:bookmarkEnd w:id="14"/>
      <w:bookmarkEnd w:id="15"/>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Oculis Holding AG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1"/>
        <w:gridCol w:w="1083"/>
        <w:gridCol w:w="1300"/>
        <w:gridCol w:w="1209"/>
        <w:gridCol w:w="1241"/>
        <w:gridCol w:w="1601"/>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8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0"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1" w:type="dxa"/>
            <w:tcBorders/>
            <w:shd w:fill="E7E7E2" w:val="clear"/>
            <w:vAlign w:val="center"/>
          </w:tcPr>
          <w:p>
            <w:pPr>
              <w:pStyle w:val="TableContents"/>
              <w:bidi w:val="0"/>
              <w:spacing w:before="0" w:after="283"/>
              <w:jc w:val="left"/>
              <w:rPr/>
            </w:pPr>
            <w:r>
              <w:rPr/>
              <w:t xml:space="preserve">Equity </w:t>
            </w:r>
          </w:p>
        </w:tc>
        <w:tc>
          <w:tcPr>
            <w:tcW w:w="1083" w:type="dxa"/>
            <w:tcBorders/>
            <w:shd w:fill="E7E7E2" w:val="clear"/>
            <w:vAlign w:val="center"/>
          </w:tcPr>
          <w:p>
            <w:pPr>
              <w:pStyle w:val="TableContents"/>
              <w:bidi w:val="0"/>
              <w:spacing w:before="0" w:after="283"/>
              <w:jc w:val="left"/>
              <w:rPr/>
            </w:pPr>
            <w:r>
              <w:rPr/>
              <w:t xml:space="preserve">Ordinary Shares, with a nominal value of CHF 0.01 per share </w:t>
            </w:r>
          </w:p>
        </w:tc>
        <w:tc>
          <w:tcPr>
            <w:tcW w:w="1300" w:type="dxa"/>
            <w:tcBorders/>
            <w:shd w:fill="E7E7E2" w:val="clear"/>
            <w:vAlign w:val="center"/>
          </w:tcPr>
          <w:p>
            <w:pPr>
              <w:pStyle w:val="TableContents"/>
              <w:bidi w:val="0"/>
              <w:spacing w:before="0" w:after="283"/>
              <w:jc w:val="center"/>
              <w:rPr/>
            </w:pPr>
            <w:r>
              <w:rPr/>
              <w:t xml:space="preserve">457(a) </w:t>
            </w:r>
          </w:p>
        </w:tc>
        <w:tc>
          <w:tcPr>
            <w:tcW w:w="1209" w:type="dxa"/>
            <w:tcBorders/>
            <w:shd w:fill="E7E7E2" w:val="clear"/>
            <w:vAlign w:val="center"/>
          </w:tcPr>
          <w:p>
            <w:pPr>
              <w:pStyle w:val="TableContents"/>
              <w:bidi w:val="0"/>
              <w:spacing w:before="0" w:after="283"/>
              <w:jc w:val="right"/>
              <w:rPr/>
            </w:pPr>
            <w:r>
              <w:rPr/>
              <w:t xml:space="preserve">197,700 </w:t>
            </w:r>
          </w:p>
        </w:tc>
        <w:tc>
          <w:tcPr>
            <w:tcW w:w="1241" w:type="dxa"/>
            <w:tcBorders/>
            <w:shd w:fill="E7E7E2" w:val="clear"/>
            <w:vAlign w:val="center"/>
          </w:tcPr>
          <w:p>
            <w:pPr>
              <w:pStyle w:val="TableContents"/>
              <w:bidi w:val="0"/>
              <w:spacing w:before="0" w:after="283"/>
              <w:jc w:val="right"/>
              <w:rPr/>
            </w:pPr>
            <w:r>
              <w:rPr/>
              <w:t xml:space="preserve">$ 11.31 </w:t>
            </w:r>
          </w:p>
        </w:tc>
        <w:tc>
          <w:tcPr>
            <w:tcW w:w="1601" w:type="dxa"/>
            <w:tcBorders/>
            <w:shd w:fill="E7E7E2" w:val="clear"/>
            <w:vAlign w:val="center"/>
          </w:tcPr>
          <w:p>
            <w:pPr>
              <w:pStyle w:val="TableContents"/>
              <w:bidi w:val="0"/>
              <w:spacing w:before="0" w:after="283"/>
              <w:jc w:val="right"/>
              <w:rPr/>
            </w:pPr>
            <w:r>
              <w:rPr/>
              <w:t xml:space="preserve">$ 2,235,987.00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$ 308.79 </w:t>
            </w:r>
          </w:p>
        </w:tc>
      </w:tr>
      <w:tr>
        <w:trPr/>
        <w:tc>
          <w:tcPr>
            <w:tcW w:w="4795" w:type="dxa"/>
            <w:gridSpan w:val="5"/>
            <w:tcBorders/>
            <w:vAlign w:val="center"/>
          </w:tcPr>
          <w:p>
            <w:pPr>
              <w:pStyle w:val="TableContents"/>
              <w:bidi w:val="0"/>
              <w:spacing w:before="0" w:after="0"/>
              <w:ind w:left="0" w:right="0" w:hanging="0"/>
              <w:jc w:val="right"/>
              <w:rPr/>
            </w:pPr>
            <w:r>
              <w:rPr/>
              <w:t>Total Offering Amounts:</w:t>
            </w:r>
          </w:p>
        </w:tc>
        <w:tc>
          <w:tcPr>
            <w:tcW w:w="124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0"/>
              <w:ind w:left="0" w:right="0" w:hanging="0"/>
              <w:jc w:val="right"/>
              <w:rPr/>
            </w:pPr>
            <w:bookmarkStart w:id="16" w:name="MaxAggtOfferingPrice"/>
            <w:bookmarkEnd w:id="16"/>
            <w:r>
              <w:rPr/>
              <w:t xml:space="preserve">$ 2,235,987.00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7" w:name="TotalFeeAmt"/>
            <w:bookmarkEnd w:id="17"/>
            <w:r>
              <w:rPr/>
              <w:t xml:space="preserve">$ 308.79 </w:t>
            </w:r>
          </w:p>
        </w:tc>
      </w:tr>
      <w:tr>
        <w:trPr/>
        <w:tc>
          <w:tcPr>
            <w:tcW w:w="4795" w:type="dxa"/>
            <w:gridSpan w:val="5"/>
            <w:tcBorders/>
            <w:vAlign w:val="center"/>
          </w:tcPr>
          <w:p>
            <w:pPr>
              <w:pStyle w:val="TableContents"/>
              <w:bidi w:val="0"/>
              <w:spacing w:before="0" w:after="0"/>
              <w:ind w:left="0" w:right="0" w:hanging="0"/>
              <w:jc w:val="right"/>
              <w:rPr/>
            </w:pPr>
            <w:r>
              <w:rPr/>
              <w:t xml:space="preserve">Total Fee Offsets: </w:t>
            </w:r>
          </w:p>
        </w:tc>
        <w:tc>
          <w:tcPr>
            <w:tcW w:w="124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8" w:name="TotalOffsetAmt"/>
            <w:bookmarkEnd w:id="18"/>
            <w:r>
              <w:rPr/>
              <w:t xml:space="preserve">$ 0.00 </w:t>
            </w:r>
          </w:p>
        </w:tc>
      </w:tr>
      <w:tr>
        <w:trPr/>
        <w:tc>
          <w:tcPr>
            <w:tcW w:w="4795" w:type="dxa"/>
            <w:gridSpan w:val="5"/>
            <w:tcBorders/>
            <w:vAlign w:val="center"/>
          </w:tcPr>
          <w:p>
            <w:pPr>
              <w:pStyle w:val="TableContents"/>
              <w:bidi w:val="0"/>
              <w:spacing w:before="0" w:after="0"/>
              <w:ind w:left="0" w:right="0" w:hanging="0"/>
              <w:jc w:val="right"/>
              <w:rPr/>
            </w:pPr>
            <w:r>
              <w:rPr/>
              <w:t xml:space="preserve">Net Fee Due: </w:t>
            </w:r>
          </w:p>
        </w:tc>
        <w:tc>
          <w:tcPr>
            <w:tcW w:w="124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9" w:name="NetFeeAmt"/>
            <w:bookmarkEnd w:id="19"/>
            <w:r>
              <w:rPr/>
              <w:t xml:space="preserve">$ 308.79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This registration statement covers a total of 197,700 ordinary shares with a nominal value of CHF 0.01 per share of Oculis Holding AG ("Ordinary Shares") that are issuable under the registrant's Stock Option and Incentive Plan Regulation 2023. Pursuant to Rule 416 under the Securities Act of 1933, as amended (the "Securities Act"), this registration statement shall also cover any additional Ordinary Shares which may become issuable by reason of any share split, share dividend, recapitalization, or any other similar transaction effected without consideration which results in an increase in the number of the outstanding Ordinary Shares. The Proposed Maximum Offering Price Per Unit is estimated solely for the purpose of calculating the registration fee, based on the average of the high and low prices of the Ordinary Shares on The Nasdaq Stock Market LLC on July 31, 2026 ($11.31 per Ordinary Share). This calculation is in accordance with Rules 457(c) and 457(h) of the Securities Act.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 w:name="Calibri Light">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530/000119312525135923/d933644ds8.htm" TargetMode="External"/><Relationship Id="rId3" Type="http://schemas.openxmlformats.org/officeDocument/2006/relationships/hyperlink" Target="https://www.sec.gov/Archives/edgar/data/1953530/000119312525135923/d933644ds8.htm" TargetMode="External"/><Relationship Id="rId4" Type="http://schemas.openxmlformats.org/officeDocument/2006/relationships/hyperlink" Target="https://www.sec.gov/ix?doc=/Archives/edgar/data/0001953530/000119312526091446/ocs-20251231.htm" TargetMode="External"/><Relationship Id="rId5" Type="http://schemas.openxmlformats.org/officeDocument/2006/relationships/hyperlink" Target="https://www.sec.gov/Archives/edgar/data/1953530/000119312526091653/ocs_6-k_ifrssfs_2025.htm" TargetMode="External"/><Relationship Id="rId6" Type="http://schemas.openxmlformats.org/officeDocument/2006/relationships/hyperlink" Target="https://www.sec.gov/Archives/edgar/data/1953530/000119312526216741/q1_2026_6-k_fs_mda_pr.htm" TargetMode="External"/><Relationship Id="rId7" Type="http://schemas.openxmlformats.org/officeDocument/2006/relationships/hyperlink" Target="https://www.sec.gov/Archives/edgar/data/1953530/000119312526223970/6-k_agm_results_2026.htm" TargetMode="External"/><Relationship Id="rId8" Type="http://schemas.openxmlformats.org/officeDocument/2006/relationships/hyperlink" Target="https://www.sec.gov/Archives/edgar/data/1953530/000119312526248946/6-k_-_ocs-01_diamond_res.htm" TargetMode="External"/><Relationship Id="rId9" Type="http://schemas.openxmlformats.org/officeDocument/2006/relationships/hyperlink" Target="https://www.sec.gov/Archives/edgar/data/1953530/000119312526248946/6-k_-_ocs-01_diamond_res.htm" TargetMode="External"/><Relationship Id="rId10" Type="http://schemas.openxmlformats.org/officeDocument/2006/relationships/hyperlink" Target="https://www.sec.gov/ix?doc=/Archives/edgar/data/0001953530/000119312526338054/ocs-20260630.htm" TargetMode="External"/><Relationship Id="rId11" Type="http://schemas.openxmlformats.org/officeDocument/2006/relationships/hyperlink" Target="https://www.sec.gov/Archives/edgar/data/1953530/000119312526091446/ocs-ex2_5.htm" TargetMode="External"/><Relationship Id="rId12" Type="http://schemas.openxmlformats.org/officeDocument/2006/relationships/hyperlink" Target="https://www.sec.gov/Archives/edgar/data/1953530/000119312526223970/ocs-ex99_2.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22576</Words>
  <Characters>131229</Characters>
  <CharactersWithSpaces>153195</CharactersWithSpaces>
  <Paragraphs>1649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