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6-k_agm_results_2025.htm"/>
      <w:bookmarkStart w:id="1" w:name="ks6k_agm_results_2025"/>
      <w:bookmarkEnd w:id="0"/>
      <w:bookmarkEnd w:id="1"/>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Month of June 2025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No. 001-41636)</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Oculis Holding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(Translation of registrant's name into English)</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Zug, 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tbl>
      <w:tblPr>
        <w:tblW w:w="2402" w:type="dxa"/>
        <w:jc w:val="left"/>
        <w:tblInd w:w="0" w:type="dxa"/>
        <w:tblLayout w:type="fixed"/>
        <w:tblCellMar>
          <w:top w:w="28" w:type="dxa"/>
          <w:left w:w="28" w:type="dxa"/>
          <w:bottom w:w="28" w:type="dxa"/>
          <w:right w:w="28" w:type="dxa"/>
        </w:tblCellMar>
      </w:tblPr>
      <w:tblGrid>
        <w:gridCol w:w="118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5, 2025, Oculis Holding AG (the “Registrant”) published the results of its 2025 Annual General Meeting held at Ochsen-Zug, Kolinplatz 11, CH-6300 Zug, Switzerland, on June 4, 2025 at 3:00 p.m. CEST / 9:00 a.m. EDT (the “Meeting”). The press release and the Registrant’s latest Articles of Association, as amended by the shareholders at the Meeting, are furnished hereto as Exhibits 99.1 and 99.2,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99.2 is hereby incorporated by reference into the Registrant’s Registration Statements on Form S-8 (File No. 333-271938) and Form F-3 (File Nos. 333-271063, 333-278409 and 333-281798).</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3703" w:type="dxa"/>
        <w:jc w:val="left"/>
        <w:tblInd w:w="0" w:type="dxa"/>
        <w:tblLayout w:type="fixed"/>
        <w:tblCellMar>
          <w:top w:w="28" w:type="dxa"/>
          <w:left w:w="28" w:type="dxa"/>
          <w:bottom w:w="28" w:type="dxa"/>
          <w:right w:w="28" w:type="dxa"/>
        </w:tblCellMar>
      </w:tblPr>
      <w:tblGrid>
        <w:gridCol w:w="751"/>
        <w:gridCol w:w="146"/>
        <w:gridCol w:w="280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hyperlink w:anchor="ocs-ex99_1.htm">
              <w:r>
                <w:rPr>
                  <w:rStyle w:val="InternetLink"/>
                  <w:rFonts w:ascii="Times New Roman" w:hAnsi="Times New Roman"/>
                  <w:color w:val="0000FF"/>
                  <w:sz w:val="20"/>
                  <w:u w:val="single"/>
                </w:rPr>
                <w:t>Press Release dated June 5, 2025</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hyperlink w:anchor="ocs-ex99_2.htm">
              <w:r>
                <w:rPr>
                  <w:rStyle w:val="InternetLink"/>
                  <w:rFonts w:ascii="Times New Roman" w:hAnsi="Times New Roman"/>
                  <w:color w:val="0000FF"/>
                  <w:sz w:val="20"/>
                  <w:u w:val="single"/>
                </w:rPr>
                <w:t>Articles of Association</w:t>
              </w:r>
            </w:hyperlink>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586" w:type="dxa"/>
        <w:jc w:val="left"/>
        <w:tblInd w:w="0" w:type="dxa"/>
        <w:tblLayout w:type="fixed"/>
        <w:tblCellMar>
          <w:top w:w="28" w:type="dxa"/>
          <w:left w:w="28" w:type="dxa"/>
          <w:bottom w:w="28" w:type="dxa"/>
          <w:right w:w="28" w:type="dxa"/>
        </w:tblCellMar>
      </w:tblPr>
      <w:tblGrid>
        <w:gridCol w:w="1636"/>
        <w:gridCol w:w="109"/>
        <w:gridCol w:w="146"/>
        <w:gridCol w:w="109"/>
        <w:gridCol w:w="406"/>
        <w:gridCol w:w="109"/>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OCULIS HOLDING AG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Riad Sherif</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Riad Sherif</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ocs-ex99_1.htm"/>
      <w:bookmarkStart w:id="3" w:name="ksocs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28384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962025"/>
                    </a:xfrm>
                    <a:prstGeom prst="rect">
                      <a:avLst/>
                    </a:prstGeom>
                  </pic:spPr>
                </pic:pic>
              </a:graphicData>
            </a:graphic>
          </wp:inline>
        </w:drawing>
      </w:r>
    </w:p>
    <w:p>
      <w:pPr>
        <w:pStyle w:val="TextBody"/>
        <w:bidi w:val="0"/>
        <w:jc w:val="left"/>
        <w:rPr/>
      </w:pPr>
      <w:r>
        <w:rPr/>
        <w:t> </w:t>
      </w:r>
    </w:p>
    <w:p>
      <w:pPr>
        <w:pStyle w:val="TextBody"/>
        <w:bidi w:val="0"/>
        <w:jc w:val="center"/>
        <w:rPr>
          <w:rFonts w:ascii="Aptos;sans-serif" w:hAnsi="Aptos;sans-serif"/>
          <w:b/>
          <w:color w:val="000000"/>
          <w:sz w:val="28"/>
        </w:rPr>
      </w:pPr>
      <w:r>
        <w:rPr>
          <w:rFonts w:ascii="Aptos;sans-serif" w:hAnsi="Aptos;sans-serif"/>
          <w:b/>
          <w:color w:val="000000"/>
          <w:sz w:val="28"/>
        </w:rPr>
        <w:t>Oculis Publishes Results of 2025 Annual General Meeting</w:t>
      </w:r>
    </w:p>
    <w:p>
      <w:pPr>
        <w:pStyle w:val="TextBody"/>
        <w:bidi w:val="0"/>
        <w:jc w:val="center"/>
        <w:rPr/>
      </w:pPr>
      <w:r>
        <w:rPr/>
        <w:t> </w:t>
      </w:r>
    </w:p>
    <w:p>
      <w:pPr>
        <w:pStyle w:val="TextBody"/>
        <w:bidi w:val="0"/>
        <w:spacing w:before="0" w:after="160"/>
        <w:jc w:val="both"/>
        <w:rPr>
          <w:rFonts w:ascii="Times New Roman" w:hAnsi="Times New Roman"/>
          <w:sz w:val="20"/>
        </w:rPr>
      </w:pPr>
      <w:r>
        <w:rPr>
          <w:rFonts w:ascii="Aptos;sans-serif" w:hAnsi="Aptos;sans-serif"/>
          <w:color w:val="000000"/>
          <w:sz w:val="22"/>
        </w:rPr>
        <w:t>ZUG, Switzerland, June 5, 2025 – Oculis Holding AG (Nasdaq: OCS / XICE: OCS) (“Oculis” or the “Company”), today announced the results from its 2025 Annual General Meeting held on June 4, 2025 at Ochsen-Zug, Kolinplatz 11, CH-6300 Zug, Switzerland, at 3:00 p.m. CEST / 9:00 a.m. EDT.</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The Company’s shareholders approved all agenda items.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The shareholders approved the 2024 Annual Report including the 2024 Annual (Statutory) Financial Statements and the 2024 Consolidated Financial Statements.</w:t>
      </w:r>
      <w:r>
        <w:rPr>
          <w:rFonts w:ascii="Times New Roman" w:hAnsi="Times New Roman"/>
          <w:color w:val="000000"/>
          <w:sz w:val="20"/>
        </w:rPr>
        <w:t xml:space="preserve"> </w:t>
      </w:r>
    </w:p>
    <w:p>
      <w:pPr>
        <w:pStyle w:val="TextBody"/>
        <w:bidi w:val="0"/>
        <w:spacing w:before="0" w:after="160"/>
        <w:jc w:val="both"/>
        <w:rPr>
          <w:rFonts w:ascii="Aptos;sans-serif" w:hAnsi="Aptos;sans-serif"/>
          <w:color w:val="000000"/>
          <w:sz w:val="22"/>
        </w:rPr>
      </w:pPr>
      <w:r>
        <w:rPr>
          <w:rFonts w:ascii="Aptos;sans-serif" w:hAnsi="Aptos;sans-serif"/>
          <w:color w:val="000000"/>
          <w:sz w:val="22"/>
        </w:rPr>
        <w:t>The shareholders acknowledged that on a standalone statutory financial statement basis, the Company incurred a loss of CHF 5,179,000 with respect to the financial year ended December 31, 2024, and resolved that the accumulated balance sheet loss of CHF 46,577,000 shall be carried forward to the new accounts.</w:t>
      </w:r>
    </w:p>
    <w:p>
      <w:pPr>
        <w:pStyle w:val="TextBody"/>
        <w:bidi w:val="0"/>
        <w:spacing w:before="0" w:after="160"/>
        <w:jc w:val="both"/>
        <w:rPr>
          <w:rFonts w:ascii="Times New Roman" w:hAnsi="Times New Roman"/>
          <w:sz w:val="20"/>
        </w:rPr>
      </w:pPr>
      <w:r>
        <w:rPr>
          <w:rFonts w:ascii="Aptos;sans-serif" w:hAnsi="Aptos;sans-serif"/>
          <w:color w:val="000000"/>
          <w:sz w:val="22"/>
        </w:rPr>
        <w:t>The members of the Board of Directors and the Executive Committee were granted discharge for their activities in 2024.</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Anthony Rosenberg was re-elected as member and chairperson of the Board of Directors. Christina Ackermann, Lionel Carnot, Arshad M. Khanani, Martijn Kleijwegt, Geraldine O’Keeffe, Riad Sherif and Robert K. Warner were re-elected as members of the Board of Directors. Christina Ackermann, Lionel Carnot and Robert K. Warner were re-elected as members of the Compensation Committee. PricewaterhouseCoopers SA (Pully) was re-elected as Statutory Auditors. PST Legal AG (Zug) was re-elected as Independent Proxy.</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The shareholders approved the compensation for the non-executive members of the Board of Directors: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 xml:space="preserve">Total maximum amount of fixed (non-performance-related) compensation for the non-executive members of the Board of Directors until the end of the Company’s 2026 Annual General Meeting: USD 572,000.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jc w:val="both"/>
        <w:rPr>
          <w:rFonts w:ascii="Aptos;sans-serif" w:hAnsi="Aptos;sans-serif"/>
          <w:color w:val="000000"/>
          <w:sz w:val="22"/>
        </w:rPr>
      </w:pPr>
      <w:r>
        <w:rPr>
          <w:rFonts w:ascii="Aptos;sans-serif" w:hAnsi="Aptos;sans-serif"/>
          <w:color w:val="000000"/>
          <w:sz w:val="22"/>
        </w:rPr>
        <w:t xml:space="preserve">Maximum value of equity or equity-based compensation for eight non-executive members of the Board of Directors until the end of the Company's 2026 Annual General Meeting: USD 2,150,000 (excluding employer social security and pension contributions). </w:t>
      </w:r>
    </w:p>
    <w:p>
      <w:pPr>
        <w:pStyle w:val="TextBody"/>
        <w:bidi w:val="0"/>
        <w:spacing w:before="0" w:after="160"/>
        <w:jc w:val="both"/>
        <w:rPr>
          <w:rFonts w:ascii="Times New Roman" w:hAnsi="Times New Roman"/>
          <w:sz w:val="20"/>
        </w:rPr>
      </w:pPr>
      <w:r>
        <w:rPr>
          <w:rFonts w:ascii="Aptos;sans-serif" w:hAnsi="Aptos;sans-serif"/>
          <w:color w:val="000000"/>
          <w:sz w:val="22"/>
        </w:rPr>
        <w:br/>
        <w:t>The shareholders approved the compensation for members of the Executive Committee:</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 xml:space="preserve">Total maximum amount of fixed (non-performance-related) compensation for three members of the Executive Committee for the calendar year 2026 and payable in 2026: USD 2,478,240.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60"/>
        <w:jc w:val="both"/>
        <w:rPr>
          <w:rFonts w:ascii="Aptos;sans-serif" w:hAnsi="Aptos;sans-serif"/>
          <w:color w:val="000000"/>
          <w:sz w:val="22"/>
        </w:rPr>
      </w:pPr>
      <w:r>
        <w:rPr>
          <w:rFonts w:ascii="Aptos;sans-serif" w:hAnsi="Aptos;sans-serif"/>
          <w:color w:val="000000"/>
          <w:sz w:val="22"/>
        </w:rPr>
        <w:t xml:space="preserve">Total maximum amount of variable compensation for three members of the Executive Committee for the calendar year 2025 and payable in 2026 of USD 1,753,760.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jc w:val="both"/>
        <w:rPr>
          <w:rFonts w:ascii="Aptos;sans-serif" w:hAnsi="Aptos;sans-serif"/>
          <w:color w:val="000000"/>
          <w:sz w:val="22"/>
        </w:rPr>
      </w:pPr>
      <w:r>
        <w:rPr>
          <w:rFonts w:ascii="Aptos;sans-serif" w:hAnsi="Aptos;sans-serif"/>
          <w:color w:val="000000"/>
          <w:sz w:val="22"/>
        </w:rPr>
        <w:t xml:space="preserve">Maximum value of equity-based compensation for three members of the Executive Committee until the end of the calendar year 2026: USD 15,500,000 (excluding employer social security and pension contributions). </w:t>
      </w:r>
    </w:p>
    <w:p>
      <w:pPr>
        <w:pStyle w:val="TextBody"/>
        <w:bidi w:val="0"/>
        <w:spacing w:before="0" w:after="160"/>
        <w:jc w:val="both"/>
        <w:rPr>
          <w:rFonts w:ascii="Times New Roman" w:hAnsi="Times New Roman"/>
          <w:sz w:val="20"/>
        </w:rPr>
      </w:pPr>
      <w:r>
        <w:rPr>
          <w:rFonts w:ascii="Aptos;sans-serif" w:hAnsi="Aptos;sans-serif"/>
          <w:color w:val="000000"/>
          <w:sz w:val="22"/>
        </w:rPr>
        <w:br/>
        <w:t>The shareholders approved, in a non-binding advisory vote, the 2024 Compensation Report of the Company.</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 xml:space="preserve">The shareholders approved a capital band of 27,266,837 registered shares resulting in a capital band between CHF 545,336.74 and CHF 818,005.11 and the related amendment of the paragraphs 1 through 3 of article 3a of the articles of association in the form published on the website of the Company at </w:t>
      </w:r>
      <w:r>
        <w:rPr>
          <w:rFonts w:ascii="Aptos;sans-serif" w:hAnsi="Aptos;sans-serif"/>
          <w:color w:val="467886"/>
          <w:sz w:val="22"/>
        </w:rPr>
        <w:t>https://investors.oculis.com/corporate-governance</w:t>
      </w:r>
      <w:r>
        <w:rPr>
          <w:rFonts w:ascii="Aptos;sans-serif" w:hAnsi="Aptos;sans-serif"/>
          <w:color w:val="000000"/>
          <w:sz w:val="22"/>
        </w:rPr>
        <w:t>.</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 xml:space="preserve">The shareholders approved a conditional share capital for employees and individuals of comparable positions in the maximum amount of CHF 124,800 by the issuance of 12,480,000 registered shares and the related amendment of article 3c, paragraph 1 of the articles of association in the form published on the website of the Company at </w:t>
      </w:r>
      <w:r>
        <w:rPr>
          <w:rFonts w:ascii="Aptos;sans-serif" w:hAnsi="Aptos;sans-serif"/>
          <w:color w:val="467886"/>
          <w:sz w:val="22"/>
        </w:rPr>
        <w:t>https://investors.oculis.com/corporate-governance</w:t>
      </w:r>
      <w:r>
        <w:rPr>
          <w:rFonts w:ascii="Aptos;sans-serif" w:hAnsi="Aptos;sans-serif"/>
          <w:color w:val="000000"/>
          <w:sz w:val="22"/>
        </w:rPr>
        <w:t>.</w:t>
      </w:r>
      <w:r>
        <w:rPr>
          <w:rFonts w:ascii="Times New Roman" w:hAnsi="Times New Roman"/>
          <w:color w:val="000000"/>
          <w:sz w:val="20"/>
        </w:rPr>
        <w:t xml:space="preserve"> </w:t>
      </w:r>
    </w:p>
    <w:p>
      <w:pPr>
        <w:pStyle w:val="TextBody"/>
        <w:bidi w:val="0"/>
        <w:spacing w:before="0" w:after="160"/>
        <w:jc w:val="both"/>
        <w:rPr>
          <w:rFonts w:ascii="Aptos;sans-serif" w:hAnsi="Aptos;sans-serif"/>
          <w:b/>
          <w:color w:val="000000"/>
          <w:sz w:val="22"/>
        </w:rPr>
      </w:pPr>
      <w:r>
        <w:rPr>
          <w:rFonts w:ascii="Aptos;sans-serif" w:hAnsi="Aptos;sans-serif"/>
          <w:b/>
          <w:color w:val="000000"/>
          <w:sz w:val="22"/>
        </w:rPr>
        <w:t>About Oculis</w:t>
      </w:r>
    </w:p>
    <w:p>
      <w:pPr>
        <w:pStyle w:val="TextBody"/>
        <w:bidi w:val="0"/>
        <w:spacing w:before="0" w:after="160"/>
        <w:jc w:val="both"/>
        <w:rPr>
          <w:rFonts w:ascii="Aptos;sans-serif" w:hAnsi="Aptos;sans-serif"/>
          <w:color w:val="000000"/>
          <w:sz w:val="22"/>
        </w:rPr>
      </w:pPr>
      <w:r>
        <w:rPr>
          <w:rFonts w:ascii="Aptos;sans-serif" w:hAnsi="Aptos;sans-serif"/>
          <w:color w:val="000000"/>
          <w:sz w:val="22"/>
        </w:rPr>
        <w:t>Oculis is a global biopharmaceutical company (Nasdaq: OCS / XICE: OCS) focused on innovations addressing ophthalmic and neuro-ophthalmic diseases with significant unmet medical needs. Oculis’ highly differentiated pipeline of multiple innovative product candidates in clinical development includes: OCS-01, a topical eye drop candidate for diabetic macular edema (DME); Privosegtor (OCS-05), a neuroprotective candidate for acute optic neuritis with potentially broad clinical applications in other neuro-ophthalmic diseases; and Licaminlimab (OCS-02), a topical biologic anti-TNFα eye drop candidate for dry eye disease (DED). Headquartered in Switzerland with operations in the U.S. and Iceland, Oculis is led by an experienced management team with a successful track record and is supported by leading international healthcare investors.</w:t>
      </w:r>
    </w:p>
    <w:p>
      <w:pPr>
        <w:pStyle w:val="TextBody"/>
        <w:bidi w:val="0"/>
        <w:spacing w:before="0" w:after="160"/>
        <w:jc w:val="both"/>
        <w:rPr>
          <w:rFonts w:ascii="Times New Roman" w:hAnsi="Times New Roman"/>
          <w:sz w:val="20"/>
        </w:rPr>
      </w:pPr>
      <w:r>
        <w:rPr>
          <w:rFonts w:ascii="Aptos;sans-serif" w:hAnsi="Aptos;sans-serif"/>
          <w:color w:val="000000"/>
          <w:sz w:val="22"/>
        </w:rPr>
        <w:t>For more information, please visit: www.oculis.com</w:t>
      </w:r>
      <w:r>
        <w:rPr>
          <w:rFonts w:ascii="Times New Roman" w:hAnsi="Times New Roman"/>
          <w:color w:val="000000"/>
          <w:sz w:val="20"/>
        </w:rPr>
        <w:t xml:space="preserve"> </w:t>
      </w:r>
    </w:p>
    <w:p>
      <w:pPr>
        <w:pStyle w:val="TextBody"/>
        <w:bidi w:val="0"/>
        <w:spacing w:before="0" w:after="160"/>
        <w:jc w:val="both"/>
        <w:rPr>
          <w:rFonts w:ascii="Aptos;sans-serif" w:hAnsi="Aptos;sans-serif"/>
          <w:b/>
          <w:color w:val="000000"/>
          <w:sz w:val="22"/>
        </w:rPr>
      </w:pPr>
      <w:r>
        <w:rPr>
          <w:rFonts w:ascii="Aptos;sans-serif" w:hAnsi="Aptos;sans-serif"/>
          <w:b/>
          <w:color w:val="000000"/>
          <w:sz w:val="22"/>
        </w:rPr>
        <w:t>Oculis Contacts</w:t>
      </w:r>
    </w:p>
    <w:p>
      <w:pPr>
        <w:pStyle w:val="TextBody"/>
        <w:bidi w:val="0"/>
        <w:spacing w:before="0" w:after="160"/>
        <w:jc w:val="left"/>
        <w:rPr>
          <w:rFonts w:ascii="Times New Roman" w:hAnsi="Times New Roman"/>
          <w:sz w:val="20"/>
        </w:rPr>
      </w:pPr>
      <w:r>
        <w:rPr>
          <w:rFonts w:ascii="Aptos;sans-serif" w:hAnsi="Aptos;sans-serif"/>
          <w:color w:val="000000"/>
          <w:sz w:val="22"/>
        </w:rPr>
        <w:t>Ms. Sylvia Cheung, CFO</w:t>
        <w:br/>
      </w:r>
      <w:r>
        <w:rPr>
          <w:rFonts w:ascii="Aptos;sans-serif" w:hAnsi="Aptos;sans-serif"/>
          <w:color w:val="467886"/>
          <w:sz w:val="22"/>
        </w:rPr>
        <w:t>sylvia.cheung@oculis.com</w:t>
      </w:r>
    </w:p>
    <w:p>
      <w:pPr>
        <w:pStyle w:val="TextBody"/>
        <w:bidi w:val="0"/>
        <w:spacing w:before="0" w:after="160"/>
        <w:jc w:val="left"/>
        <w:rPr>
          <w:rFonts w:ascii="Times New Roman" w:hAnsi="Times New Roman"/>
          <w:sz w:val="20"/>
        </w:rPr>
      </w:pPr>
      <w:r>
        <w:rPr>
          <w:rFonts w:ascii="Aptos;sans-serif" w:hAnsi="Aptos;sans-serif"/>
          <w:b/>
          <w:color w:val="000000"/>
          <w:sz w:val="22"/>
        </w:rPr>
        <w:t>Investor Relations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LifeSci Advisors </w:t>
        <w:br/>
        <w:t xml:space="preserve">Corey Davis, Ph.D. </w:t>
        <w:br/>
      </w:r>
      <w:r>
        <w:rPr>
          <w:rFonts w:ascii="Aptos;sans-serif" w:hAnsi="Aptos;sans-serif"/>
          <w:color w:val="467886"/>
          <w:sz w:val="22"/>
        </w:rPr>
        <w:t>cdavis@lifesciadvisors.com</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Media Relations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ICR Healthcare </w:t>
        <w:br/>
        <w:t xml:space="preserve">Amber Fennell / David Daley / Sean Leous </w:t>
        <w:br/>
      </w:r>
      <w:r>
        <w:rPr>
          <w:rFonts w:ascii="Aptos;sans-serif" w:hAnsi="Aptos;sans-serif"/>
          <w:color w:val="467886"/>
          <w:sz w:val="22"/>
        </w:rPr>
        <w:t>oculis@icrhealthcare.com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 w:name="ocs-ex99_2.htm"/>
      <w:bookmarkStart w:id="5" w:name="ksocsex99_2"/>
      <w:bookmarkEnd w:id="4"/>
      <w:bookmarkEnd w:id="5"/>
      <w:r>
        <w:rPr>
          <w:rFonts w:ascii="Verdana;sans-serif" w:hAnsi="Verdana;sans-serif"/>
          <w:b/>
          <w:color w:val="000000"/>
          <w:sz w:val="24"/>
        </w:rPr>
        <w:br/>
      </w:r>
      <w:r>
        <w:rPr>
          <w:rFonts w:ascii="Times New Roman" w:hAnsi="Times New Roman"/>
          <w:color w:val="000000"/>
          <w:sz w:val="20"/>
        </w:rPr>
        <w:t> </w:t>
      </w:r>
      <w:r>
        <w:br w:type="page"/>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99.2</w:t>
      </w:r>
    </w:p>
    <w:tbl>
      <w:tblPr>
        <w:tblW w:w="10205" w:type="dxa"/>
        <w:jc w:val="left"/>
        <w:tblInd w:w="0" w:type="dxa"/>
        <w:tblLayout w:type="fixed"/>
        <w:tblCellMar>
          <w:top w:w="28" w:type="dxa"/>
          <w:left w:w="28" w:type="dxa"/>
          <w:bottom w:w="28" w:type="dxa"/>
          <w:right w:w="28" w:type="dxa"/>
        </w:tblCellMar>
      </w:tblPr>
      <w:tblGrid>
        <w:gridCol w:w="4121"/>
        <w:gridCol w:w="1606"/>
        <w:gridCol w:w="4478"/>
      </w:tblGrid>
      <w:tr>
        <w:trPr/>
        <w:tc>
          <w:tcPr>
            <w:tcW w:w="412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478" w:type="dxa"/>
            <w:tcBorders/>
            <w:vAlign w:val="center"/>
          </w:tcPr>
          <w:p>
            <w:pPr>
              <w:pStyle w:val="TableContents"/>
              <w:bidi w:val="0"/>
              <w:spacing w:before="0" w:after="283"/>
              <w:jc w:val="left"/>
              <w:rPr>
                <w:sz w:val="4"/>
                <w:szCs w:val="4"/>
              </w:rPr>
            </w:pPr>
            <w:r>
              <w:rPr>
                <w:sz w:val="4"/>
                <w:szCs w:val="4"/>
              </w:rPr>
            </w:r>
          </w:p>
        </w:tc>
      </w:tr>
      <w:tr>
        <w:trPr/>
        <w:tc>
          <w:tcPr>
            <w:tcW w:w="4121" w:type="dxa"/>
            <w:tcBorders/>
            <w:tcMar>
              <w:top w:w="0" w:type="dxa"/>
              <w:left w:w="0" w:type="dxa"/>
              <w:bottom w:w="0" w:type="dxa"/>
              <w:right w:w="0" w:type="dxa"/>
            </w:tcMar>
            <w:vAlign w:val="center"/>
          </w:tcPr>
          <w:p>
            <w:pPr>
              <w:pStyle w:val="Heading1"/>
              <w:bidi w:val="0"/>
              <w:spacing w:before="120" w:after="120"/>
              <w:jc w:val="left"/>
              <w:rPr>
                <w:rFonts w:ascii="Times New Roman" w:hAnsi="Times New Roman"/>
                <w:sz w:val="20"/>
              </w:rPr>
            </w:pPr>
            <w:r>
              <w:rPr>
                <w:rFonts w:ascii="Calibri Light;sans-serif" w:hAnsi="Calibri Light;sans-serif"/>
                <w:b/>
                <w:caps/>
                <w:color w:val="000000"/>
                <w:sz w:val="20"/>
              </w:rPr>
              <w:t>Articles of association</w:t>
              <w:br/>
            </w:r>
            <w:r>
              <w:rPr>
                <w:rFonts w:ascii="Calibri Light;sans-serif" w:hAnsi="Calibri Light;sans-serif"/>
                <w:b/>
                <w:color w:val="000000"/>
                <w:sz w:val="20"/>
              </w:rPr>
              <w:t>of</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 xml:space="preserve">Oculis Holding AG </w:t>
              <w:br/>
              <w:t>(Oculis Holding SA)</w:t>
              <w:br/>
              <w:t>(Oculis Holding Ltd)</w:t>
            </w:r>
          </w:p>
          <w:p>
            <w:pPr>
              <w:pStyle w:val="TableContents"/>
              <w:bidi w:val="0"/>
              <w:spacing w:before="0" w:after="120"/>
              <w:jc w:val="center"/>
              <w:rPr/>
            </w:pPr>
            <w:r>
              <w:rPr/>
              <w:t> </w:t>
            </w:r>
          </w:p>
          <w:p>
            <w:pPr>
              <w:pStyle w:val="TableContents"/>
              <w:bidi w:val="0"/>
              <w:spacing w:before="0" w:after="120"/>
              <w:jc w:val="center"/>
              <w:rPr>
                <w:rFonts w:ascii="Times New Roman" w:hAnsi="Times New Roman"/>
                <w:sz w:val="20"/>
              </w:rPr>
            </w:pPr>
            <w:r>
              <w:rPr>
                <w:rFonts w:ascii="Calibri Light;sans-serif" w:hAnsi="Calibri Light;sans-serif"/>
                <w:b/>
                <w:color w:val="000000"/>
                <w:sz w:val="20"/>
              </w:rPr>
              <w:t>with registered office in</w:t>
            </w:r>
            <w:r>
              <w:rPr>
                <w:rFonts w:ascii="Times New Roman" w:hAnsi="Times New Roman"/>
                <w:color w:val="000000"/>
                <w:sz w:val="20"/>
              </w:rPr>
              <w:t xml:space="preserve"> </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Zug</w:t>
            </w:r>
          </w:p>
          <w:p>
            <w:pPr>
              <w:pStyle w:val="TableContents"/>
              <w:bidi w:val="0"/>
              <w:spacing w:before="0" w:after="120"/>
              <w:jc w:val="center"/>
              <w:rPr>
                <w:rFonts w:ascii="Calibri Light;sans-serif" w:hAnsi="Calibri Light;sans-serif"/>
                <w:color w:val="000000"/>
                <w:sz w:val="20"/>
              </w:rPr>
            </w:pPr>
            <w:r>
              <w:rPr>
                <w:rFonts w:ascii="Calibri Light;sans-serif" w:hAnsi="Calibri Light;sans-serif"/>
                <w:color w:val="000000"/>
                <w:sz w:val="20"/>
              </w:rPr>
              <w:t>(Translation; in case of controversy the German text shall prevail)</w:t>
            </w:r>
          </w:p>
          <w:p>
            <w:pPr>
              <w:pStyle w:val="TableContents"/>
              <w:bidi w:val="0"/>
              <w:spacing w:before="0" w:after="120"/>
              <w:jc w:val="center"/>
              <w:rPr/>
            </w:pPr>
            <w:r>
              <w:rPr/>
              <w:t> </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478" w:type="dxa"/>
            <w:tcBorders/>
            <w:tcMar>
              <w:top w:w="0" w:type="dxa"/>
              <w:left w:w="0" w:type="dxa"/>
              <w:bottom w:w="0" w:type="dxa"/>
              <w:right w:w="0" w:type="dxa"/>
            </w:tcMar>
            <w:vAlign w:val="center"/>
          </w:tcPr>
          <w:p>
            <w:pPr>
              <w:pStyle w:val="Heading1"/>
              <w:bidi w:val="0"/>
              <w:spacing w:before="120" w:after="120"/>
              <w:jc w:val="left"/>
              <w:rPr>
                <w:rFonts w:ascii="Times New Roman" w:hAnsi="Times New Roman"/>
                <w:sz w:val="20"/>
              </w:rPr>
            </w:pPr>
            <w:r>
              <w:rPr>
                <w:rFonts w:ascii="Calibri Light;sans-serif" w:hAnsi="Calibri Light;sans-serif"/>
                <w:b/>
                <w:caps/>
                <w:color w:val="000000"/>
                <w:sz w:val="20"/>
              </w:rPr>
              <w:t>STATUTEN</w:t>
              <w:br/>
            </w:r>
            <w:r>
              <w:rPr>
                <w:rFonts w:ascii="Calibri Light;sans-serif" w:hAnsi="Calibri Light;sans-serif"/>
                <w:b/>
                <w:color w:val="000000"/>
                <w:sz w:val="20"/>
              </w:rPr>
              <w:t>der</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 xml:space="preserve">Oculis Holding AG </w:t>
              <w:br/>
              <w:t>(Oculis Holding SA)</w:t>
              <w:br/>
              <w:t>(Oculis Holding Ltd)</w:t>
            </w:r>
          </w:p>
          <w:p>
            <w:pPr>
              <w:pStyle w:val="TableContents"/>
              <w:bidi w:val="0"/>
              <w:spacing w:before="0" w:after="120"/>
              <w:jc w:val="center"/>
              <w:rPr/>
            </w:pPr>
            <w:r>
              <w:rPr/>
              <w:t> </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mit Sitz in</w:t>
            </w:r>
          </w:p>
          <w:p>
            <w:pPr>
              <w:pStyle w:val="TableContents"/>
              <w:bidi w:val="0"/>
              <w:spacing w:before="0" w:after="120"/>
              <w:ind w:left="0" w:right="0" w:firstLine="790"/>
              <w:jc w:val="center"/>
              <w:rPr>
                <w:rFonts w:ascii="Calibri Light;sans-serif" w:hAnsi="Calibri Light;sans-serif"/>
                <w:b/>
                <w:color w:val="000000"/>
                <w:sz w:val="20"/>
              </w:rPr>
            </w:pPr>
            <w:r>
              <w:rPr>
                <w:rFonts w:ascii="Calibri Light;sans-serif" w:hAnsi="Calibri Light;sans-serif"/>
                <w:b/>
                <w:color w:val="000000"/>
                <w:sz w:val="20"/>
              </w:rPr>
              <w:t>Zug</w:t>
            </w:r>
          </w:p>
        </w:tc>
      </w:tr>
      <w:tr>
        <w:trPr/>
        <w:tc>
          <w:tcPr>
            <w:tcW w:w="412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I. Corporate Name, Registered Office, Duration and Purpose of the Company</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478"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b/>
                <w:caps/>
                <w:color w:val="000000"/>
                <w:sz w:val="20"/>
              </w:rPr>
            </w:pPr>
            <w:r>
              <w:rPr>
                <w:rFonts w:ascii="Calibri Light;sans-serif" w:hAnsi="Calibri Light;sans-serif"/>
                <w:b/>
                <w:caps/>
                <w:color w:val="000000"/>
                <w:sz w:val="20"/>
              </w:rPr>
              <w:t>I. Firma, Sitz, Dauer und Zweck der Gesellschaft</w:t>
            </w:r>
          </w:p>
        </w:tc>
      </w:tr>
      <w:tr>
        <w:trPr/>
        <w:tc>
          <w:tcPr>
            <w:tcW w:w="4121"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0"/>
              </w:rPr>
            </w:pPr>
            <w:r>
              <w:rPr>
                <w:rFonts w:ascii="Calibri Light;sans-serif" w:hAnsi="Calibri Light;sans-serif"/>
                <w:b/>
                <w:color w:val="000000"/>
                <w:sz w:val="20"/>
              </w:rPr>
              <w:t>Article 1 Corporate Name, Registered Office and Duration</w:t>
            </w:r>
            <w:r>
              <w:rPr>
                <w:rFonts w:ascii="Times New Roman" w:hAnsi="Times New Roman"/>
                <w:color w:val="000000"/>
                <w:sz w:val="20"/>
              </w:rPr>
              <w:t xml:space="preserve"> </w:t>
            </w:r>
          </w:p>
          <w:p>
            <w:pPr>
              <w:pStyle w:val="TableContents"/>
              <w:bidi w:val="0"/>
              <w:spacing w:before="0" w:after="120"/>
              <w:ind w:left="0" w:right="0" w:firstLine="1357"/>
              <w:jc w:val="left"/>
              <w:rPr>
                <w:rFonts w:ascii="Times New Roman" w:hAnsi="Times New Roman"/>
                <w:sz w:val="20"/>
              </w:rPr>
            </w:pPr>
            <w:r>
              <w:rPr>
                <w:rFonts w:ascii="Calibri Light;sans-serif" w:hAnsi="Calibri Light;sans-serif"/>
                <w:color w:val="000000"/>
                <w:sz w:val="20"/>
              </w:rPr>
              <w:t>Under the name</w:t>
            </w:r>
            <w:r>
              <w:rPr>
                <w:rFonts w:ascii="Times New Roman" w:hAnsi="Times New Roman"/>
                <w:color w:val="000000"/>
                <w:sz w:val="20"/>
              </w:rPr>
              <w:t xml:space="preserve"> </w:t>
            </w:r>
          </w:p>
          <w:p>
            <w:pPr>
              <w:pStyle w:val="TableContents"/>
              <w:bidi w:val="0"/>
              <w:spacing w:before="0" w:after="120"/>
              <w:ind w:left="0" w:right="0" w:firstLine="1357"/>
              <w:jc w:val="center"/>
              <w:rPr>
                <w:rFonts w:ascii="Calibri Light;sans-serif" w:hAnsi="Calibri Light;sans-serif"/>
                <w:color w:val="000000"/>
                <w:sz w:val="20"/>
              </w:rPr>
            </w:pPr>
            <w:r>
              <w:rPr>
                <w:rFonts w:ascii="Calibri Light;sans-serif" w:hAnsi="Calibri Light;sans-serif"/>
                <w:color w:val="000000"/>
                <w:sz w:val="20"/>
              </w:rPr>
              <w:t xml:space="preserve">Oculis Holding AG </w:t>
              <w:br/>
              <w:t>(Oculis Holding SA)</w:t>
              <w:br/>
              <w:t>(Oculis Holding Ltd)</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 company limited by shares which is subject to the provisions of articles 620 et seq. of the Swiss Code of Obligations (CO) exists with registered office in Zug (Switzerland) (the "Company"). The duration of the Company is unlimited.</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4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Times New Roman" w:hAnsi="Times New Roman"/>
                <w:sz w:val="20"/>
              </w:rPr>
            </w:pPr>
            <w:r>
              <w:rPr>
                <w:rFonts w:ascii="Calibri Light;sans-serif" w:hAnsi="Calibri Light;sans-serif"/>
                <w:b/>
                <w:color w:val="000000"/>
                <w:sz w:val="20"/>
              </w:rPr>
              <w:t>Artikel 1 Firma, Sitz und Dauer</w:t>
              <w:br/>
            </w:r>
            <w:r>
              <w:rPr>
                <w:rFonts w:ascii="Times New Roman" w:hAnsi="Times New Roman"/>
                <w:color w:val="000000"/>
                <w:sz w:val="20"/>
              </w:rPr>
              <w:t> </w:t>
            </w:r>
          </w:p>
          <w:p>
            <w:pPr>
              <w:pStyle w:val="TableContents"/>
              <w:bidi w:val="0"/>
              <w:spacing w:before="0" w:after="120"/>
              <w:ind w:left="0" w:right="0" w:firstLine="1355"/>
              <w:jc w:val="left"/>
              <w:rPr>
                <w:rFonts w:ascii="Times New Roman" w:hAnsi="Times New Roman"/>
                <w:sz w:val="20"/>
              </w:rPr>
            </w:pPr>
            <w:r>
              <w:rPr>
                <w:rFonts w:ascii="Calibri Light;sans-serif" w:hAnsi="Calibri Light;sans-serif"/>
                <w:color w:val="000000"/>
                <w:sz w:val="20"/>
              </w:rPr>
              <w:t>Unter der Firma</w:t>
            </w:r>
            <w:r>
              <w:rPr>
                <w:rFonts w:ascii="Times New Roman" w:hAnsi="Times New Roman"/>
                <w:color w:val="000000"/>
                <w:sz w:val="20"/>
              </w:rPr>
              <w:t xml:space="preserve"> </w:t>
            </w:r>
          </w:p>
          <w:p>
            <w:pPr>
              <w:pStyle w:val="TableContents"/>
              <w:bidi w:val="0"/>
              <w:spacing w:before="0" w:after="120"/>
              <w:ind w:left="0" w:right="0" w:firstLine="1355"/>
              <w:jc w:val="center"/>
              <w:rPr>
                <w:rFonts w:ascii="Calibri Light;sans-serif" w:hAnsi="Calibri Light;sans-serif"/>
                <w:color w:val="000000"/>
                <w:sz w:val="20"/>
              </w:rPr>
            </w:pPr>
            <w:r>
              <w:rPr>
                <w:rFonts w:ascii="Calibri Light;sans-serif" w:hAnsi="Calibri Light;sans-serif"/>
                <w:color w:val="000000"/>
                <w:sz w:val="20"/>
              </w:rPr>
              <w:t xml:space="preserve">Oculis Holding AG </w:t>
              <w:br/>
              <w:t>(Oculis Holding SA)</w:t>
              <w:br/>
              <w:t>(Oculis Holding Ltd)</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besteht eine Aktiengesellschaft gemäss Artikeln 620 ff. OR mit Sitz in Zug (Schweiz) (die "Gesellschaft"). Die Dauer der Gesellschaft ist unbeschränkt.</w:t>
            </w:r>
          </w:p>
        </w:tc>
      </w:tr>
      <w:tr>
        <w:trPr/>
        <w:tc>
          <w:tcPr>
            <w:tcW w:w="412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2 Purpose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purpose of the Company is to acquire, hold, manage and sell interests in companies of all kinds in Switzerland and abroad, in particular in the areas of research and development in the field of pharmaceutical products, including biological and biotechnological products, as well as the production and commercialisation of such products.</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4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2 Zweck</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 bezweckt den Erwerb, das Halten, die Verwaltung und die Veräusserung von Beteiligungen an Gesellschaften aller Art in der Schweiz und im Ausland, insbesondere in den Bereichen Forschung und Entwicklung auf dem Gebiet von pharmazeutischen Produkten, einschliesslich bio-logischen und biotechnologischen Produkten, sowie die Herstellung und Kommerzialisierung derartiger Produkte.</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w:t>
      </w:r>
    </w:p>
    <w:tbl>
      <w:tblPr>
        <w:tblW w:w="10205" w:type="dxa"/>
        <w:jc w:val="left"/>
        <w:tblInd w:w="0" w:type="dxa"/>
        <w:tblLayout w:type="fixed"/>
        <w:tblCellMar>
          <w:top w:w="28" w:type="dxa"/>
          <w:left w:w="28" w:type="dxa"/>
          <w:bottom w:w="28" w:type="dxa"/>
          <w:right w:w="28" w:type="dxa"/>
        </w:tblCellMar>
      </w:tblPr>
      <w:tblGrid>
        <w:gridCol w:w="3831"/>
        <w:gridCol w:w="1606"/>
        <w:gridCol w:w="4768"/>
      </w:tblGrid>
      <w:tr>
        <w:trPr/>
        <w:tc>
          <w:tcPr>
            <w:tcW w:w="38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768" w:type="dxa"/>
            <w:tcBorders/>
            <w:vAlign w:val="center"/>
          </w:tcPr>
          <w:p>
            <w:pPr>
              <w:pStyle w:val="TableContents"/>
              <w:bidi w:val="0"/>
              <w:spacing w:before="0" w:after="283"/>
              <w:jc w:val="left"/>
              <w:rPr>
                <w:sz w:val="4"/>
                <w:szCs w:val="4"/>
              </w:rPr>
            </w:pPr>
            <w:r>
              <w:rPr>
                <w:sz w:val="4"/>
                <w:szCs w:val="4"/>
              </w:rPr>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purchase, hold and sell patents, copyrights, trademarks and other intellectual property rights as well as licenses of any kind.</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Patente, Urheber-rechte, Marken und andere Immaterialgüterrechte sowie Lizenzen jeder Art erwerben, halten und veräussern.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engage in and carry out any and all commercial, financial or other activity, which is directly or indirectly related to the purpose of the Company. The Company may purchase, hold and sell shares or interests in other companies in Switzerland or abroad. It may establish and maintain branches and subsidiaries in Switzerland and abroad.</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alle kommerziellen, finanziellen und anderen Tätigkeiten ausüben, welche mit dem Zweck der Gesellschaft direkt oder indirekt im Zusammenhang stehen. Die Gesellschaft kann Beteiligungen an anderen Unternehmen im In- und Ausland erwerben, halten und veräussern. Sie kann Zweigniederlassungen und Tochtergesellschaften im In- und Ausland errichten.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purchase, hold and sell real estate and carry out other investments.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ind w:left="0" w:right="0" w:firstLine="790"/>
              <w:jc w:val="left"/>
              <w:rPr>
                <w:rFonts w:ascii="Calibri Light;sans-serif" w:hAnsi="Calibri Light;sans-serif"/>
                <w:color w:val="000000"/>
                <w:sz w:val="20"/>
              </w:rPr>
            </w:pPr>
            <w:r>
              <w:rPr>
                <w:rFonts w:ascii="Calibri Light;sans-serif" w:hAnsi="Calibri Light;sans-serif"/>
                <w:color w:val="000000"/>
                <w:sz w:val="20"/>
              </w:rPr>
              <w:t>Die Gesellschaft kann Grundstücke erwerben, verwalten und veräussern sowie Vermögensanlagen anderer Art tätige.</w:t>
            </w:r>
          </w:p>
        </w:tc>
      </w:tr>
      <w:tr>
        <w:trPr/>
        <w:tc>
          <w:tcPr>
            <w:tcW w:w="383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II. SHARE CAPITAL, SHARES AND SHARE REGISTER</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768" w:type="dxa"/>
            <w:tcBorders/>
            <w:tcMar>
              <w:top w:w="0" w:type="dxa"/>
              <w:left w:w="0" w:type="dxa"/>
              <w:bottom w:w="0" w:type="dxa"/>
              <w:right w:w="0" w:type="dxa"/>
            </w:tcMar>
            <w:vAlign w:val="center"/>
          </w:tcPr>
          <w:p>
            <w:pPr>
              <w:pStyle w:val="Heading1"/>
              <w:bidi w:val="0"/>
              <w:spacing w:before="360" w:after="360"/>
              <w:ind w:left="0" w:right="0" w:firstLine="1355"/>
              <w:jc w:val="left"/>
              <w:rPr>
                <w:rFonts w:ascii="Calibri Light;sans-serif" w:hAnsi="Calibri Light;sans-serif"/>
                <w:b/>
                <w:caps/>
                <w:color w:val="000000"/>
                <w:sz w:val="20"/>
              </w:rPr>
            </w:pPr>
            <w:r>
              <w:rPr>
                <w:rFonts w:ascii="Calibri Light;sans-serif" w:hAnsi="Calibri Light;sans-serif"/>
                <w:b/>
                <w:caps/>
                <w:color w:val="000000"/>
                <w:sz w:val="20"/>
              </w:rPr>
              <w:t>II. AKTIENKAPITAL, AKTIEN UND AKTIENBUCH</w:t>
            </w:r>
          </w:p>
        </w:tc>
      </w:tr>
      <w:tr>
        <w:trPr/>
        <w:tc>
          <w:tcPr>
            <w:tcW w:w="383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 Share Capital and Shares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of the Company is CHF 545'336.74 and is fully paid-in. It is divided into 54'533'674 registered shares with a nominal value of CHF 0.01 each.</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 Aktienkapital und Aktien</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der Gesellschaft beträgt CHF 545'336.74 und ist voll liberiert. Es ist in 54'533'674 Namenaktien mit einem Nennwert von je CHF 0.01 eingeteilt.</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3a Capital Band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Company has a capital band between CHF 545'336.74 (lower limit) and CHF 818’005.11 (upper limit).</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Board of Directors is authorized to increase the share capital up to the upper limit at any time and as often as required until 4 June 2030.</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increase must be effected by issuing a maximum of 27'266'837 registered shares with a par value of CHF 0.01, to be fully paid up. After a change in par value, the new par value shall also apply within the scope of the capital band. A capital reduction is excluded.</w:t>
            </w:r>
          </w:p>
        </w:tc>
        <w:tc>
          <w:tcPr>
            <w:tcW w:w="1606" w:type="dxa"/>
            <w:tcBorders/>
            <w:tcMar>
              <w:top w:w="0" w:type="dxa"/>
              <w:left w:w="0" w:type="dxa"/>
              <w:bottom w:w="0" w:type="dxa"/>
              <w:right w:w="0" w:type="dxa"/>
            </w:tcMar>
            <w:vAlign w:val="center"/>
          </w:tcPr>
          <w:p>
            <w:pPr>
              <w:pStyle w:val="Heading1"/>
              <w:bidi w:val="0"/>
              <w:spacing w:before="120" w:after="283"/>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3a Kapitalband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Gesellschaft hat ein Kapitalband zwischen CHF 545'336.74 (untere Grenze) und CHF 818‘005.11 (obere Grenze).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ist ermächtigt, bis zum 4. Juni 2030 das Aktienkapital jederzeit und beliebig oft bis zur oberen Grenze zu erhöhen.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Erhöhung hat durch Ausgabe von maximal 27'266'837 vollständig zu liberierenden Namenaktien im Nennwert von CHF 0.01 zu erfolgen. Nach einer Nennwertveränderung gilt der neue Nennwert auch im Rahmen des Kapitalbandes. Eine Kapitalherabsetzung wird ausgeschlossen.</w:t>
            </w:r>
          </w:p>
          <w:p>
            <w:pPr>
              <w:pStyle w:val="TableContents"/>
              <w:bidi w:val="0"/>
              <w:spacing w:before="0" w:after="283"/>
              <w:jc w:val="left"/>
              <w:rPr>
                <w:rFonts w:ascii="Times New Roman" w:hAnsi="Times New Roman"/>
                <w:sz w:val="20"/>
              </w:rPr>
            </w:pPr>
            <w:r>
              <w:rPr>
                <w:rFonts w:ascii="Calibri Light;sans-serif" w:hAnsi="Calibri Light;sans-serif"/>
                <w:color w:val="000000"/>
                <w:sz w:val="20"/>
              </w:rPr>
              <w:t>Erhöht sich das Aktienkapital aufgrund einer Erhöhung aus bedingtem Kapital gemäss Art 3b, 3c, 3d oder 3e der Statuten, so erhöhen sich die obere und die</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w:t>
      </w:r>
    </w:p>
    <w:tbl>
      <w:tblPr>
        <w:tblW w:w="10205" w:type="dxa"/>
        <w:jc w:val="left"/>
        <w:tblInd w:w="0" w:type="dxa"/>
        <w:tblLayout w:type="fixed"/>
        <w:tblCellMar>
          <w:top w:w="28" w:type="dxa"/>
          <w:left w:w="28" w:type="dxa"/>
          <w:bottom w:w="28" w:type="dxa"/>
          <w:right w:w="28" w:type="dxa"/>
        </w:tblCellMar>
      </w:tblPr>
      <w:tblGrid>
        <w:gridCol w:w="4773"/>
        <w:gridCol w:w="251"/>
        <w:gridCol w:w="5181"/>
      </w:tblGrid>
      <w:tr>
        <w:trPr/>
        <w:tc>
          <w:tcPr>
            <w:tcW w:w="47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81" w:type="dxa"/>
            <w:tcBorders/>
            <w:vAlign w:val="center"/>
          </w:tcPr>
          <w:p>
            <w:pPr>
              <w:pStyle w:val="TableContents"/>
              <w:bidi w:val="0"/>
              <w:spacing w:before="0" w:after="283"/>
              <w:jc w:val="left"/>
              <w:rPr>
                <w:sz w:val="4"/>
                <w:szCs w:val="4"/>
              </w:rPr>
            </w:pPr>
            <w:r>
              <w:rPr>
                <w:sz w:val="4"/>
                <w:szCs w:val="4"/>
              </w:rPr>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share capital increases as a result of an increase from conditional capital pursuant to Article 3b, 3c, 43d or 3e of these articles of association, the upper and lower limits of the capital range shall increase in an amount corresponding to such increase in the share capital.</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untere Grenze des Kapitalbands entsprechend dem Umfang der Erhöhung des Aktienkapitals.</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An increase of the share capital (i) by subscription of shares based on an offer signed by a financial institution, an association, another third party or third parties, followed by an offer to the then existing shareholders of the Company, (ii) by subscription of shares at par value out of the Company's equity with a view towards the (private) placement or sale of these shares as part of a fast and flexible fundraising process as well as (iii) in partial amounts is permitted.</w:t>
            </w:r>
          </w:p>
        </w:tc>
        <w:tc>
          <w:tcPr>
            <w:tcW w:w="251" w:type="dxa"/>
            <w:tcBorders/>
            <w:tcMar>
              <w:top w:w="0" w:type="dxa"/>
              <w:left w:w="0" w:type="dxa"/>
              <w:bottom w:w="0" w:type="dxa"/>
              <w:right w:w="0" w:type="dxa"/>
            </w:tcMar>
            <w:vAlign w:val="center"/>
          </w:tcPr>
          <w:p>
            <w:pPr>
              <w:pStyle w:val="Heading1"/>
              <w:bidi w:val="0"/>
              <w:spacing w:before="120" w:after="283"/>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Eine Erhöhung des Aktienkapitals (i) durch die Zeichnung von Aktien aufgrund eines von einem Finanzinstitut, eines Verbandes, einer anderen Drittpartei oder Drittparteien unterzeichneten Angebots, gefolgt von einem Angebot gegenüber den zu diesem Zeitpunkt bestehenden Aktionären der Gesellschaft, (ii) durch Zeichnung von Aktien zum Nennwert aus dem Eigenkapital der Gesellschaft mit Hinblick auf die (private) Platzierung oder der Verkauf dieser Aktien im Rahmen eines schnellen und flexiblen Fundraising-Prozesses sowie (iii) in Teilbeträgen ist zulässig.</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Der Verwaltungsrat soll den Ausgabezeitpunkt, den Bezugspreis, die Art und Weise der Liberierung, das Datum, ab welchem die Aktien zum Bezug einer Dividende berechtigen, die Bedingungen zur Ausübung der Bezugsrechte sowie die Zuteilung nicht ausgeübter Bezugsrechte festlegen. Der Verwaltungsrat kann bestimmen, dass nicht ausgeübte Bezugsrechte verfallen oder er kann Drittparteien solche Rechte oder Aktien, für welche die Bezugsrechte nicht ausgeübt wurden, zu Marktbedingungen zuteilen oder sie sonst im Interesse der Gesellschaft verwenden.</w:t>
            </w:r>
            <w:r>
              <w:rPr>
                <w:rFonts w:ascii="Times New Roman" w:hAnsi="Times New Roman"/>
                <w:color w:val="000000"/>
                <w:sz w:val="20"/>
              </w:rPr>
              <w:t xml:space="preserve"> </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is authorized to withdraw or limit the preemptive rights of the shareholders and to allot them to third parties: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if the issue price of the new registered shares is determined by reference to the market price; or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for the acquisition of an enterprise, part of an enterprise or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 xml:space="preserve">Der Verwaltungsrat ist ermächtigt, das Bezugsrecht der Aktionäre auszuschliessen oder Dritten zuzuteilen: </w:t>
              <w:br/>
            </w:r>
            <w:r>
              <w:rPr>
                <w:rFonts w:ascii="Times New Roman" w:hAnsi="Times New Roman"/>
                <w:color w:val="000000"/>
                <w:sz w:val="2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falls der Ausgabepreis der neuen Aktien anhand des Marktwertes festgelegt wird; oder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für die Übernahme eines Unternehmens, den Teil eines Unternehmens oder Beteiligungen oder für die Finanzierung oder Refinanzierung solcher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w:t>
      </w:r>
    </w:p>
    <w:tbl>
      <w:tblPr>
        <w:tblW w:w="10205" w:type="dxa"/>
        <w:jc w:val="left"/>
        <w:tblInd w:w="0" w:type="dxa"/>
        <w:tblLayout w:type="fixed"/>
        <w:tblCellMar>
          <w:top w:w="28" w:type="dxa"/>
          <w:left w:w="28" w:type="dxa"/>
          <w:bottom w:w="28" w:type="dxa"/>
          <w:right w:w="28" w:type="dxa"/>
        </w:tblCellMar>
      </w:tblPr>
      <w:tblGrid>
        <w:gridCol w:w="3867"/>
        <w:gridCol w:w="578"/>
        <w:gridCol w:w="5760"/>
      </w:tblGrid>
      <w:tr>
        <w:trPr/>
        <w:tc>
          <w:tcPr>
            <w:tcW w:w="386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60"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867" w:type="dxa"/>
            <w:tcBorders/>
            <w:tcMar>
              <w:top w:w="0" w:type="dxa"/>
              <w:left w:w="0" w:type="dxa"/>
              <w:bottom w:w="0" w:type="dxa"/>
              <w:right w:w="0" w:type="dxa"/>
            </w:tcMar>
            <w:vAlign w:val="center"/>
          </w:tcPr>
          <w:p>
            <w:pPr>
              <w:pStyle w:val="TableContents"/>
              <w:bidi w:val="0"/>
              <w:spacing w:before="0" w:after="0"/>
              <w:jc w:val="both"/>
              <w:rPr/>
            </w:pPr>
            <w:r>
              <w:rPr>
                <w:rFonts w:ascii="Calibri Light;sans-serif" w:hAnsi="Calibri Light;sans-serif"/>
                <w:color w:val="000000"/>
                <w:sz w:val="20"/>
              </w:rPr>
              <w:t xml:space="preserve">participations, or for the financing or refinancing of any of such acquisition, or in the event of share placement for the financing or refinancing of such placement;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 xml:space="preserve">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for purposes of granting an over-allotment option (</w:t>
            </w:r>
            <w:r>
              <w:rPr>
                <w:rFonts w:ascii="Calibri Light;sans-serif" w:hAnsi="Calibri Light;sans-serif"/>
                <w:i/>
                <w:color w:val="000000"/>
                <w:sz w:val="20"/>
              </w:rPr>
              <w:t>Greenshoe</w:t>
            </w:r>
            <w:r>
              <w:rPr>
                <w:rFonts w:ascii="Calibri Light;sans-serif" w:hAnsi="Calibri Light;sans-serif"/>
                <w:color w:val="000000"/>
                <w:sz w:val="20"/>
              </w:rPr>
              <w:t xml:space="preserve">) or an option to subscribe additional shares to the respective initial purchaser(s) or underwriter(s) in a placement or sale of registered shares;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pPr>
            <w:r>
              <w:rPr>
                <w:rFonts w:ascii="Calibri Light;sans-serif" w:hAnsi="Calibri Light;sans-serif"/>
                <w:color w:val="000000"/>
                <w:sz w:val="20"/>
              </w:rPr>
              <w:t xml:space="preserve">for raising of capital (including private placements) in a fast and flexible way, which probably could not be reached without the exclusion of the statutory pre-emptive right of the existing shareholders;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for other valid grounds in the sense of article 652b para. 2 CO; or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w:t>
            </w:r>
          </w:p>
        </w:tc>
        <w:tc>
          <w:tcPr>
            <w:tcW w:w="578"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c>
          <w:tcPr>
            <w:tcW w:w="5760"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Erwerbe, oder im Falle einer Aktienplatzierung für die Finanzierung oder Refinanzierung solcher Platzierungen;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zum Zweck der Erweiterung der Aktionärskreises der Gesellschaft in bestimmten finanziellen oder Investorenmärkten, für die Zwecke der Beteiligung von strategischen Partnern, oder im Zusammenhang mit der Auflistung oder Meldung neuer Namenaktien an inländischen oder ausländischen Börsen;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zum Zweck der Gewährung einer Mehrzuteilungsoption (</w:t>
            </w:r>
            <w:r>
              <w:rPr>
                <w:rFonts w:ascii="Calibri Light;sans-serif" w:hAnsi="Calibri Light;sans-serif"/>
                <w:i/>
                <w:color w:val="000000"/>
                <w:sz w:val="20"/>
              </w:rPr>
              <w:t>Greenshoe</w:t>
            </w:r>
            <w:r>
              <w:rPr>
                <w:rFonts w:ascii="Calibri Light;sans-serif" w:hAnsi="Calibri Light;sans-serif"/>
                <w:color w:val="000000"/>
                <w:sz w:val="20"/>
              </w:rPr>
              <w:t>) oder eine Option zur Zeichnung von zusätzlichen Aktien an die betreffenden Erstkäufer oder Festübernehmer im Rahmen einer Aktienplatzierung oder eines Aktienverkaufs;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um Kapital (inklusive durch private Vermittlung) in schneller und flexibler Weise zu beschaffen, welches wahrscheinlich ohne den Ausschluss der gesetzlichen Vorkaufsrechte der existierenden Aktionäre nicht erhoben werden könnte; oder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aus anderen, gemäss Artikel 652 Abs. 2 OR zulässigen Gründen; oder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einem Aktionär oder einer Gruppe von Aktionären folgend, die gemeinsam mehr als 15% des im Handelsregister eingetragenen Aktienkapitals halten und den übrigen Aktionären auf Empfehlung des Verwaltungsrats hin kein Übernahmeangebot unterbreitet haben, oder im Rahmen der Abwehr eines tatsächlichen, drohenden oder etwaigen Übernahmeversuchs, für den der Verwaltungsrat, nach Konsultation eines unabhängigen Finanzberaters, keine Zustimmungsempfehlung abgegeben hat, da das Übernahmeangebot vom Verwaltungsrat den Aktionären gegenüber als finanziell zu wenig angemessen betrachtet wird.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5</w:t>
      </w:r>
    </w:p>
    <w:tbl>
      <w:tblPr>
        <w:tblW w:w="10205" w:type="dxa"/>
        <w:jc w:val="left"/>
        <w:tblInd w:w="0" w:type="dxa"/>
        <w:tblLayout w:type="fixed"/>
        <w:tblCellMar>
          <w:top w:w="28" w:type="dxa"/>
          <w:left w:w="28" w:type="dxa"/>
          <w:bottom w:w="28" w:type="dxa"/>
          <w:right w:w="28" w:type="dxa"/>
        </w:tblCellMar>
      </w:tblPr>
      <w:tblGrid>
        <w:gridCol w:w="3648"/>
        <w:gridCol w:w="1606"/>
        <w:gridCol w:w="4951"/>
      </w:tblGrid>
      <w:tr>
        <w:trPr/>
        <w:tc>
          <w:tcPr>
            <w:tcW w:w="364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648"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retained by it, has not recommended to the shareholders acceptance on the basis that the Board of Directors has not found the takeover bid to be financially fair to the shareholders.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and any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5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sowie jeder Transfer von Namenaktien unterliegen den Einschränkungen in Artikel 4 dieser Statuten.</w:t>
            </w:r>
          </w:p>
        </w:tc>
      </w:tr>
      <w:tr>
        <w:trPr/>
        <w:tc>
          <w:tcPr>
            <w:tcW w:w="364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Times New Roman" w:hAnsi="Times New Roman"/>
                <w:sz w:val="20"/>
              </w:rPr>
            </w:pPr>
            <w:r>
              <w:rPr>
                <w:rFonts w:ascii="Calibri Light;sans-serif" w:hAnsi="Calibri Light;sans-serif"/>
                <w:b/>
                <w:color w:val="000000"/>
                <w:sz w:val="20"/>
              </w:rPr>
              <w:t xml:space="preserve">Article 3b Conditional Share Capital for Bonds and Similar Debt Instruments </w:t>
              <w:br/>
            </w:r>
            <w:r>
              <w:rPr>
                <w:rFonts w:ascii="Times New Roman" w:hAnsi="Times New Roman"/>
                <w:color w:val="000000"/>
                <w:sz w:val="20"/>
              </w:rPr>
              <w:t> </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of the Company may be increased by the maximum amount of CHF 67'500.00 by issuing up to 6'750'000 fully paid-up registered shares with a nominal value of CHF 0.01 each, through the exercise of conversion and/or option rights or warrants or granted in connection with bonds or similar instruments, assumed, issued or to be issued by the Company or by its subsidiaries, including convertible debt instruments. The exercise of the conversion and/or option rights and the waiver of such right shall be made in writing on paper or in electronic form.</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5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3b Bedingtes Aktienkapital für Anleihensobligationen oder ähnliche Instrumente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der Gesellschaft wird im Maximalbetrag von CHF 67'500.00 erhöht durch Ausgabe von höchstens 6'750'000 vollständig zu liberierenden Namenaktien mit einem Nennwert von je CHF 0.01 durch Ausübung von Wandlungs- und/oder Optionsrechten, welche im Zusammenhang mit van der Gesellschaft oder ihren Tochtergesellschaften übernommenen oder emittierten Anleihensobligationen oder ähnlichen Instrumenten eingeräumt wurden oder werden, einschliesslich Wandelanleihen. Die Form der Ausübung der Wandlungs- und/oder Optionsrechte und des Verzichts auf dieses Recht erfolgt auf schriftlichem Weg auf Papier oder in elektronischer Form.</w:t>
            </w:r>
          </w:p>
        </w:tc>
      </w:tr>
      <w:tr>
        <w:trPr/>
        <w:tc>
          <w:tcPr>
            <w:tcW w:w="364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Shareholders' subscription rights for these shares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 market conditions, (2) the exercise period</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 Unternehmen, Unternehmensteilen, Beteiligungen, oder von der Gesellschaft geplanten neuen Investitionen, oder für die Ausgabe von Anleihensobligationen oder ähnlichen Instrumenten auf internationalen Kapitalmärkten oder mittels Privatplatzierungen. Falls Vorwegzeichnungsrechte ausgeschlossen werden, müssen (1) die Instrumente zu Marktkonditionen platziert werden, (2) der Ausübungszeitraum darf zehn Jahre seit dem</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6</w:t>
      </w:r>
    </w:p>
    <w:tbl>
      <w:tblPr>
        <w:tblW w:w="10205" w:type="dxa"/>
        <w:jc w:val="left"/>
        <w:tblInd w:w="0" w:type="dxa"/>
        <w:tblLayout w:type="fixed"/>
        <w:tblCellMar>
          <w:top w:w="28" w:type="dxa"/>
          <w:left w:w="28" w:type="dxa"/>
          <w:bottom w:w="28" w:type="dxa"/>
          <w:right w:w="28" w:type="dxa"/>
        </w:tblCellMar>
      </w:tblPr>
      <w:tblGrid>
        <w:gridCol w:w="3320"/>
        <w:gridCol w:w="1606"/>
        <w:gridCol w:w="5279"/>
      </w:tblGrid>
      <w:tr>
        <w:trPr/>
        <w:tc>
          <w:tcPr>
            <w:tcW w:w="332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279" w:type="dxa"/>
            <w:tcBorders/>
            <w:vAlign w:val="center"/>
          </w:tcPr>
          <w:p>
            <w:pPr>
              <w:pStyle w:val="TableContents"/>
              <w:bidi w:val="0"/>
              <w:spacing w:before="0" w:after="283"/>
              <w:jc w:val="left"/>
              <w:rPr>
                <w:sz w:val="4"/>
                <w:szCs w:val="4"/>
              </w:rPr>
            </w:pPr>
            <w:r>
              <w:rPr>
                <w:sz w:val="4"/>
                <w:szCs w:val="4"/>
              </w:rPr>
            </w:r>
          </w:p>
        </w:tc>
      </w:tr>
      <w:tr>
        <w:trPr/>
        <w:tc>
          <w:tcPr>
            <w:tcW w:w="3320"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is not to exceed ten years from the date of issue of option rights and twenty years for conversion rights and (3) the conversion or exercise price for the new shares is to be set at least in line with the market conditions prevailing at the date on which the instruments are issued. In addition, advance subscription rights can also be excluded if the instruments to be issued are granted or issued within the context of a larger transaction concluded at market conditions, in which case the conversion or exercise price for the new shares can be set by accounting for the general economic terms of the transaction, which may provide for the payment of the conversion or exercise price at nominal value, through a cashless settlement mechanism and/or through adjusted rights under the instruments themselves.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Ausgabedatum der Optionsrechte und 20 Jahre seit dem Ausgabedatum der Wandlungsrechte nicht überschreiten und (3) der Wandlungs- oder Ausübungspreis für die neuen Aktien muss mindestens gemäss den Marktbedingungen am Ausgabedatum der Instrumente festgelegt werden. Darüber hinaus kann das Vorwegzeichnungsrecht auch ausgeschlossen werden, wenn die auszugebenden Instrumente im Rahmen einer umfangreicheren, zu Marktbedingungen abgeschlossenen Transaktion gewährt oder ausgegeben werden; in diesem Fall kann der Wandlungs- oder Ausübungspreis für die neuen Aktien unter Berücksichtigung der allgemeinen wirtschaftlichen Bedingungen der Transaktion festgelegt werden, die die Zahlung des Wandlungs- oder Ausübungspreises zum Nennwert, durch einen bargeldlosen Abwicklungsmechanismus und/oder durch angepasste Rechte aus den Instrumenten selbst vorsehen können.</w:t>
            </w:r>
          </w:p>
        </w:tc>
      </w:tr>
      <w:tr>
        <w:trPr/>
        <w:tc>
          <w:tcPr>
            <w:tcW w:w="332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through the exercise of conversion rights or warrants and any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79"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durch Ausübung von Wandelrechten oder Warrants sowie sämtliche weiteren Übertragungen von Namenaktien unterliegen den Übertragungsbeschränkungen gemäss Artikel 4 der Statuten.</w:t>
            </w:r>
          </w:p>
        </w:tc>
      </w:tr>
      <w:tr>
        <w:trPr/>
        <w:tc>
          <w:tcPr>
            <w:tcW w:w="3320"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3c Conditional Share Capital for Employee Benefit Plans</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The share capital of the Company shall be increased by an amount not exceeding CHF 124'800 through the issue of a maximum of 12'480'000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 The exercise of the option rights and the waiver of such right shall be</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279"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3c Bedingtes Aktienkapital für Mitarbeiterbeteiligungspläne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kann durch die Ausgabe von höchstens 12'480'000 voll zu liberierenden Namenaktien im Nennwert von je CHF 0.01 um höchstens CHF 124'800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 Die Form der Ausübung der Optionsrechte und des Verzichts auf dieses Recht erfolgt auf schriftlichem Weg auf Papier oder in elektronischer Form.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7</w:t>
      </w:r>
    </w:p>
    <w:tbl>
      <w:tblPr>
        <w:tblW w:w="10205" w:type="dxa"/>
        <w:jc w:val="left"/>
        <w:tblInd w:w="0" w:type="dxa"/>
        <w:tblLayout w:type="fixed"/>
        <w:tblCellMar>
          <w:top w:w="28" w:type="dxa"/>
          <w:left w:w="28" w:type="dxa"/>
          <w:bottom w:w="28" w:type="dxa"/>
          <w:right w:w="28" w:type="dxa"/>
        </w:tblCellMar>
      </w:tblPr>
      <w:tblGrid>
        <w:gridCol w:w="3651"/>
        <w:gridCol w:w="1606"/>
        <w:gridCol w:w="4948"/>
      </w:tblGrid>
      <w:tr>
        <w:trPr/>
        <w:tc>
          <w:tcPr>
            <w:tcW w:w="36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365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made in writing on paper or in electronic form.</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4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 fest.</w:t>
            </w:r>
          </w:p>
        </w:tc>
      </w:tr>
      <w:tr>
        <w:trPr/>
        <w:tc>
          <w:tcPr>
            <w:tcW w:w="365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in connection with employee participation and any further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4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im Zusammenhang der Mitarbeiterbeteiligung sowie sämtliche weiteren Übertragungen von Namenaktien unterliegen den Übertragungsbeschränkungen gemäss Artikel 4 der Statuten.</w:t>
            </w:r>
          </w:p>
        </w:tc>
      </w:tr>
      <w:tr>
        <w:trPr/>
        <w:tc>
          <w:tcPr>
            <w:tcW w:w="365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3d Conditional Share Capital for EBAC-Warrants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shall be increased by an amount not exceeding CHF 39'751.05 through the issue of a maximum of 3'975'105 registered shares, payable in full, each with a nominal value of CHF 0.01. The increase of the share capital shall occur in connection with the share capital increase of 1 March 2023 through the exercise of conversion and/or option rights, which were assumed from, and allocated by, European Biotech Acquisition Corp. with registered seat in George Town, Cayman Islands and business address at EPFL Innovation Park Building D, 1015 Lausanne, Switzerland (EBAC), at an exercise price of USD 11.50 on the basis of a Warrant Assumption Agreement between the Company and Continental Stock Transfer &amp; Trust Company, with registered seat in New York (USA) as Warrant Agent. The exercise of conversion and/or option rights and the waiver of such right shall be made in writing on paper or in electronic form.</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4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3d Bedingtes Aktienkapital für EBAC-Warrants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kann durch die Ausgabe von höchstens 3'975'105 voll zu liberierenden Namenaktien im Nennwert von je CHF 0.01 um höchstens CHF 39'751.05 erhöht werden. Die Erhöhung des Aktienkapitals erfolgt im Zusammenhang mit der Kapitalerhöhung vom 1. März 2023 durch die Ausübung von Wandlungs- und/oder Optionsrechten, welche von European Biotech Acquisition Corp. mit Sitz in George Town, Cayman Islands und Geschäftsadresse an der EPFL Innovation Park Building D, 1015 Lausanne, Schweiz (EBAC), mit einem Ausübungspreis von USD 11.50 auf der Grundlage eines Warrant Assumption Agreements zwischen der Gesellschaft und Continental Stock Transfer &amp; Trust Company, mit Sitz in New York (USA) als Warrant Agent, übernommenen und eingeräumt wurden. Die Form der Ausübung der Wandlungs- und/oder Optionsrechte und des Verzichts auf dieses Recht erfolgt auf schriftlichem Weg auf Papier oder in elektronischer Form.</w:t>
            </w:r>
          </w:p>
        </w:tc>
      </w:tr>
      <w:tr>
        <w:trPr/>
        <w:tc>
          <w:tcPr>
            <w:tcW w:w="36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Only the bearers of such conversion and/or option rights shall be entitled to</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4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Zum Bezug der neuen Namenaktien sind die Inhaber von Wandlungs- und/oder Optionsrechten berechtigt.</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8</w:t>
      </w:r>
    </w:p>
    <w:tbl>
      <w:tblPr>
        <w:tblW w:w="10205" w:type="dxa"/>
        <w:jc w:val="left"/>
        <w:tblInd w:w="0" w:type="dxa"/>
        <w:tblLayout w:type="fixed"/>
        <w:tblCellMar>
          <w:top w:w="28" w:type="dxa"/>
          <w:left w:w="28" w:type="dxa"/>
          <w:bottom w:w="28" w:type="dxa"/>
          <w:right w:w="28" w:type="dxa"/>
        </w:tblCellMar>
      </w:tblPr>
      <w:tblGrid>
        <w:gridCol w:w="3421"/>
        <w:gridCol w:w="1606"/>
        <w:gridCol w:w="5178"/>
      </w:tblGrid>
      <w:tr>
        <w:trPr/>
        <w:tc>
          <w:tcPr>
            <w:tcW w:w="342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178" w:type="dxa"/>
            <w:tcBorders/>
            <w:vAlign w:val="center"/>
          </w:tcPr>
          <w:p>
            <w:pPr>
              <w:pStyle w:val="TableContents"/>
              <w:bidi w:val="0"/>
              <w:spacing w:before="0" w:after="283"/>
              <w:jc w:val="left"/>
              <w:rPr>
                <w:sz w:val="4"/>
                <w:szCs w:val="4"/>
              </w:rPr>
            </w:pPr>
            <w:r>
              <w:rPr>
                <w:sz w:val="4"/>
                <w:szCs w:val="4"/>
              </w:rPr>
            </w:r>
          </w:p>
        </w:tc>
      </w:tr>
      <w:tr>
        <w:trPr/>
        <w:tc>
          <w:tcPr>
            <w:tcW w:w="342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obtain such new registered shares. The terms and conditions of the exercise and/or conversion rights, such as the exercise and/or conversion price and period, the time of entitlement to dividends and the type of contributions shall be defined by the Board of Directors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8"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Bezugsbedingungen, wie Ausübungs- und/oder Konvertierungspreis und -frist, Zeitpunkt der Dividendenberechtigung und Art der Einlagen, werden durch den Verwaltungsrat festgelegt.</w:t>
            </w:r>
          </w:p>
        </w:tc>
      </w:tr>
      <w:tr>
        <w:trPr/>
        <w:tc>
          <w:tcPr>
            <w:tcW w:w="34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shareholders' subscription rights are excluded for these shares. The shareholders’ advance subscription rights regarding these Warrants are excluded to abide by the obligations stemming from the Business Combination Agreement dated 17 October 2022 between EBAC and Oculis SA with registered seat in Ecublens (VD), Switzerland, and assumed by the Company.</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1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Das Vorwegzeichnungsrecht der Aktionäre in Bezug auf diese Warrants ist ausgeschlossen, um die im Business Combination Agreement vom 17. Oktober 2022 zwischen EBAC und Oculis SA mit Sitz in Ecublens (VD), Schweiz, eingegangenen und von der Gesellschaft übernommenen Verpflichtungen zu erfüllen.</w:t>
            </w:r>
          </w:p>
        </w:tc>
      </w:tr>
      <w:tr>
        <w:trPr/>
        <w:tc>
          <w:tcPr>
            <w:tcW w:w="34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through the exercise of conversion and/or option rights and the further transfer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1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durch die Ausübung von Wandlungs- und/oder Optionsrechten sowie sämtliche weiteren Übertragungen von Namenaktien unterliegen den Übertragungsbeschränkungen gemäss Artikel 4 der Statuten.</w:t>
            </w:r>
          </w:p>
        </w:tc>
      </w:tr>
      <w:tr>
        <w:trPr/>
        <w:tc>
          <w:tcPr>
            <w:tcW w:w="342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3e Conditional Share Capital for Earn-Out Options</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The share capital of the Company shall be increased by an amount not exceeding CHF 3'701.03 through the issue of a maximum of 370'103 registered shares, payable in full, each with a nominal value of CHF 0.01, in connection with the exercise of option rights granted in connection with the Business Combination Agreement dated 17. October 2022 between European Biotech Acquisition Corp. with registered seat in George Town, Cayman Islands and business address at EPFL Innovation Park Building D, 1015 Lausanne, Switzerland (EBAC) and Oculis SA with registered seat in Ecublens (VD), Switzerland, to any employee of the Company or a subsidiary, and any consultant, members of the Board of Directors, or other person</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1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3e Bedingtes Aktienkapital für Earn-Out Optionen</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Das Aktienkapital kann durch die Ausgabe von höchstens 370'103 voll zu liberierenden Namenaktien im Nennwert von je CHF 0.01 um höchstens CHF 3'701.03 durch Ausübung von Optionsrechten erhöht werden, welche Mitarbeitenden der Gesellschaft oder ihrer Tochtergesellschaften, Personen in vergleichbaren Positionen, Beratern, Verwaltungsratsmitgliedern oder anderen Personen, welche Dienstleistungen zu Gunsten der Gesellschaft erbringen, und im Zusammenhang mit dem Business Combination Agreement vom 17. Oktober 2022 zwischen European Biotech Acquisition Corp. mit Sitz in George Town, Cayman Islands und Geschäftsadresse an der EPFL Innovation Park Building D, 1015 Lausanne, Schweiz (EBAC) und Oculis SA mit Sitz in Ecublens (VD), Schweiz zusätzlich eingeräumt wurden (</w:t>
            </w:r>
            <w:r>
              <w:rPr>
                <w:rFonts w:ascii="Calibri Light;sans-serif" w:hAnsi="Calibri Light;sans-serif"/>
                <w:i/>
                <w:color w:val="000000"/>
                <w:sz w:val="20"/>
              </w:rPr>
              <w:t>earn-out</w:t>
            </w:r>
            <w:r>
              <w:rPr>
                <w:rFonts w:ascii="Times New Roman" w:hAnsi="Times New Roman"/>
                <w:color w:val="000000"/>
                <w:sz w:val="20"/>
              </w:rPr>
              <w:t> </w:t>
            </w:r>
            <w:r>
              <w:rPr>
                <w:rFonts w:ascii="Calibri Light;sans-serif" w:hAnsi="Calibri Light;sans-serif"/>
                <w:color w:val="000000"/>
                <w:sz w:val="20"/>
              </w:rPr>
              <w:t>Optionen). Die Form der Ausübung der Optionsrechte und des Verzichts</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9</w:t>
      </w:r>
    </w:p>
    <w:tbl>
      <w:tblPr>
        <w:tblW w:w="10205" w:type="dxa"/>
        <w:jc w:val="left"/>
        <w:tblInd w:w="0" w:type="dxa"/>
        <w:tblLayout w:type="fixed"/>
        <w:tblCellMar>
          <w:top w:w="28" w:type="dxa"/>
          <w:left w:w="28" w:type="dxa"/>
          <w:bottom w:w="28" w:type="dxa"/>
          <w:right w:w="28" w:type="dxa"/>
        </w:tblCellMar>
      </w:tblPr>
      <w:tblGrid>
        <w:gridCol w:w="3600"/>
        <w:gridCol w:w="1606"/>
        <w:gridCol w:w="4999"/>
      </w:tblGrid>
      <w:tr>
        <w:trPr/>
        <w:tc>
          <w:tcPr>
            <w:tcW w:w="3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3600"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providing services to the Company or a subsidiary (earn-out options). The exercise of the option rights and the waiver of such right shall be made in writing on paper or in electronic form.</w:t>
            </w:r>
          </w:p>
          <w:p>
            <w:pPr>
              <w:pStyle w:val="TableContents"/>
              <w:bidi w:val="0"/>
              <w:spacing w:before="0" w:after="120"/>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auf dieses Recht erfolgt auf schriftlichem Weg auf Papier oder in elektronischer Form.</w:t>
            </w:r>
          </w:p>
        </w:tc>
      </w:tr>
      <w:tr>
        <w:trPr/>
        <w:tc>
          <w:tcPr>
            <w:tcW w:w="360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w:t>
            </w:r>
          </w:p>
        </w:tc>
      </w:tr>
      <w:tr>
        <w:trPr/>
        <w:tc>
          <w:tcPr>
            <w:tcW w:w="360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in connection with employee participation and any further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im Zusammenhang der Mitarbeiterbeteiligung sowie sämtliche weiteren Übertragungen von Namenaktien unterliegen den Übertragungsbeschränkungen gemäss Artikel 4 der Statuten.</w:t>
            </w:r>
          </w:p>
        </w:tc>
      </w:tr>
      <w:tr>
        <w:trPr/>
        <w:tc>
          <w:tcPr>
            <w:tcW w:w="3600"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4 Share Register</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4 Aktienbuch</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10</w:t>
      </w:r>
    </w:p>
    <w:tbl>
      <w:tblPr>
        <w:tblW w:w="10205" w:type="dxa"/>
        <w:jc w:val="left"/>
        <w:tblInd w:w="0" w:type="dxa"/>
        <w:tblLayout w:type="fixed"/>
        <w:tblCellMar>
          <w:top w:w="28" w:type="dxa"/>
          <w:left w:w="28" w:type="dxa"/>
          <w:bottom w:w="28" w:type="dxa"/>
          <w:right w:w="28" w:type="dxa"/>
        </w:tblCellMar>
      </w:tblPr>
      <w:tblGrid>
        <w:gridCol w:w="4678"/>
        <w:gridCol w:w="251"/>
        <w:gridCol w:w="5276"/>
      </w:tblGrid>
      <w:tr>
        <w:trPr/>
        <w:tc>
          <w:tcPr>
            <w:tcW w:w="46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76" w:type="dxa"/>
            <w:tcBorders/>
            <w:vAlign w:val="center"/>
          </w:tcPr>
          <w:p>
            <w:pPr>
              <w:pStyle w:val="TableContents"/>
              <w:bidi w:val="0"/>
              <w:spacing w:before="0" w:after="283"/>
              <w:jc w:val="left"/>
              <w:rPr>
                <w:sz w:val="4"/>
                <w:szCs w:val="4"/>
              </w:rPr>
            </w:pPr>
            <w:r>
              <w:rPr>
                <w:sz w:val="4"/>
                <w:szCs w:val="4"/>
              </w:rPr>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Upon request, acquirers of shares will be registered in the share register without limitation as shareholders if they expressly certify that they acquired the shares in their own name and for their own account.</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Erwerber von Aktien werden auf Gesuch hin ohne Begrenzung als Aktionäre mit Stimmrecht im Aktienregister eingetragen, falls sie ausdrücklich erklären, die Aktien im eigenen Namen und auf eigene Rechnung erworben zu haben.</w:t>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 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Personen, die im Eintragungsgesuch nicht ausdrücklich erklären, die Aktien für eigene Rechnung zu halten (nachstehend: Nominees) werden ohne weiteres bis maximal 3% des jeweils ausstehenden Aktienkapitals mit Stimmrecht im Aktienbuch eingetragen. Über diese Limite hinaus werden Namenaktien von Nominees nur dann mit Stimmrecht eingetragen, wenn sich der betreffende Nominee schriftlich bereit erklärt, gegebenenfalls die Namen, Adressen und Aktienbestände derjenigen Person offenzulegen, für deren Rechnung er 0.5% oder mehr des jeweils ausstehenden Aktienkapitals hält. Der Verwaltungsrat schliesst mit Nominees Vereinbarungen ab, die unter anderem die Vertretung der Aktionäre und der Stimmrechte regeln.</w:t>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tc>
      </w:tr>
      <w:tr>
        <w:trPr/>
        <w:tc>
          <w:tcPr>
            <w:tcW w:w="4678"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Calibri Light;sans-serif" w:hAnsi="Calibri Light;sans-serif"/>
                <w:color w:val="000000"/>
                <w:sz w:val="20"/>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Weder eine Einzelperson, noch eine juristische Person kann, direkt oder indirekt, formell, konstruktiv oder vorteilhaft (wie im nächsten Abschnitt unten definiert) oder sonst wie das Stimmrecht ("Kontrollierte Aktien") hinsichtlich 15% oder mehr des im Handelsregister registrierten Aktienkapitals innehaben oder kontrollieren. Eine Ausnahme besteht dann, wenn diese Einzelperson oder juristische Person vor der Übernahme solcher Kontrollierter Aktien allen Aktionären eine ordentliche Offerte mit einem Minimalpreis stellt, wovon der höhere Preis, der entweder (i) dem gewichteten Durchschnittskurs der letzten 60 Handelstage vor der Veröffentlichung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11</w:t>
      </w:r>
    </w:p>
    <w:tbl>
      <w:tblPr>
        <w:tblW w:w="10205" w:type="dxa"/>
        <w:jc w:val="left"/>
        <w:tblInd w:w="0" w:type="dxa"/>
        <w:tblLayout w:type="fixed"/>
        <w:tblCellMar>
          <w:top w:w="28" w:type="dxa"/>
          <w:left w:w="28" w:type="dxa"/>
          <w:bottom w:w="28" w:type="dxa"/>
          <w:right w:w="28" w:type="dxa"/>
        </w:tblCellMar>
      </w:tblPr>
      <w:tblGrid>
        <w:gridCol w:w="4479"/>
        <w:gridCol w:w="251"/>
        <w:gridCol w:w="5475"/>
      </w:tblGrid>
      <w:tr>
        <w:trPr/>
        <w:tc>
          <w:tcPr>
            <w:tcW w:w="44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5" w:type="dxa"/>
            <w:tcBorders/>
            <w:vAlign w:val="center"/>
          </w:tcPr>
          <w:p>
            <w:pPr>
              <w:pStyle w:val="TableContents"/>
              <w:bidi w:val="0"/>
              <w:spacing w:before="0" w:after="283"/>
              <w:jc w:val="left"/>
              <w:rPr>
                <w:sz w:val="4"/>
                <w:szCs w:val="4"/>
              </w:rPr>
            </w:pPr>
            <w:r>
              <w:rPr>
                <w:sz w:val="4"/>
                <w:szCs w:val="4"/>
              </w:rPr>
            </w:r>
          </w:p>
        </w:tc>
      </w:tr>
      <w:tr>
        <w:trPr/>
        <w:tc>
          <w:tcPr>
            <w:tcW w:w="4479"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15% and not benefiting from the exemption regarding a tender offer shall be entered in the share register as shares without voting rights.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Übernahmeofferte oder (ii) dem höchsten bezahlten Preis durch diese Einzelperson oder juristische Person während der 12 Monate vor der Veröffentlichung der Übernahmeofferte entspricht, der relevante Preis darstellt. Die durch Kapital, Stimmrecht, gemeinsame Führung oder in anderer Weise oder durch Beitritt zur Übernahme der Aktien verbundenen Personen, sind als eine Person zu betrachten. Die Namenaktien, welche die Limite von 15% übersteigen und nicht von der Ausnahme mit Bezug auf die Übernahmeofferte profitieren, sollen im Aktienbuch als Aktien ohne Stimmrecht verzeichnet werden.</w:t>
            </w:r>
          </w:p>
        </w:tc>
      </w:tr>
      <w:tr>
        <w:trPr/>
        <w:tc>
          <w:tcPr>
            <w:tcW w:w="447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color w:val="000000"/>
                <w:sz w:val="20"/>
              </w:rPr>
              <w:t xml:space="preserve">For the purposes of this article 4, "Controlled Shares" in reference to any individual or entity means: </w:t>
              <w:br/>
            </w:r>
            <w:r>
              <w:rPr>
                <w:rFonts w:ascii="Times New Roman" w:hAnsi="Times New Roman"/>
                <w:color w:val="000000"/>
                <w:sz w:val="20"/>
              </w:rPr>
              <w:t> </w:t>
            </w:r>
          </w:p>
          <w:p>
            <w:pPr>
              <w:pStyle w:val="TableContents"/>
              <w:bidi w:val="0"/>
              <w:spacing w:before="0" w:after="120"/>
              <w:jc w:val="left"/>
              <w:rPr>
                <w:rFonts w:ascii="Times New Roman" w:hAnsi="Times New Roman"/>
                <w:sz w:val="24"/>
              </w:rPr>
            </w:pPr>
            <w:r>
              <w:rPr>
                <w:rFonts w:ascii="Calibri Light;sans-serif" w:hAnsi="Calibri Light;sans-serif"/>
                <w:color w:val="000000"/>
                <w:sz w:val="24"/>
              </w:rPr>
              <w:t>(</w:t>
            </w:r>
            <w:r>
              <w:rPr>
                <w:rFonts w:ascii="Calibri Light;sans-serif" w:hAnsi="Calibri Light;sans-serif"/>
                <w:color w:val="000000"/>
                <w:sz w:val="20"/>
              </w:rPr>
              <w:t xml:space="preserve">a) all shares of the Company directly, indirectly or constructively owned by such individual or entity; provided that </w:t>
              <w:br/>
            </w:r>
            <w:r>
              <w:rPr>
                <w:rFonts w:ascii="Times New Roman" w:hAnsi="Times New Roman"/>
                <w:color w:val="000000"/>
                <w:sz w:val="24"/>
              </w:rPr>
              <w:t> </w:t>
            </w:r>
          </w:p>
          <w:p>
            <w:pPr>
              <w:pStyle w:val="TableContents"/>
              <w:bidi w:val="0"/>
              <w:spacing w:before="0" w:after="120"/>
              <w:jc w:val="left"/>
              <w:rPr>
                <w:rFonts w:ascii="Times New Roman" w:hAnsi="Times New Roman"/>
                <w:sz w:val="24"/>
              </w:rPr>
            </w:pPr>
            <w:r>
              <w:rPr>
                <w:rFonts w:ascii="Calibri Light;sans-serif" w:hAnsi="Calibri Light;sans-serif"/>
                <w:color w:val="000000"/>
                <w:sz w:val="20"/>
              </w:rPr>
              <w:t>(i) shares owned, directly or indirectly, by or for a partnership, or trust or estate will be considered as being owned proportionately by its partners, or beneficiaries; and</w:t>
            </w:r>
            <w:r>
              <w:rPr>
                <w:rFonts w:ascii="Times New Roman" w:hAnsi="Times New Roman"/>
                <w:color w:val="000000"/>
                <w:sz w:val="24"/>
              </w:rPr>
              <w:t xml:space="preserve"> </w:t>
            </w:r>
            <w:r>
              <w:rPr>
                <w:rFonts w:ascii="Calibri Light;sans-serif" w:hAnsi="Calibri Light;sans-serif"/>
                <w:color w:val="000000"/>
                <w:sz w:val="20"/>
              </w:rPr>
              <w:br/>
            </w:r>
            <w:r>
              <w:rPr>
                <w:rFonts w:ascii="Times New Roman" w:hAnsi="Times New Roman"/>
                <w:color w:val="000000"/>
                <w:sz w:val="24"/>
              </w:rPr>
              <w:t>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(ii) shares owned, directly or indirectly, by or for a corporation will be considered as being owned proportionately by any shareholder owning 50% or more of the outstanding voting shares of such corporation; 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(iii) shares subject to options, warrants or other similar rights shall be deemed to be owned; and</w:t>
            </w:r>
          </w:p>
          <w:p>
            <w:pPr>
              <w:pStyle w:val="TableContents"/>
              <w:bidi w:val="0"/>
              <w:spacing w:before="0" w:after="283"/>
              <w:jc w:val="left"/>
              <w:rPr>
                <w:rFonts w:ascii="Times New Roman" w:hAnsi="Times New Roman"/>
                <w:sz w:val="24"/>
              </w:rPr>
            </w:pPr>
            <w:r>
              <w:rPr>
                <w:rFonts w:ascii="Calibri Light;sans-serif" w:hAnsi="Calibri Light;sans-serif"/>
                <w:color w:val="000000"/>
                <w:sz w:val="20"/>
              </w:rPr>
              <w:t>(b)</w:t>
            </w:r>
            <w:r>
              <w:rPr>
                <w:rFonts w:ascii="Times New Roman" w:hAnsi="Times New Roman"/>
                <w:color w:val="000000"/>
                <w:sz w:val="24"/>
              </w:rPr>
              <w:t xml:space="preserve"> </w:t>
            </w:r>
            <w:r>
              <w:rPr>
                <w:rFonts w:ascii="Calibri Light;sans-serif" w:hAnsi="Calibri Light;sans-serif"/>
                <w:color w:val="000000"/>
                <w:sz w:val="20"/>
              </w:rPr>
              <w:t>all shares of the Company directly, indirectly or beneficially owned by</w:t>
            </w:r>
            <w:r>
              <w:rPr>
                <w:rFonts w:ascii="Times New Roman" w:hAnsi="Times New Roman"/>
                <w:color w:val="000000"/>
                <w:sz w:val="24"/>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5"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color w:val="000000"/>
                <w:sz w:val="20"/>
              </w:rPr>
              <w:t>Im Rahmen dieses Artikel 4 bedeuten "Kontrollierte Aktien" in Bezug auf jegliche Einzelperson oder juristische Person:</w:t>
            </w:r>
            <w:r>
              <w:rPr>
                <w:rFonts w:ascii="Times New Roman" w:hAnsi="Times New Roman"/>
                <w:color w:val="000000"/>
                <w:sz w:val="20"/>
              </w:rPr>
              <w:t xml:space="preserve"> </w:t>
            </w:r>
          </w:p>
          <w:p>
            <w:pPr>
              <w:pStyle w:val="TableContents"/>
              <w:bidi w:val="0"/>
              <w:spacing w:before="0" w:after="120"/>
              <w:jc w:val="both"/>
              <w:rPr>
                <w:rFonts w:ascii="Times New Roman" w:hAnsi="Times New Roman"/>
                <w:sz w:val="24"/>
              </w:rPr>
            </w:pPr>
            <w:r>
              <w:rPr>
                <w:rFonts w:ascii="Calibri Light;sans-serif" w:hAnsi="Calibri Light;sans-serif"/>
                <w:color w:val="000000"/>
                <w:sz w:val="24"/>
              </w:rPr>
              <w:t>(</w:t>
            </w:r>
            <w:r>
              <w:rPr>
                <w:rFonts w:ascii="Calibri Light;sans-serif" w:hAnsi="Calibri Light;sans-serif"/>
                <w:color w:val="000000"/>
                <w:sz w:val="20"/>
              </w:rPr>
              <w:t>a) alle Aktien der Gesellschaft, die direkt, indirekt oder konstruktiv von einer solchen Einzelperson oder juristischen Person gehalten werden; vorausgesetzt dass</w:t>
            </w:r>
            <w:r>
              <w:rPr>
                <w:rFonts w:ascii="Times New Roman" w:hAnsi="Times New Roman"/>
                <w:color w:val="000000"/>
                <w:sz w:val="24"/>
              </w:rPr>
              <w:t xml:space="preserve"> </w:t>
            </w:r>
          </w:p>
          <w:p>
            <w:pPr>
              <w:pStyle w:val="TableContents"/>
              <w:bidi w:val="0"/>
              <w:spacing w:before="0" w:after="120"/>
              <w:jc w:val="both"/>
              <w:rPr>
                <w:rFonts w:ascii="Times New Roman" w:hAnsi="Times New Roman"/>
                <w:sz w:val="20"/>
              </w:rPr>
            </w:pPr>
            <w:r>
              <w:rPr>
                <w:rFonts w:ascii="Calibri Light;sans-serif" w:hAnsi="Calibri Light;sans-serif"/>
                <w:color w:val="000000"/>
                <w:sz w:val="20"/>
              </w:rPr>
              <w:t>(i) Aktien, die direkt oder indirekt durch oder für eine Personengesellschaft oder einen Trust oder eine Vermögensmasse gehalten werden, proportional auf die Partner oder Begünstigten aufgeteilt werden; und</w:t>
            </w:r>
            <w:r>
              <w:rPr>
                <w:rFonts w:ascii="Times New Roman" w:hAnsi="Times New Roman"/>
                <w:color w:val="000000"/>
                <w:sz w:val="20"/>
              </w:rPr>
              <w:t xml:space="preserve"> </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(ii) Aktien, die direkt oder indirekt durch oder für eine Gesellschaft gehalten werden, proportional auf jeden Aktionär, der 50% oder mehr der ausgegebenen Stimmrechtsaktien besitzt, aufgeteilt werden; und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(iii) Aktien, die in Abhängigkeit zu Optionen, Bezugsrechten oder anderen ähnlichen Rechten stehen, als Eigentum gelten; und</w:t>
            </w:r>
          </w:p>
          <w:p>
            <w:pPr>
              <w:pStyle w:val="TableContents"/>
              <w:bidi w:val="0"/>
              <w:spacing w:before="0" w:after="120"/>
              <w:jc w:val="both"/>
              <w:rPr>
                <w:rFonts w:ascii="Times New Roman" w:hAnsi="Times New Roman"/>
                <w:sz w:val="24"/>
              </w:rPr>
            </w:pPr>
            <w:r>
              <w:rPr>
                <w:rFonts w:ascii="Calibri Light;sans-serif" w:hAnsi="Calibri Light;sans-serif"/>
                <w:color w:val="000000"/>
                <w:sz w:val="20"/>
              </w:rPr>
              <w:t>(b)</w:t>
            </w:r>
            <w:r>
              <w:rPr>
                <w:rFonts w:ascii="Times New Roman" w:hAnsi="Times New Roman"/>
                <w:color w:val="000000"/>
                <w:sz w:val="24"/>
              </w:rPr>
              <w:t xml:space="preserve"> </w:t>
            </w:r>
            <w:r>
              <w:rPr>
                <w:rFonts w:ascii="Calibri Light;sans-serif" w:hAnsi="Calibri Light;sans-serif"/>
                <w:color w:val="000000"/>
                <w:sz w:val="20"/>
              </w:rPr>
              <w:t>alle Aktien der Gesellschaft, die direkt, indirekt oder vorteilhaft durch eine solche Einzelperson oder eine juristische Person gehalten werden, vorausgesetzt dass</w:t>
            </w:r>
          </w:p>
          <w:p>
            <w:pPr>
              <w:pStyle w:val="TableContents"/>
              <w:bidi w:val="0"/>
              <w:spacing w:before="0" w:after="283"/>
              <w:jc w:val="both"/>
              <w:rPr>
                <w:rFonts w:ascii="Times New Roman" w:hAnsi="Times New Roman"/>
                <w:sz w:val="20"/>
              </w:rPr>
            </w:pPr>
            <w:r>
              <w:rPr>
                <w:rFonts w:ascii="Calibri Light;sans-serif" w:hAnsi="Calibri Light;sans-serif"/>
                <w:color w:val="000000"/>
                <w:sz w:val="20"/>
              </w:rPr>
              <w:t>(i) ein begünstigter Eigentümer eines Wertpapiers jede Person umfasst, die direkt oder indirekt, durch jede Art von Vertrag, Vereinbarung, Einvernehmen, Bindung oder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12</w:t>
      </w:r>
    </w:p>
    <w:tbl>
      <w:tblPr>
        <w:tblW w:w="10205" w:type="dxa"/>
        <w:jc w:val="left"/>
        <w:tblInd w:w="0" w:type="dxa"/>
        <w:tblLayout w:type="fixed"/>
        <w:tblCellMar>
          <w:top w:w="28" w:type="dxa"/>
          <w:left w:w="28" w:type="dxa"/>
          <w:bottom w:w="28" w:type="dxa"/>
          <w:right w:w="28" w:type="dxa"/>
        </w:tblCellMar>
      </w:tblPr>
      <w:tblGrid>
        <w:gridCol w:w="3279"/>
        <w:gridCol w:w="996"/>
        <w:gridCol w:w="5930"/>
      </w:tblGrid>
      <w:tr>
        <w:trPr/>
        <w:tc>
          <w:tcPr>
            <w:tcW w:w="327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5930" w:type="dxa"/>
            <w:tcBorders/>
            <w:vAlign w:val="center"/>
          </w:tcPr>
          <w:p>
            <w:pPr>
              <w:pStyle w:val="TableContents"/>
              <w:bidi w:val="0"/>
              <w:spacing w:before="0" w:after="283"/>
              <w:ind w:left="0" w:right="0" w:firstLine="425"/>
              <w:jc w:val="left"/>
              <w:rPr>
                <w:sz w:val="4"/>
                <w:szCs w:val="4"/>
              </w:rPr>
            </w:pPr>
            <w:r>
              <w:rPr>
                <w:sz w:val="4"/>
                <w:szCs w:val="4"/>
              </w:rPr>
            </w:r>
          </w:p>
        </w:tc>
      </w:tr>
      <w:tr>
        <w:trPr/>
        <w:tc>
          <w:tcPr>
            <w:tcW w:w="3279" w:type="dxa"/>
            <w:tcBorders/>
            <w:tcMar>
              <w:top w:w="0" w:type="dxa"/>
              <w:left w:w="0" w:type="dxa"/>
              <w:bottom w:w="0" w:type="dxa"/>
              <w:right w:w="0" w:type="dxa"/>
            </w:tcMar>
            <w:vAlign w:val="center"/>
          </w:tcPr>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such individual or entity; provided that</w:t>
            </w:r>
            <w:r>
              <w:rPr>
                <w:rFonts w:ascii="Times New Roman" w:hAnsi="Times New Roman"/>
                <w:color w:val="000000"/>
                <w:sz w:val="24"/>
              </w:rPr>
              <w:t xml:space="preserve"> </w:t>
            </w:r>
            <w:r>
              <w:rPr>
                <w:rFonts w:ascii="Calibri Light;sans-serif" w:hAnsi="Calibri Light;sans-serif"/>
                <w:color w:val="000000"/>
                <w:sz w:val="20"/>
              </w:rPr>
              <w:br/>
            </w:r>
            <w:r>
              <w:rPr>
                <w:rFonts w:ascii="Times New Roman" w:hAnsi="Times New Roman"/>
                <w:color w:val="000000"/>
                <w:sz w:val="24"/>
              </w:rPr>
              <w:t> </w:t>
            </w:r>
          </w:p>
          <w:p>
            <w:pPr>
              <w:pStyle w:val="TableContents"/>
              <w:bidi w:val="0"/>
              <w:spacing w:before="0" w:after="120"/>
              <w:ind w:left="0" w:right="0" w:firstLine="425"/>
              <w:jc w:val="left"/>
              <w:rPr>
                <w:rFonts w:ascii="Times New Roman" w:hAnsi="Times New Roman"/>
                <w:sz w:val="20"/>
              </w:rPr>
            </w:pPr>
            <w:r>
              <w:rPr>
                <w:rFonts w:ascii="Calibri Light;sans-serif" w:hAnsi="Calibri Light;sans-serif"/>
                <w:color w:val="000000"/>
                <w:sz w:val="20"/>
              </w:rPr>
              <w:t xml:space="preserve">(i) a beneficial owner of a security includes any person who, directly or indirectly, through any contract, arrangement, understanding, relationship, or otherwise alone or together with other such persons has or shares: </w:t>
              <w:br/>
            </w:r>
            <w:r>
              <w:rPr>
                <w:rFonts w:ascii="Times New Roman" w:hAnsi="Times New Roman"/>
                <w:color w:val="000000"/>
                <w:sz w:val="20"/>
              </w:rPr>
              <w:t> </w:t>
            </w:r>
          </w:p>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(1) voting power which includes the power to vote, or to direct the voting of, such security; and/or</w:t>
            </w:r>
            <w:r>
              <w:rPr>
                <w:rFonts w:ascii="Times New Roman" w:hAnsi="Times New Roman"/>
                <w:color w:val="000000"/>
                <w:sz w:val="24"/>
              </w:rPr>
              <w:t xml:space="preserve"> </w:t>
            </w:r>
            <w:r>
              <w:rPr>
                <w:rFonts w:ascii="Calibri Light;sans-serif" w:hAnsi="Calibri Light;sans-serif"/>
                <w:color w:val="000000"/>
                <w:sz w:val="24"/>
              </w:rPr>
              <w:br/>
            </w:r>
            <w:r>
              <w:rPr>
                <w:rFonts w:ascii="Times New Roman" w:hAnsi="Times New Roman"/>
                <w:color w:val="000000"/>
                <w:sz w:val="24"/>
              </w:rPr>
              <w:t> </w:t>
            </w:r>
          </w:p>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(2) investment power which includes the power to dispose, or to direct the disposition of, such security.</w:t>
            </w:r>
            <w:r>
              <w:rPr>
                <w:rFonts w:ascii="Times New Roman" w:hAnsi="Times New Roman"/>
                <w:color w:val="000000"/>
                <w:sz w:val="24"/>
              </w:rPr>
              <w:t xml:space="preserve"> </w:t>
            </w:r>
            <w:r>
              <w:rPr>
                <w:rFonts w:ascii="Calibri Light;sans-serif" w:hAnsi="Calibri Light;sans-serif"/>
                <w:color w:val="000000"/>
                <w:sz w:val="24"/>
              </w:rPr>
              <w:br/>
            </w:r>
            <w:r>
              <w:rPr>
                <w:rFonts w:ascii="Times New Roman" w:hAnsi="Times New Roman"/>
                <w:color w:val="000000"/>
                <w:sz w:val="24"/>
              </w:rPr>
              <w:t> </w:t>
            </w:r>
          </w:p>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 xml:space="preserve">(ii) 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 </w:t>
            </w:r>
            <w:r>
              <w:rPr>
                <w:rFonts w:ascii="Calibri Light;sans-serif" w:hAnsi="Calibri Light;sans-serif"/>
                <w:color w:val="000000"/>
                <w:sz w:val="24"/>
              </w:rPr>
              <w:br/>
            </w:r>
            <w:r>
              <w:rPr>
                <w:rFonts w:ascii="Times New Roman" w:hAnsi="Times New Roman"/>
                <w:color w:val="000000"/>
                <w:sz w:val="24"/>
              </w:rPr>
              <w:t> </w:t>
            </w:r>
          </w:p>
          <w:p>
            <w:pPr>
              <w:pStyle w:val="TableContents"/>
              <w:bidi w:val="0"/>
              <w:spacing w:before="0" w:after="283"/>
              <w:ind w:left="0" w:right="0" w:firstLine="425"/>
              <w:jc w:val="left"/>
              <w:rPr>
                <w:rFonts w:ascii="Times New Roman" w:hAnsi="Times New Roman"/>
                <w:sz w:val="20"/>
              </w:rPr>
            </w:pPr>
            <w:r>
              <w:rPr>
                <w:rFonts w:ascii="Calibri Light;sans-serif" w:hAnsi="Calibri Light;sans-serif"/>
                <w:color w:val="000000"/>
                <w:sz w:val="20"/>
              </w:rPr>
              <w:t>(iii) A person shall be deemed to be the beneficial owner of shares if that person has the right to acquire beneficial ownership of</w:t>
            </w:r>
            <w:r>
              <w:rPr>
                <w:rFonts w:ascii="Times New Roman" w:hAnsi="Times New Roman"/>
                <w:color w:val="000000"/>
                <w:sz w:val="20"/>
              </w:rPr>
              <w:t xml:space="preserve"> </w:t>
            </w:r>
          </w:p>
        </w:tc>
        <w:tc>
          <w:tcPr>
            <w:tcW w:w="996"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5930" w:type="dxa"/>
            <w:tcBorders/>
            <w:tcMar>
              <w:top w:w="0" w:type="dxa"/>
              <w:left w:w="0" w:type="dxa"/>
              <w:bottom w:w="0" w:type="dxa"/>
              <w:right w:w="0" w:type="dxa"/>
            </w:tcMar>
            <w:vAlign w:val="center"/>
          </w:tcPr>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anderweitig allein oder mit anderen Personen gemeinsam hat oder teilt:</w:t>
            </w:r>
            <w:r>
              <w:rPr>
                <w:rFonts w:ascii="Times New Roman" w:hAnsi="Times New Roman"/>
                <w:color w:val="000000"/>
                <w:sz w:val="20"/>
              </w:rPr>
              <w:t xml:space="preserve"> </w:t>
            </w:r>
          </w:p>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(1) das Stimmrecht, welches das Recht zur Stimmabgabe, oder zur Leitung der Stimme eines solchen Wertpapiers umfasst; und/oder</w:t>
            </w:r>
            <w:r>
              <w:rPr>
                <w:rFonts w:ascii="Times New Roman" w:hAnsi="Times New Roman"/>
                <w:color w:val="000000"/>
                <w:sz w:val="20"/>
              </w:rPr>
              <w:t xml:space="preserve"> </w:t>
            </w:r>
          </w:p>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(2) das Investitionsrecht, welches die Verfügungsmacht oder ein Recht zur Bestimmung über die Verfügung eines solchen Wertpapiers umfasst.</w:t>
            </w:r>
            <w:r>
              <w:rPr>
                <w:rFonts w:ascii="Times New Roman" w:hAnsi="Times New Roman"/>
                <w:color w:val="000000"/>
                <w:sz w:val="20"/>
              </w:rPr>
              <w:t xml:space="preserve"> </w:t>
            </w:r>
          </w:p>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(ii) 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r>
              <w:rPr>
                <w:rFonts w:ascii="Times New Roman" w:hAnsi="Times New Roman"/>
                <w:color w:val="000000"/>
                <w:sz w:val="20"/>
              </w:rPr>
              <w:t xml:space="preserve"> </w:t>
            </w:r>
          </w:p>
          <w:p>
            <w:pPr>
              <w:pStyle w:val="TableContents"/>
              <w:bidi w:val="0"/>
              <w:spacing w:before="0" w:after="120"/>
              <w:ind w:left="0" w:right="0" w:firstLine="850"/>
              <w:jc w:val="both"/>
              <w:rPr>
                <w:rFonts w:ascii="Calibri Light;sans-serif" w:hAnsi="Calibri Light;sans-serif"/>
                <w:color w:val="000000"/>
                <w:sz w:val="20"/>
              </w:rPr>
            </w:pPr>
            <w:r>
              <w:rPr>
                <w:rFonts w:ascii="Calibri Light;sans-serif" w:hAnsi="Calibri Light;sans-serif"/>
                <w:color w:val="000000"/>
                <w:sz w:val="20"/>
              </w:rPr>
              <w:t>(iii) Eine Person soll als begünstigter Eigentümer von Aktien eingestuft werden, wenn diese Person das Recht hat, ein begünstigendes Eigentum an solchen Aktien innerhalb von 60 Tagen zu erwerben, inklusive, aber nicht beschränkt auf jegliches erworbenes Recht: (A) durch die Ausübung jeglicher Option, jedes Bezugsrechts oder sonstigen Rechts; (B) durch die Umwandlung eines Wertpapiers; (C) aufgrund der Befugnis, einen Trust, ein Vermögensverwaltungskonto oder ähnliche Verhältnisse zu widerrufen oder (D) in Zusammenhang mit der automatischen Auflösung eines Trusts, Vermögensverwaltungskontos oder eines ähnlichen Verhältnisses.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13</w:t>
      </w:r>
    </w:p>
    <w:tbl>
      <w:tblPr>
        <w:tblW w:w="10205" w:type="dxa"/>
        <w:jc w:val="left"/>
        <w:tblInd w:w="0" w:type="dxa"/>
        <w:tblLayout w:type="fixed"/>
        <w:tblCellMar>
          <w:top w:w="28" w:type="dxa"/>
          <w:left w:w="28" w:type="dxa"/>
          <w:bottom w:w="28" w:type="dxa"/>
          <w:right w:w="28" w:type="dxa"/>
        </w:tblCellMar>
      </w:tblPr>
      <w:tblGrid>
        <w:gridCol w:w="4112"/>
        <w:gridCol w:w="1608"/>
        <w:gridCol w:w="4485"/>
      </w:tblGrid>
      <w:tr>
        <w:trPr/>
        <w:tc>
          <w:tcPr>
            <w:tcW w:w="411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485" w:type="dxa"/>
            <w:tcBorders/>
            <w:vAlign w:val="center"/>
          </w:tcPr>
          <w:p>
            <w:pPr>
              <w:pStyle w:val="TableContents"/>
              <w:bidi w:val="0"/>
              <w:spacing w:before="0" w:after="283"/>
              <w:ind w:left="0" w:right="0" w:firstLine="850"/>
              <w:jc w:val="left"/>
              <w:rPr>
                <w:sz w:val="4"/>
                <w:szCs w:val="4"/>
              </w:rPr>
            </w:pPr>
            <w:r>
              <w:rPr>
                <w:sz w:val="4"/>
                <w:szCs w:val="4"/>
              </w:rPr>
            </w:r>
          </w:p>
        </w:tc>
      </w:tr>
      <w:tr>
        <w:trPr/>
        <w:tc>
          <w:tcPr>
            <w:tcW w:w="4112" w:type="dxa"/>
            <w:tcBorders/>
            <w:tcMar>
              <w:top w:w="0" w:type="dxa"/>
              <w:left w:w="0" w:type="dxa"/>
              <w:bottom w:w="0" w:type="dxa"/>
              <w:right w:w="0" w:type="dxa"/>
            </w:tcMar>
            <w:vAlign w:val="center"/>
          </w:tcPr>
          <w:p>
            <w:pPr>
              <w:pStyle w:val="TableContents"/>
              <w:bidi w:val="0"/>
              <w:spacing w:before="0" w:after="120"/>
              <w:ind w:left="0" w:right="0" w:firstLine="850"/>
              <w:jc w:val="left"/>
              <w:rPr>
                <w:rFonts w:ascii="Calibri Light;sans-serif" w:hAnsi="Calibri Light;sans-serif"/>
                <w:color w:val="000000"/>
                <w:sz w:val="20"/>
              </w:rPr>
            </w:pPr>
            <w:r>
              <w:rPr>
                <w:rFonts w:ascii="Calibri Light;sans-serif" w:hAnsi="Calibri Light;sans-serif"/>
                <w:color w:val="000000"/>
                <w:sz w:val="20"/>
              </w:rPr>
              <w:t>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4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Grenze von 15%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Vorkaufsrechten, welche entweder aus Namen- oder Inhaberaktien hervorgehen. Die Namenaktien, welche die Grenze von 15% übersteigen, sind im Aktienbuch als Aktien ohne Stimmrecht einzutragen.</w:t>
            </w:r>
          </w:p>
        </w:tc>
      </w:tr>
      <w:tr>
        <w:trPr/>
        <w:tc>
          <w:tcPr>
            <w:tcW w:w="411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8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Verwaltungsrat kann in besonderen Fällen Ausnahmen zu den oben genannten Regelungen genehmigen. Der Verwaltungsrat ist zusätzlich berechtigt, nach angemessener Anhörung der betreffenden Person, Einträge ins Aktienbuch, welche aufgrund falscher Informationen erfolgten, rückwirkend zu löschen.</w:t>
            </w:r>
          </w:p>
        </w:tc>
      </w:tr>
      <w:tr>
        <w:trPr/>
        <w:tc>
          <w:tcPr>
            <w:tcW w:w="4112"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5 Reporting Obligation of the Shareholder and Register of Beneficial Owners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48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5 Meldepflicht des Aktionärs und Verzeichnis der wirtschaftlich berechtigten Personen</w:t>
            </w:r>
          </w:p>
        </w:tc>
      </w:tr>
      <w:tr>
        <w:trPr/>
        <w:tc>
          <w:tcPr>
            <w:tcW w:w="41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Any person who, alone or in concert with third parties, acquires shares in the Company and thereby reaches or exceeds the threshold of 25% of the share capital or voting rights must notify the Company within one month of the first name, last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8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Wer allein oder in gemeinsamer Absprache mit Dritten Aktien der Gesellschaft erwirbt und dadurch den Grenzwert von 25% des Aktienkapitals oder der Stimmrechte erreicht oder überschreitet, muss der Gesellschaft innert Monatsfrist den Vor- und den Nach-namen und die Adresse der natürlichen Person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14</w:t>
      </w:r>
    </w:p>
    <w:tbl>
      <w:tblPr>
        <w:tblW w:w="10205" w:type="dxa"/>
        <w:jc w:val="left"/>
        <w:tblInd w:w="0" w:type="dxa"/>
        <w:tblLayout w:type="fixed"/>
        <w:tblCellMar>
          <w:top w:w="28" w:type="dxa"/>
          <w:left w:w="28" w:type="dxa"/>
          <w:bottom w:w="28" w:type="dxa"/>
          <w:right w:w="28" w:type="dxa"/>
        </w:tblCellMar>
      </w:tblPr>
      <w:tblGrid>
        <w:gridCol w:w="4476"/>
        <w:gridCol w:w="251"/>
        <w:gridCol w:w="5478"/>
      </w:tblGrid>
      <w:tr>
        <w:trPr/>
        <w:tc>
          <w:tcPr>
            <w:tcW w:w="44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8" w:type="dxa"/>
            <w:tcBorders/>
            <w:vAlign w:val="center"/>
          </w:tcPr>
          <w:p>
            <w:pPr>
              <w:pStyle w:val="TableContents"/>
              <w:bidi w:val="0"/>
              <w:spacing w:before="0" w:after="283"/>
              <w:jc w:val="left"/>
              <w:rPr>
                <w:sz w:val="4"/>
                <w:szCs w:val="4"/>
              </w:rPr>
            </w:pPr>
            <w:r>
              <w:rPr>
                <w:sz w:val="4"/>
                <w:szCs w:val="4"/>
              </w:rPr>
            </w:r>
          </w:p>
        </w:tc>
      </w:tr>
      <w:tr>
        <w:trPr/>
        <w:tc>
          <w:tcPr>
            <w:tcW w:w="4476"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name and address of the natural person on whose behalf he is ultimately acting (beneficial owner).</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8"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melden, für die er letztendlich handelt (wirtschaftlich berechtigte Person).</w:t>
            </w:r>
          </w:p>
        </w:tc>
      </w:tr>
      <w:tr>
        <w:trPr/>
        <w:tc>
          <w:tcPr>
            <w:tcW w:w="44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 must notify the company within three months of any change in the first or last name or address of the beneficial owner.</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Aktionär muss der Gesellschaft innert drei Monaten jede Änderung des Vor- oder des Nachnamens oder der Adresse der wirtschaftlich berechtigten Person melden.</w:t>
            </w:r>
          </w:p>
        </w:tc>
      </w:tr>
      <w:tr>
        <w:trPr/>
        <w:tc>
          <w:tcPr>
            <w:tcW w:w="44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keep a register of the beneficial owners reported to the Company. This register contains the first and last name as well as the address of the beneficial owners. The register must be kept in such a way that it can be accessed in Switzerland at any time.</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führt ein Verzeichnis über die der Gesellschaft gemeldeten wirtschaftlich berechtigten Personen. Dieses Verzeichnis enthält den Vor- und den Nachnamen sowie die Adresse der wirtschaftlich berechtigten Personen. Das Verzeichnis muss so geführt werden, dass in der Schweiz jederzeit darauf zugegriffen werden kann.</w:t>
            </w:r>
          </w:p>
        </w:tc>
      </w:tr>
      <w:tr>
        <w:trPr/>
        <w:tc>
          <w:tcPr>
            <w:tcW w:w="44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As long as the shareholder has not fulfilled his reporting obligations, the membership rights associated with the shares whose acquisition must be reported shall be suspended. The property rights attached to such shares may only be exercised by the shareholder once he has complied with his notification obligations. If the shareholder fails to comply with his reporting obligations within one month after the acquisition of the shares, the property rights shall be forfeited. If the shareholder makes the notification at a later date, he may assert the property rights accruing as of that date. The Board of Directors shall ensure that no shareholders exercise their rights in breach of the reporting obligations.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Solange der Aktionär seinen Meldepflichten nicht nachgekommen ist, ruhen die Mitgliedschaftsrechte, die mit den Aktien verbunden sind, deren Erwerb gemeldet werden muss. Die Vermögensrechte, die mit solchen Aktien verbunden sind, kann der Aktionär erst geltend machen, wenn er seinen Meldepflichten nachgekommen ist. Kommt der Aktionär seinen Meldepflichten nicht innert eines Monats nach dem Erwerb der Aktien nach, so sind die Vermögensrechte verwirkt. Holt er die Meldung zu einem späteren Zeitpunkt nach, so kann er die ab diesem Zeitpunkt entstehenden Vermögensrechte geltend machen. Der Verwaltungsrat stellt sicher, dass keine Aktionäre unter Verletzung der Melde-pflichten ihre Rechte ausüben.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15</w:t>
      </w:r>
    </w:p>
    <w:tbl>
      <w:tblPr>
        <w:tblW w:w="10205" w:type="dxa"/>
        <w:jc w:val="left"/>
        <w:tblInd w:w="0" w:type="dxa"/>
        <w:tblLayout w:type="fixed"/>
        <w:tblCellMar>
          <w:top w:w="28" w:type="dxa"/>
          <w:left w:w="28" w:type="dxa"/>
          <w:bottom w:w="28" w:type="dxa"/>
          <w:right w:w="28" w:type="dxa"/>
        </w:tblCellMar>
      </w:tblPr>
      <w:tblGrid>
        <w:gridCol w:w="3942"/>
        <w:gridCol w:w="1608"/>
        <w:gridCol w:w="4655"/>
      </w:tblGrid>
      <w:tr>
        <w:trPr/>
        <w:tc>
          <w:tcPr>
            <w:tcW w:w="394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ind w:left="0" w:right="0" w:firstLine="1355"/>
              <w:jc w:val="left"/>
              <w:rPr>
                <w:sz w:val="4"/>
                <w:szCs w:val="4"/>
              </w:rPr>
            </w:pPr>
            <w:r>
              <w:rPr>
                <w:sz w:val="4"/>
                <w:szCs w:val="4"/>
              </w:rPr>
            </w:r>
          </w:p>
        </w:tc>
      </w:tr>
      <w:tr>
        <w:trPr/>
        <w:tc>
          <w:tcPr>
            <w:tcW w:w="3942"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6 Share Certificates and Intermediated Securities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Company may issue its shares in any legally permissible form, namely in the form of individual certificates, global certificates, simple uncertificated securities pursuant to article 973c CO or registered uncertificated securities pursuant to article 973d CO and have them managed as intermediated securities.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6 Aktienzertifikate und Bucheffekten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Gesellschaft kann ihre Aktien in jeder gesetzlich zulässigen Form, namentlich in Form von Einzelurkunden, Globalurkunden, einfachen Wertrechten nach Artikel 973c OR oder Registerwert-rechten nach Artikel 973d OR ausgeben und als Bucheffekten führen lassen.</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Within the legal framework, the Company is free to convert its shares issued in one of these forms into another form at any time and without the consent of the shareholders, and to withdraw shares held as intermediated securities from the custody system. It shall bear the costs thereof.</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Gesellschaft steht es im Rahmen der gesetzlichen Vorgaben frei, ihre in einer dieser Formen ausgegebenen Aktien jederzeit und ohne Zustimmung der Aktionäre in eine andere Form umzuwandeln sowie als Bucheffekten geführte Aktien aus dem Verwahrungssystem zurückzuziehen. Sie trägt dafür die Kosten.</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 shall not be entitled to the certification of membership rights in the form of physical securities or to the conversion of shares issued in a certain form into another form. However, the shareholder may at any time request the Company to issue a written confirmation of the shares held by him in accordance with the share register.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Aktionär hat keinen Anspruch auf wertpapiermässige Verbriefung der Mitgliedschaftsrechte oder auf Umwandlung von in bestimmter Form ausgegebenen Aktien in eine andere Form. Der Aktionär kann jedoch von der Gesellschaft jederzeit die Ausstellung einer schriftlichen Bescheinigung über die von ihm gemäss Aktienbuch gehaltenen Aktien verlangen.</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transfer of simple uncertificated securities pursuant to article 973c CO and registered uncertificated securities pursuant to article 973d CO as well as the provision of security for such uncertificated securities shall be governed by the provisions of the CO.</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Übertragung von einfachen Wertrechten nach Artikel 973c OR und Registerwertrechten nach Artikel 973d OR sowie die Bestellung von Sicherheiten an diesen Wert-rechten richten sich nach den Bestimmungen des OR.</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transfer of intermediated securities and the provision of security for such intermediated securities shall be governed by the provisions of the Swiss Intermediated Securities Act.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Übertragung von Bucheffekten und die Bestellung von Sicherheiten an diesen Bucheffekten richten sich nach den Bestimmungen des Bucheffektengesetzes.</w:t>
            </w:r>
          </w:p>
        </w:tc>
      </w:tr>
      <w:tr>
        <w:trPr/>
        <w:tc>
          <w:tcPr>
            <w:tcW w:w="3942"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7 Exercise of Shareholders Rights</w:t>
            </w:r>
          </w:p>
        </w:tc>
        <w:tc>
          <w:tcPr>
            <w:tcW w:w="1608"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7 Ausübung von Aktionärsrechten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16</w:t>
      </w:r>
    </w:p>
    <w:tbl>
      <w:tblPr>
        <w:tblW w:w="10205" w:type="dxa"/>
        <w:jc w:val="left"/>
        <w:tblInd w:w="0" w:type="dxa"/>
        <w:tblLayout w:type="fixed"/>
        <w:tblCellMar>
          <w:top w:w="28" w:type="dxa"/>
          <w:left w:w="28" w:type="dxa"/>
          <w:bottom w:w="28" w:type="dxa"/>
          <w:right w:w="28" w:type="dxa"/>
        </w:tblCellMar>
      </w:tblPr>
      <w:tblGrid>
        <w:gridCol w:w="3431"/>
        <w:gridCol w:w="1606"/>
        <w:gridCol w:w="5168"/>
      </w:tblGrid>
      <w:tr>
        <w:trPr/>
        <w:tc>
          <w:tcPr>
            <w:tcW w:w="34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168" w:type="dxa"/>
            <w:tcBorders/>
            <w:vAlign w:val="center"/>
          </w:tcPr>
          <w:p>
            <w:pPr>
              <w:pStyle w:val="TableContents"/>
              <w:bidi w:val="0"/>
              <w:spacing w:before="0" w:after="283"/>
              <w:jc w:val="left"/>
              <w:rPr>
                <w:sz w:val="4"/>
                <w:szCs w:val="4"/>
              </w:rPr>
            </w:pPr>
            <w:r>
              <w:rPr>
                <w:sz w:val="4"/>
                <w:szCs w:val="4"/>
              </w:rPr>
            </w:r>
          </w:p>
        </w:tc>
      </w:tr>
      <w:tr>
        <w:trPr/>
        <w:tc>
          <w:tcPr>
            <w:tcW w:w="34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shares are indivisible and the Company recognizes only one single representative per share.</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Aktien sind unteilbar und die Gesellschaft anerkennt nur einen einzigen Vertreter pro Aktie.</w:t>
            </w:r>
          </w:p>
        </w:tc>
      </w:tr>
      <w:tr>
        <w:trPr/>
        <w:tc>
          <w:tcPr>
            <w:tcW w:w="34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right to vote and the other rights pertaining to a registered share may only be exercised by a shareholder, an usufructuary or a nominee who is registered with the right to vote in the share register and by persons who are entitled by law to the voting rights of a share.</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Das Stimmrecht und die anderen zu einer Namenaktien gehörenden Rechte dürfen nur von einem Aktionär, einem Nutzniesser oder Nominee, dessen Stimmrecht im Aktienregister eingetragen ist und von Personen, welchen kraft Gesetzes die Stimmrechte einer Aktie zustehen, ausgeübt werden.</w:t>
            </w:r>
          </w:p>
        </w:tc>
      </w:tr>
      <w:tr>
        <w:trPr/>
        <w:tc>
          <w:tcPr>
            <w:tcW w:w="343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III. Corporate structure</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168" w:type="dxa"/>
            <w:tcBorders/>
            <w:tcMar>
              <w:top w:w="0" w:type="dxa"/>
              <w:left w:w="0" w:type="dxa"/>
              <w:bottom w:w="0" w:type="dxa"/>
              <w:right w:w="0" w:type="dxa"/>
            </w:tcMar>
            <w:vAlign w:val="center"/>
          </w:tcPr>
          <w:p>
            <w:pPr>
              <w:pStyle w:val="Heading1"/>
              <w:bidi w:val="0"/>
              <w:spacing w:before="360" w:after="360"/>
              <w:ind w:left="0" w:right="0" w:firstLine="1355"/>
              <w:jc w:val="left"/>
              <w:rPr>
                <w:rFonts w:ascii="Calibri Light;sans-serif" w:hAnsi="Calibri Light;sans-serif"/>
                <w:b/>
                <w:caps/>
                <w:color w:val="000000"/>
                <w:sz w:val="20"/>
              </w:rPr>
            </w:pPr>
            <w:r>
              <w:rPr>
                <w:rFonts w:ascii="Calibri Light;sans-serif" w:hAnsi="Calibri Light;sans-serif"/>
                <w:b/>
                <w:caps/>
                <w:color w:val="000000"/>
                <w:sz w:val="20"/>
              </w:rPr>
              <w:t>III. Organisation der Gesellschaft</w:t>
            </w:r>
          </w:p>
        </w:tc>
      </w:tr>
      <w:tr>
        <w:trPr/>
        <w:tc>
          <w:tcPr>
            <w:tcW w:w="343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8 Corporate Bodies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corporate bodies are: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A. the General Meeting;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 the Board of Directors;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C. the Auditors.</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8 Gliederung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Gesellschaftsorgane sind:</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A. die Generalversammlung;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 der Verwaltungsrat;</w:t>
            </w:r>
          </w:p>
          <w:p>
            <w:pPr>
              <w:pStyle w:val="TableContents"/>
              <w:bidi w:val="0"/>
              <w:spacing w:before="0" w:after="120"/>
              <w:ind w:left="0" w:right="0" w:firstLine="788"/>
              <w:jc w:val="left"/>
              <w:rPr>
                <w:rFonts w:ascii="Calibri Light;sans-serif" w:hAnsi="Calibri Light;sans-serif"/>
                <w:color w:val="000000"/>
                <w:sz w:val="20"/>
              </w:rPr>
            </w:pPr>
            <w:r>
              <w:rPr>
                <w:rFonts w:ascii="Calibri Light;sans-serif" w:hAnsi="Calibri Light;sans-serif"/>
                <w:color w:val="000000"/>
                <w:sz w:val="20"/>
              </w:rPr>
              <w:t>C. die Revisionsstelle.</w:t>
            </w:r>
          </w:p>
        </w:tc>
      </w:tr>
      <w:tr>
        <w:trPr/>
        <w:tc>
          <w:tcPr>
            <w:tcW w:w="343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IV. General Meeting</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168" w:type="dxa"/>
            <w:tcBorders/>
            <w:tcMar>
              <w:top w:w="0" w:type="dxa"/>
              <w:left w:w="0" w:type="dxa"/>
              <w:bottom w:w="0" w:type="dxa"/>
              <w:right w:w="0" w:type="dxa"/>
            </w:tcMar>
            <w:vAlign w:val="center"/>
          </w:tcPr>
          <w:p>
            <w:pPr>
              <w:pStyle w:val="Heading1"/>
              <w:bidi w:val="0"/>
              <w:spacing w:before="360" w:after="360"/>
              <w:ind w:left="0" w:right="0" w:firstLine="1355"/>
              <w:jc w:val="left"/>
              <w:rPr>
                <w:rFonts w:ascii="Calibri Light;sans-serif" w:hAnsi="Calibri Light;sans-serif"/>
                <w:b/>
                <w:caps/>
                <w:color w:val="000000"/>
                <w:sz w:val="20"/>
              </w:rPr>
            </w:pPr>
            <w:r>
              <w:rPr>
                <w:rFonts w:ascii="Calibri Light;sans-serif" w:hAnsi="Calibri Light;sans-serif"/>
                <w:b/>
                <w:caps/>
                <w:color w:val="000000"/>
                <w:sz w:val="20"/>
              </w:rPr>
              <w:t>IV. Generalversammlung</w:t>
            </w:r>
          </w:p>
        </w:tc>
      </w:tr>
      <w:tr>
        <w:trPr/>
        <w:tc>
          <w:tcPr>
            <w:tcW w:w="343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9 Powers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General Meeting is the supreme body of the Company. It has the following non delegable powers:</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adopt and amend the articles of association (articles 652g, 653g und 653i CO remain reserved);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to elect and remove the members of the Board of Directors, the Chairman of the Board of Directors, the members of the Compensation Committee, the Auditors and the Independent Proxy; </w:t>
              <w:br/>
            </w:r>
            <w:r>
              <w:rPr>
                <w:color w:val="000000"/>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to approve the management report and the annual accounts and to determine the allocation of profits, in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9 Befugnisse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Oberstes Organ der Gesellschaft ist die Generalversammlung. Ihr stehen folgende unübertragbare Befugnisse zu:</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Festsetzung und Änderung der Statuten (Artikel 652g, 653g und 653i OR bleiben vorbehalten);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Wahl und Abberufung der Mitglieder des Verwaltungsrats, des Präsidenten des Verwaltungsrats, der Mitglieder des Vergütungsausschusses, der Revisionsstelle und des unabhängigen Stimmrechtsvertreters;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Genehmigung des Lageberichts und der Jahresrechnung sowie Beschlussfassung über die Verwendung des Bilanzgewinnes,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17</w:t>
      </w:r>
    </w:p>
    <w:tbl>
      <w:tblPr>
        <w:tblW w:w="10205" w:type="dxa"/>
        <w:jc w:val="left"/>
        <w:tblInd w:w="0" w:type="dxa"/>
        <w:tblLayout w:type="fixed"/>
        <w:tblCellMar>
          <w:top w:w="28" w:type="dxa"/>
          <w:left w:w="28" w:type="dxa"/>
          <w:bottom w:w="28" w:type="dxa"/>
          <w:right w:w="28" w:type="dxa"/>
        </w:tblCellMar>
      </w:tblPr>
      <w:tblGrid>
        <w:gridCol w:w="3664"/>
        <w:gridCol w:w="1608"/>
        <w:gridCol w:w="4933"/>
      </w:tblGrid>
      <w:tr>
        <w:trPr/>
        <w:tc>
          <w:tcPr>
            <w:tcW w:w="366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664"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particular with regard to dividends and bonus payments;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 xml:space="preserve">to determine the interim dividend and the approval of the required interim financial statements;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make a resolution on the repayment of the statutory capital reserve;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discharge the members of the Board of Directors and of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pPr>
            <w:r>
              <w:rPr>
                <w:rFonts w:ascii="Calibri Light;sans-serif" w:hAnsi="Calibri Light;sans-serif"/>
                <w:color w:val="000000"/>
                <w:sz w:val="20"/>
              </w:rPr>
              <w:t xml:space="preserve">delisting of the Company's equity securities;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approve the total compensation paid to the Board of Directors and the Executive Committee as per article 34 and article 35 below;</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pass resolutions concerning all matters which are reserved to the authority of the General Meeting by law or by the articles of association.</w:t>
            </w:r>
          </w:p>
        </w:tc>
        <w:tc>
          <w:tcPr>
            <w:tcW w:w="1608"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4933"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insbesondere die Festsetzung der Dividende und der Tantieme;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Festsetzung der Zwischendividende und Genehmigung des dafür erforderlichen Zwischenabschlusses;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Beschlussfassung über die Rückzahlung der gesetzlichen Kapitalreserve;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Entlastung der Mitglieder des Verwaltungsrates und der Geschäftsleitung;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Dekotierung der Beteiligungspapiere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Genehmigung der Gesamtvergütungen des Verwaltungsrats und der Geschäftsleitung nach Massgabe von Artikel 34 und Artikel 35 hiernach;</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Beschlussfassung über die Gegenstände, die der Generalversammlung durch das Gesetz oder die Statuten vorbehalten sind.</w:t>
            </w:r>
          </w:p>
        </w:tc>
      </w:tr>
      <w:tr>
        <w:trPr/>
        <w:tc>
          <w:tcPr>
            <w:tcW w:w="366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10 Ordinary General Meeting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Ordinary General Meeting shall be held annually within six months after the end of the business year at such time and at such location, which may be within or outside Switzerland, as determined by the Board of Directors.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10 Ordentliche Generalversammlung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ordentliche Generalversammlung findet jährlich innerhalb von sechs Monaten nach Abschluss des Geschäftsjahres statt, zum Zeitpunkt und an einem Ort, der innerhalb oder ausserhalb der Schweiz sein kann, gemäss Festlegung durch den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18</w:t>
      </w:r>
    </w:p>
    <w:tbl>
      <w:tblPr>
        <w:tblW w:w="10205" w:type="dxa"/>
        <w:jc w:val="left"/>
        <w:tblInd w:w="0" w:type="dxa"/>
        <w:tblLayout w:type="fixed"/>
        <w:tblCellMar>
          <w:top w:w="28" w:type="dxa"/>
          <w:left w:w="28" w:type="dxa"/>
          <w:bottom w:w="28" w:type="dxa"/>
          <w:right w:w="28" w:type="dxa"/>
        </w:tblCellMar>
      </w:tblPr>
      <w:tblGrid>
        <w:gridCol w:w="3868"/>
        <w:gridCol w:w="1608"/>
        <w:gridCol w:w="4729"/>
      </w:tblGrid>
      <w:tr>
        <w:trPr/>
        <w:tc>
          <w:tcPr>
            <w:tcW w:w="386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29" w:type="dxa"/>
            <w:tcBorders/>
            <w:vAlign w:val="center"/>
          </w:tcPr>
          <w:p>
            <w:pPr>
              <w:pStyle w:val="TableContents"/>
              <w:bidi w:val="0"/>
              <w:spacing w:before="0" w:after="283"/>
              <w:ind w:left="0" w:right="0" w:firstLine="1357"/>
              <w:jc w:val="left"/>
              <w:rPr>
                <w:sz w:val="4"/>
                <w:szCs w:val="4"/>
              </w:rPr>
            </w:pPr>
            <w:r>
              <w:rPr>
                <w:sz w:val="4"/>
                <w:szCs w:val="4"/>
              </w:rPr>
            </w:r>
          </w:p>
        </w:tc>
      </w:tr>
      <w:tr>
        <w:trPr/>
        <w:tc>
          <w:tcPr>
            <w:tcW w:w="3868"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0"/>
              </w:rPr>
            </w:pPr>
            <w:r>
              <w:rPr>
                <w:rFonts w:ascii="Calibri Light;sans-serif" w:hAnsi="Calibri Light;sans-serif"/>
                <w:b/>
                <w:color w:val="000000"/>
                <w:sz w:val="20"/>
              </w:rPr>
              <w:t>Article 11 Extraordinary General Meeting</w:t>
              <w:br/>
            </w:r>
            <w:r>
              <w:rPr>
                <w:rFonts w:ascii="Times New Roman" w:hAnsi="Times New Roman"/>
                <w:color w:val="000000"/>
                <w:sz w:val="20"/>
              </w:rPr>
              <w:t> </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Extraordinary General Meetings may be called by resolution of the General Meeting, the Auditors or the Board of Directors, or by shareholders with voting powers, provided they represent at least 5%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2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11 Ausserordentliche Generalversammlung</w:t>
            </w:r>
          </w:p>
          <w:p>
            <w:pPr>
              <w:pStyle w:val="TableContents"/>
              <w:bidi w:val="0"/>
              <w:spacing w:before="0" w:after="120"/>
              <w:ind w:left="0" w:right="0" w:firstLine="1418"/>
              <w:jc w:val="both"/>
              <w:rPr>
                <w:rFonts w:ascii="Times New Roman" w:hAnsi="Times New Roman"/>
                <w:sz w:val="20"/>
              </w:rPr>
            </w:pPr>
            <w:r>
              <w:rPr>
                <w:rFonts w:ascii="Calibri Light;sans-serif" w:hAnsi="Calibri Light;sans-serif"/>
                <w:color w:val="000000"/>
                <w:sz w:val="20"/>
              </w:rPr>
              <w:t>Ausserordentliche Generalversammlungen können einberufen werden durch Beschluss der ordentlichen Generalversammlung, durch die Revisionsstelle oder den Verwaltungsrat oder</w:t>
            </w:r>
            <w:r>
              <w:rPr>
                <w:rFonts w:ascii="Times New Roman" w:hAnsi="Times New Roman"/>
                <w:color w:val="222222"/>
                <w:sz w:val="20"/>
              </w:rPr>
              <w:t xml:space="preserve"> </w:t>
            </w:r>
            <w:r>
              <w:rPr>
                <w:rFonts w:ascii="Calibri Light;sans-serif" w:hAnsi="Calibri Light;sans-serif"/>
                <w:color w:val="000000"/>
                <w:sz w:val="20"/>
              </w:rPr>
              <w:t>durch stimmberechtigte Aktionäre, sofern sie mindestens 5% des Aktienkapitals erreichen und die Folgendes einreichen: (a)(1) einen unterschriebenen Antrag dieser Aktionäre, welcher die Traktanden angibt, die auf die Traktandenliste gesetzt werden, (2) die entsprechenden Anträge der Aktionäre und (3) den Nachweis der erforderlichen Beteiligung dieser Aktionäre aufgrund des Aktienregisters und (b) alle anderen Informationen, die für eine Vollmacht nach den Regeln des Landes, in welchem die Aktien des Unternehmens hauptsächlich eingetragen sind, erforderlich wären.</w:t>
            </w:r>
            <w:r>
              <w:rPr>
                <w:rFonts w:ascii="Times New Roman" w:hAnsi="Times New Roman"/>
                <w:color w:val="000000"/>
                <w:sz w:val="20"/>
              </w:rPr>
              <w:t xml:space="preserve"> </w:t>
            </w:r>
          </w:p>
        </w:tc>
      </w:tr>
      <w:tr>
        <w:trPr/>
        <w:tc>
          <w:tcPr>
            <w:tcW w:w="3868" w:type="dxa"/>
            <w:tcBorders/>
            <w:tcMar>
              <w:top w:w="0" w:type="dxa"/>
              <w:left w:w="0" w:type="dxa"/>
              <w:bottom w:w="0" w:type="dxa"/>
              <w:right w:w="0" w:type="dxa"/>
            </w:tcMar>
            <w:vAlign w:val="center"/>
          </w:tcPr>
          <w:p>
            <w:pPr>
              <w:pStyle w:val="TableContents"/>
              <w:bidi w:val="0"/>
              <w:spacing w:before="120" w:after="120"/>
              <w:ind w:left="0" w:right="0" w:firstLine="1418"/>
              <w:jc w:val="both"/>
              <w:rPr>
                <w:rFonts w:ascii="Calibri Light;sans-serif" w:hAnsi="Calibri Light;sans-serif"/>
                <w:b/>
                <w:color w:val="000000"/>
                <w:sz w:val="20"/>
              </w:rPr>
            </w:pPr>
            <w:r>
              <w:rPr>
                <w:rFonts w:ascii="Calibri Light;sans-serif" w:hAnsi="Calibri Light;sans-serif"/>
                <w:b/>
                <w:color w:val="000000"/>
                <w:sz w:val="20"/>
              </w:rPr>
              <w:t>Article 12 Notice and Agenda of Shareholders' Meetings</w:t>
            </w:r>
          </w:p>
          <w:p>
            <w:pPr>
              <w:pStyle w:val="TableContents"/>
              <w:bidi w:val="0"/>
              <w:spacing w:before="0" w:after="120"/>
              <w:ind w:left="0" w:right="0" w:firstLine="1418"/>
              <w:jc w:val="left"/>
              <w:rPr>
                <w:rFonts w:ascii="Calibri Light;sans-serif" w:hAnsi="Calibri Light;sans-serif"/>
                <w:color w:val="000000"/>
                <w:sz w:val="20"/>
              </w:rPr>
            </w:pPr>
            <w:r>
              <w:rPr>
                <w:rFonts w:ascii="Calibri Light;sans-serif" w:hAnsi="Calibri Light;sans-serif"/>
                <w:color w:val="000000"/>
                <w:sz w:val="20"/>
              </w:rPr>
              <w:t>Notice of a General Meeting of Shareholders shall be given by the Board of Directors or, if necessary, by the Auditor, not later than 20 calendar days prior to the date of the General Meeting of Shareholders. Notice of the General Meeting of Shareholders shall be given by way of a one-time announcement in the official means of publication of the Company pursuant to article 48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2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12 Mitteilung und Traktanden der Generalversammlung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Mitteilung einer Generalversammlung erfolgt durch den Verwaltungsrat oder gegebenenfalls durch die Revisionsstelle, spätestens 20 Kalendertage vor dem Datum der Generalversammlung. Die Mitteilung der Generalversammlung erfolgt durch eine einmalige Bekanntmachung in den amtlichen Publikationsmitteln der Gesellschaft gemäss Artikel 48 dieser Statuten. Die Frist gilt als eingehalten, wenn Ankündigung der Generalversammlung im offiziellen Publikationsmittel veröffentlicht wurde, wobei das Datum der Veröffentlichung nicht in die Mitteilungsfrist eingerechnet werden darf. Eingetragene Aktionäre können zusätzlich per Post oder E-Mail über die Generalversammlung informiert werden.</w:t>
            </w:r>
          </w:p>
        </w:tc>
      </w:tr>
      <w:tr>
        <w:trPr/>
        <w:tc>
          <w:tcPr>
            <w:tcW w:w="386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convocation of an extraordinary general meeting may also be requested in</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2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Einberufung einer ausserordentlichen Generalversammlung kann auch von einem oder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19</w:t>
      </w:r>
    </w:p>
    <w:tbl>
      <w:tblPr>
        <w:tblW w:w="10205" w:type="dxa"/>
        <w:jc w:val="left"/>
        <w:tblInd w:w="0" w:type="dxa"/>
        <w:tblLayout w:type="fixed"/>
        <w:tblCellMar>
          <w:top w:w="28" w:type="dxa"/>
          <w:left w:w="28" w:type="dxa"/>
          <w:bottom w:w="28" w:type="dxa"/>
          <w:right w:w="28" w:type="dxa"/>
        </w:tblCellMar>
      </w:tblPr>
      <w:tblGrid>
        <w:gridCol w:w="4011"/>
        <w:gridCol w:w="251"/>
        <w:gridCol w:w="5943"/>
      </w:tblGrid>
      <w:tr>
        <w:trPr/>
        <w:tc>
          <w:tcPr>
            <w:tcW w:w="40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r>
      <w:tr>
        <w:trPr/>
        <w:tc>
          <w:tcPr>
            <w:tcW w:w="401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writing, indicating the agenda items and the proposals and, in case of elections, the names of the nominated candidates, by one or more shareholders together representing at least 5% of the share capital or the voting rights.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mehreren Aktionären, die zusammen mindestens 5% des Aktienkapitals oder der Stimmen vertreten, schriftlich unter Angabe des Verhandlungsgegenstandes und des Antrages, bei Wahlen der Namen der vorgeschlagenen Kandidaten, verlangt werden.</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state the matters on the agenda.</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setzt die Verhandlungsgegenstände auf die Traktandenliste.</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Mitteilung der Genrealversammlung hat die Traktanden und die Anträge des Verwaltungsrates und der Aktionäre, welche beantragt haben, dass eine Generalversammlung abgehalten werden oder ein Traktandum auf die Traktandenliste gesetzt werden soll zu enthalten sowie, im Falle von Wahlen, die Namen der Kandidaten, welche auf den Wahlzettel gesetzt wurden.</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together representing more than 0.5% of the share capital or the voting rights, may demand that an item be placed on the agenda. Such request must be made in writing at least 70 days prior to the meeting by indicating the agenda items and the proposals.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Aktionäre, die zusammen mindestens über 0.5% des Aktienkapitals oder der Stimmen vertreten, können die Traktandierung eines Verhandlungsgegenstandes verlangen. Dies hat mindestens 70 Tage vor der Versammlung schriftlich unter Angabe der Verhandlungsgegenstände und Anträge zu erfolgen.</w:t>
            </w:r>
          </w:p>
        </w:tc>
      </w:tr>
      <w:tr>
        <w:trPr/>
        <w:tc>
          <w:tcPr>
            <w:tcW w:w="40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Jeder Antrag auf Aufnahme eines Traktandums hat zu enthalten: (i) eine kurze Zusammenfassung des Geschäfts, welches der Generalversammlung vorgelegt werden soll, sowie eine Begründung, weshalb an der Versammlung darüber entschieden werden soll; (ii) den Namen und die Adresse des Gesuchstellenden Aktionärs, wie sie im Aktienbuch der Gesellschaft eingetragen sind; (iii) 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 Zusammenhang mit diesem Geschäft; und (vii) eine Stellungnahme zum fraglichen Punkt und, für Anträge, welche der Aktionärsinformation durch die Gesellschaft beigefügt werden sollen, jede andere Information, welche die</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20</w:t>
      </w:r>
    </w:p>
    <w:tbl>
      <w:tblPr>
        <w:tblW w:w="10205" w:type="dxa"/>
        <w:jc w:val="left"/>
        <w:tblInd w:w="0" w:type="dxa"/>
        <w:tblLayout w:type="fixed"/>
        <w:tblCellMar>
          <w:top w:w="28" w:type="dxa"/>
          <w:left w:w="28" w:type="dxa"/>
          <w:bottom w:w="28" w:type="dxa"/>
          <w:right w:w="28" w:type="dxa"/>
        </w:tblCellMar>
      </w:tblPr>
      <w:tblGrid>
        <w:gridCol w:w="3501"/>
        <w:gridCol w:w="1669"/>
        <w:gridCol w:w="5035"/>
      </w:tblGrid>
      <w:tr>
        <w:trPr/>
        <w:tc>
          <w:tcPr>
            <w:tcW w:w="35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5035" w:type="dxa"/>
            <w:tcBorders/>
            <w:vAlign w:val="center"/>
          </w:tcPr>
          <w:p>
            <w:pPr>
              <w:pStyle w:val="TableContents"/>
              <w:bidi w:val="0"/>
              <w:spacing w:before="0" w:after="283"/>
              <w:jc w:val="left"/>
              <w:rPr>
                <w:sz w:val="4"/>
                <w:szCs w:val="4"/>
              </w:rPr>
            </w:pPr>
            <w:r>
              <w:rPr>
                <w:sz w:val="4"/>
                <w:szCs w:val="4"/>
              </w:rPr>
            </w:r>
          </w:p>
        </w:tc>
      </w:tr>
      <w:tr>
        <w:trPr/>
        <w:tc>
          <w:tcPr>
            <w:tcW w:w="350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other information required by Securities and Exchange Commission Rule "14a-8".</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503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Securities and Exchange Commission Rule "14a-8" verlangt.</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addition, if the shareholder intends to solicit proxies from the shareholders of the Company, such shareholder shall notify the Company of this intent in accordance with Securities and Exchange Commission Rule "14a-4" and/or Rule "14a-8".</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An der Generalversammlung darf kein Beschluss über ein Traktandum getroffen werden, über den nicht mit entsprechender Vorlaufzeit informiert worden ist. Anträge, die während der Generalversammlung gestellt werden, führen zu (i) einer ausserordentlichen Generalversammlung oder (ii) einer speziellen Untersuchung gemäss Artikel 697a OR und unterliegen nicht der hierin geforderten Voraussetzung der rechtzeitigen Information.</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No advance notice is required to propose motions on duly notified agenda items and to debate items without passing resolutions.</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Zur Stellung von Anträgen im Rahmen der Verhandlungsgegenstände und zu Ver-handlungen ohne Beschlussfassung bedarf es keiner vorherigen Ankündigung.</w:t>
            </w:r>
          </w:p>
        </w:tc>
      </w:tr>
      <w:tr>
        <w:trPr/>
        <w:tc>
          <w:tcPr>
            <w:tcW w:w="350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13 Documentation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Such reference shall be included in the invitation to the General Meeting.</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13 Unterlagen</w:t>
            </w:r>
          </w:p>
          <w:p>
            <w:pPr>
              <w:pStyle w:val="TableContents"/>
              <w:bidi w:val="0"/>
              <w:spacing w:before="0" w:after="120"/>
              <w:ind w:left="0" w:right="0" w:firstLine="1418"/>
              <w:jc w:val="left"/>
              <w:rPr>
                <w:rFonts w:ascii="Calibri Light;sans-serif" w:hAnsi="Calibri Light;sans-serif"/>
                <w:color w:val="000000"/>
                <w:sz w:val="20"/>
              </w:rPr>
            </w:pPr>
            <w:r>
              <w:rPr>
                <w:rFonts w:ascii="Calibri Light;sans-serif" w:hAnsi="Calibri Light;sans-serif"/>
                <w:color w:val="000000"/>
                <w:sz w:val="20"/>
              </w:rPr>
              <w:t>Spätestens zwanzig Tage vor der ordentlichen Generalversammlung sind der Geschäftsbericht, der Vergütungsbericht und der Revisionsbericht am Sitz der Gesellschaft zur Einsicht der Aktionäre aufzulegen. Jeder Aktionär kann verlangen, dass ihm unverzüglich eine Kopie dieser Unterlagen zugestellt wird. In der Einberufung zur Generalversammlung ist hierauf hinzuweisen.</w:t>
            </w:r>
          </w:p>
        </w:tc>
      </w:tr>
      <w:tr>
        <w:trPr/>
        <w:tc>
          <w:tcPr>
            <w:tcW w:w="3501" w:type="dxa"/>
            <w:tcBorders/>
            <w:tcMar>
              <w:top w:w="0" w:type="dxa"/>
              <w:left w:w="0" w:type="dxa"/>
              <w:bottom w:w="0" w:type="dxa"/>
              <w:right w:w="0" w:type="dxa"/>
            </w:tcMar>
            <w:vAlign w:val="center"/>
          </w:tcPr>
          <w:p>
            <w:pPr>
              <w:pStyle w:val="TableContents"/>
              <w:bidi w:val="0"/>
              <w:spacing w:before="120" w:after="120"/>
              <w:ind w:left="0" w:right="0" w:firstLine="1418"/>
              <w:jc w:val="both"/>
              <w:rPr>
                <w:rFonts w:ascii="Calibri Light;sans-serif" w:hAnsi="Calibri Light;sans-serif"/>
                <w:b/>
                <w:color w:val="000000"/>
                <w:sz w:val="20"/>
              </w:rPr>
            </w:pPr>
            <w:r>
              <w:rPr>
                <w:rFonts w:ascii="Calibri Light;sans-serif" w:hAnsi="Calibri Light;sans-serif"/>
                <w:b/>
                <w:color w:val="000000"/>
                <w:sz w:val="20"/>
              </w:rPr>
              <w:t>Article 14 Form of the General Meeting</w:t>
            </w:r>
          </w:p>
        </w:tc>
        <w:tc>
          <w:tcPr>
            <w:tcW w:w="1669" w:type="dxa"/>
            <w:tcBorders/>
            <w:tcMar>
              <w:top w:w="0" w:type="dxa"/>
              <w:left w:w="0" w:type="dxa"/>
              <w:bottom w:w="0" w:type="dxa"/>
              <w:right w:w="0" w:type="dxa"/>
            </w:tcMar>
            <w:vAlign w:val="center"/>
          </w:tcPr>
          <w:p>
            <w:pPr>
              <w:pStyle w:val="Heading1"/>
              <w:bidi w:val="0"/>
              <w:spacing w:before="120" w:after="120"/>
              <w:ind w:left="0" w:right="0" w:firstLine="1418"/>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ind w:left="0" w:right="0" w:firstLine="1418"/>
              <w:jc w:val="both"/>
              <w:rPr>
                <w:rFonts w:ascii="Calibri Light;sans-serif" w:hAnsi="Calibri Light;sans-serif"/>
                <w:b/>
                <w:color w:val="000000"/>
                <w:sz w:val="20"/>
              </w:rPr>
            </w:pPr>
            <w:r>
              <w:rPr>
                <w:rFonts w:ascii="Calibri Light;sans-serif" w:hAnsi="Calibri Light;sans-serif"/>
                <w:b/>
                <w:color w:val="000000"/>
                <w:sz w:val="20"/>
              </w:rPr>
              <w:t>Artikel 14 Form der Generalversammlung</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determines the location of the General Meeting. It may be abroad.</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bestimmt den Ort der Generalversammlung. Er kann im Ausland liegen.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21</w:t>
      </w:r>
    </w:p>
    <w:tbl>
      <w:tblPr>
        <w:tblW w:w="10205" w:type="dxa"/>
        <w:jc w:val="left"/>
        <w:tblInd w:w="0" w:type="dxa"/>
        <w:tblLayout w:type="fixed"/>
        <w:tblCellMar>
          <w:top w:w="28" w:type="dxa"/>
          <w:left w:w="28" w:type="dxa"/>
          <w:bottom w:w="28" w:type="dxa"/>
          <w:right w:w="28" w:type="dxa"/>
        </w:tblCellMar>
      </w:tblPr>
      <w:tblGrid>
        <w:gridCol w:w="4401"/>
        <w:gridCol w:w="251"/>
        <w:gridCol w:w="5553"/>
      </w:tblGrid>
      <w:tr>
        <w:trPr/>
        <w:tc>
          <w:tcPr>
            <w:tcW w:w="44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3" w:type="dxa"/>
            <w:tcBorders/>
            <w:vAlign w:val="center"/>
          </w:tcPr>
          <w:p>
            <w:pPr>
              <w:pStyle w:val="TableContents"/>
              <w:bidi w:val="0"/>
              <w:spacing w:before="0" w:after="283"/>
              <w:jc w:val="left"/>
              <w:rPr>
                <w:sz w:val="4"/>
                <w:szCs w:val="4"/>
              </w:rPr>
            </w:pPr>
            <w:r>
              <w:rPr>
                <w:sz w:val="4"/>
                <w:szCs w:val="4"/>
              </w:rPr>
            </w:r>
          </w:p>
        </w:tc>
      </w:tr>
      <w:tr>
        <w:trPr/>
        <w:tc>
          <w:tcPr>
            <w:tcW w:w="44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provide that shareholders who are not present at the venue of the General Meeting may exercise their rights electronically (hybrid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5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kann vorsehen, dass Aktionäre, die nicht am Ort der Generalversammlung anwesend sind, ihre Rechte auf elektronischem Weg ausüben können (hybride Generalversammlung).</w:t>
            </w:r>
          </w:p>
        </w:tc>
      </w:tr>
      <w:tr>
        <w:trPr/>
        <w:tc>
          <w:tcPr>
            <w:tcW w:w="44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 General Meeting may be held by electronic means without a meeting place (Virtual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5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Eine Generalversammlung kann mit elektronischen Mitteln ohne Tagungsort durchgeführt werden (virtuelle Generalversammlung).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22</w:t>
      </w:r>
    </w:p>
    <w:tbl>
      <w:tblPr>
        <w:tblW w:w="10205" w:type="dxa"/>
        <w:jc w:val="left"/>
        <w:tblInd w:w="0" w:type="dxa"/>
        <w:tblLayout w:type="fixed"/>
        <w:tblCellMar>
          <w:top w:w="28" w:type="dxa"/>
          <w:left w:w="28" w:type="dxa"/>
          <w:bottom w:w="28" w:type="dxa"/>
          <w:right w:w="28" w:type="dxa"/>
        </w:tblCellMar>
      </w:tblPr>
      <w:tblGrid>
        <w:gridCol w:w="3695"/>
        <w:gridCol w:w="1608"/>
        <w:gridCol w:w="4902"/>
      </w:tblGrid>
      <w:tr>
        <w:trPr/>
        <w:tc>
          <w:tcPr>
            <w:tcW w:w="369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02" w:type="dxa"/>
            <w:tcBorders/>
            <w:vAlign w:val="center"/>
          </w:tcPr>
          <w:p>
            <w:pPr>
              <w:pStyle w:val="TableContents"/>
              <w:bidi w:val="0"/>
              <w:spacing w:before="0" w:after="283"/>
              <w:jc w:val="left"/>
              <w:rPr>
                <w:sz w:val="4"/>
                <w:szCs w:val="4"/>
              </w:rPr>
            </w:pPr>
            <w:r>
              <w:rPr>
                <w:sz w:val="4"/>
                <w:szCs w:val="4"/>
              </w:rPr>
            </w:r>
          </w:p>
        </w:tc>
      </w:tr>
      <w:tr>
        <w:trPr/>
        <w:tc>
          <w:tcPr>
            <w:tcW w:w="369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regulates the use of electronic means. It shall ensure that: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identity of the participants is established;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votes at the General Meeting are transmitted directly;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participant can submit motions and take part in the discussion;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voting results cannot be falsified.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Der Verwaltungsrat regelt die Verwendung elektronischer Mittel. Er stellt sicher, dass: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Identität der Teilnehmer feststeht;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Voten in der Generalversammlung unmittelbar übertragen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jeder Teilnehmer Anträge stellen und sich an der Diskussion beteiligen kann;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das Abstimmungsergebnis nicht verfälscht werden kann.</w:t>
            </w:r>
          </w:p>
        </w:tc>
      </w:tr>
      <w:tr>
        <w:trPr/>
        <w:tc>
          <w:tcPr>
            <w:tcW w:w="369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technical problems occur during a Virtual General Meeting so that the General Meeting cannot be held properly, it must be repeated. Resolutions passed by the General Meeting before the occurrence of the technical problems shall remain valid.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Treten während einer Generalversammlung mit elektronischen Mitteln technische Probleme auf, sodass die Generalversammlung nicht ordnungsgemäss durchgeführt werden kann, so muss sie wiederholt werden. Beschlüsse, welche die Generalversammlung vor dem Auftreten der technischen Probleme gefasst hat, bleiben gültig.</w:t>
            </w:r>
          </w:p>
        </w:tc>
      </w:tr>
      <w:tr>
        <w:trPr/>
        <w:tc>
          <w:tcPr>
            <w:tcW w:w="369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15 Meeting of All Shareholders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15 Universalversammlung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Eigentümer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tc>
      </w:tr>
      <w:tr>
        <w:trPr/>
        <w:tc>
          <w:tcPr>
            <w:tcW w:w="369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16 Chairman, Secretary, Scrutineers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Chairman of the Board of Directors shall preside over the General Meeting. In his absence, a member of the Board of Directors or another Chairman of the Meeting designated by the General Meeting shall preside.</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16 Vorsitz, Protokollführer, Stimmenzähler</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Den Vorsitz der Generalversammlung führt der Präsident, bei dessen Verhinderung ein anderes Mitglied des Verwaltungsrates oder ein anderer von der Generalversammlung gewählter Tagespräsident.</w:t>
            </w:r>
          </w:p>
        </w:tc>
      </w:tr>
      <w:tr>
        <w:trPr/>
        <w:tc>
          <w:tcPr>
            <w:tcW w:w="369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Chairman of the Meeting shall designate a Secretary and the scrutineers who need not be shareholders.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Vorsitzende bezeichnet den Protokollführer und die Stimmenzähler, die nicht Aktionäre zu sein brauchen.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23</w:t>
      </w:r>
    </w:p>
    <w:tbl>
      <w:tblPr>
        <w:tblW w:w="10205" w:type="dxa"/>
        <w:jc w:val="left"/>
        <w:tblInd w:w="0" w:type="dxa"/>
        <w:tblLayout w:type="fixed"/>
        <w:tblCellMar>
          <w:top w:w="28" w:type="dxa"/>
          <w:left w:w="28" w:type="dxa"/>
          <w:bottom w:w="28" w:type="dxa"/>
          <w:right w:w="28" w:type="dxa"/>
        </w:tblCellMar>
      </w:tblPr>
      <w:tblGrid>
        <w:gridCol w:w="3161"/>
        <w:gridCol w:w="1608"/>
        <w:gridCol w:w="5436"/>
      </w:tblGrid>
      <w:tr>
        <w:trPr/>
        <w:tc>
          <w:tcPr>
            <w:tcW w:w="316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436"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Chairman shall have all powers and authority necessary to ensure the orderly conduct of the General Meeting.</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Vorsitzende hat sämtliche Leitungsbefugnisse, die für die ordnungsgemässe Durchführung der Generalversammlung nötig sind.</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17 Minutes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17 Protokoll</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sorgt für die Führung des Protokolls über die Generalversammlung, welches Anzahl, Art, Nennwert und Kategorie der von den Aktionären, von den Organen und von unabhängigen Stimmrechtsvertretern vertretene Aktien festhält und Aufschluss über Beschlüsse, Wahlergebnisse, Begehren um Auskunft und die darauf erteilten Auskünfte sowie die von den Aktionären zu Protokoll gegebenen Erklärungen gibt. Das Protokoll wird vom Vorsitzenden und vom Protokollführer unterzeichnet.</w:t>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shareholders are entitled to inspect the minutes.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Aktionäre sind berechtigt, das Protokoll einzusehen.</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18 Right to Vote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Each share entitles to one vote.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Each shareholder may be represented at a General Meeting by any person who is so authorized by a written proxy. A proxy need not be a shareholder.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18 Stimmrecht</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Jede Aktie berechtigt zu einer Stimme.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Jeder Aktionär kann sich in der Generalversammlung aufgrund einer schriftlichen Vollmacht durch eine andere handlungsfähige Person vertreten lassen, die nicht Aktionär zu sein braucht.</w:t>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Each shareholder may be represented by the Independent Proxy. The requirements regarding proxies and instructions are determined by the Board of Directors.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Jeder Aktionär kann sich vom unabhängigen Stimmrechtsvertreter vertreten lassen. Die Anforderungen an Vollmachten und Weisungen werden vom Verwaltungsrat festgelegt.</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19 Resolutions and Elections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All voting and elections are held openly or electronically. A written voting or election shall be held if instructed so by the Chairman or if decided by the General Meeting.</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19 Beschlussfassung und Wahlen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Abstimmungen und Wahlen erfolgen offen oder elektronisch. Eine schriftliche Abstimmung oder Wahl wird durchgeführt, wenn dies vom Vorsitzenden angeordnet oder von der Generalversammlung beschlossen wird.</w:t>
            </w:r>
          </w:p>
        </w:tc>
      </w:tr>
      <w:tr>
        <w:trPr/>
        <w:tc>
          <w:tcPr>
            <w:tcW w:w="3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General Meeting shall pass its resolutions and carry out its elections with the simple majority of the votes cast regardless of abstentions and empty or invalid votes, unless law or articles of association state otherwise. In the event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Generalversammlung fasst ihre Beschlüsse und vollzieht ihre Wahlen, soweit das Gesetz oder die Statuten es nicht anders bestimmen, mit der einfachen Mehrheit der abgegebenen Aktienstimmen ohne Berücksichtigung von Stimmenthaltungen oder leer eingelegten oder ungültigen Stimmen. Bei</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24</w:t>
      </w:r>
    </w:p>
    <w:tbl>
      <w:tblPr>
        <w:tblW w:w="10205" w:type="dxa"/>
        <w:jc w:val="left"/>
        <w:tblInd w:w="0" w:type="dxa"/>
        <w:tblLayout w:type="fixed"/>
        <w:tblCellMar>
          <w:top w:w="28" w:type="dxa"/>
          <w:left w:w="28" w:type="dxa"/>
          <w:bottom w:w="28" w:type="dxa"/>
          <w:right w:w="28" w:type="dxa"/>
        </w:tblCellMar>
      </w:tblPr>
      <w:tblGrid>
        <w:gridCol w:w="4539"/>
        <w:gridCol w:w="251"/>
        <w:gridCol w:w="5415"/>
      </w:tblGrid>
      <w:tr>
        <w:trPr/>
        <w:tc>
          <w:tcPr>
            <w:tcW w:w="45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15" w:type="dxa"/>
            <w:tcBorders/>
            <w:vAlign w:val="center"/>
          </w:tcPr>
          <w:p>
            <w:pPr>
              <w:pStyle w:val="TableContents"/>
              <w:bidi w:val="0"/>
              <w:spacing w:before="0" w:after="283"/>
              <w:jc w:val="left"/>
              <w:rPr>
                <w:sz w:val="4"/>
                <w:szCs w:val="4"/>
              </w:rPr>
            </w:pPr>
            <w:r>
              <w:rPr>
                <w:sz w:val="4"/>
                <w:szCs w:val="4"/>
              </w:rPr>
            </w:r>
          </w:p>
        </w:tc>
      </w:tr>
      <w:tr>
        <w:trPr/>
        <w:tc>
          <w:tcPr>
            <w:tcW w:w="453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of tie votes, the request shall be refused. The Chairman shall not have a casting vote.</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Stimmengleichheit gilt ein Antrag als abgelehnt. Dem Vorsitzenden steht kein Stichentscheid zu.</w:t>
            </w:r>
          </w:p>
        </w:tc>
      </w:tr>
      <w:tr>
        <w:trPr/>
        <w:tc>
          <w:tcPr>
            <w:tcW w:w="4539"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A resolution of the General Meeting passed by at least two thirds of the represented share votes and the absolute majority of the represented shares par value is required for: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cases listed in article 704 para. 1 CO:</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amendment of the purpose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consolidation of shares, insofar as this does not require the consent of all shareholders concerned;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increase of the share capital against contributions in kind or by offsetting against a receivable and the granting of special benefits;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limitation or withdrawal of subscription rights;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conditional capital, the creation of reserve capital pursuant to article 12 of the Swiss Banking Act or the introduction of a capital band;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conversion of participation certificates into shares;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restriction of the transferability of registered shares;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creation of shares with privileged voting rights;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change of currency of the share capital;</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the casting vote of the chairman in the general assembly;</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xi.</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the introduction of a provision in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15"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Ein Beschluss der Generalversammlung, durch mindestens zwei Drittel der vertretenen Aktienstimmen und die absolute Mehrheit der vertretenen Aktiennennwerte, ist erforderlich für:</w:t>
            </w:r>
            <w:r>
              <w:rPr>
                <w:rFonts w:ascii="Times New Roman" w:hAnsi="Times New Roman"/>
                <w:color w:val="000000"/>
                <w:sz w:val="20"/>
              </w:rPr>
              <w:t xml:space="preserv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Fälle gemäss Artikel 704 Abs. 1 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pPr>
            <w:r>
              <w:rPr>
                <w:rFonts w:ascii="Calibri Light;sans-serif" w:hAnsi="Calibri Light;sans-serif"/>
                <w:color w:val="000000"/>
                <w:sz w:val="20"/>
              </w:rPr>
              <w:t xml:space="preserve">die Änderung des Gesellschaftszweckes;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Zusammenlegung von Aktien, soweit dafür nicht die Zustimmung aller betroffenen Aktionäre erforderlich ist;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Kapitalerhöhung aus Eigenkapital, gegen Sacheinlagen oder durch Verrechnung mit einer Forderung und die Gewährung von besonderen Vorteilen;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Einschränkung oder Aufhebung des Bezugsrechts;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eines bedingten Kapitals, die Schaffung von Vorratskapital gemäss Artikel 12 des Bankengesetzes oder die Einführung eines Kapitalbands;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Umwandlung von Partizipationsscheinen in 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Beschränkung der Übertragbarkeit von Namenaktien;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viii.</w:t>
            </w:r>
          </w:p>
          <w:p>
            <w:pPr>
              <w:pStyle w:val="TableContents"/>
              <w:bidi w:val="0"/>
              <w:spacing w:before="0" w:after="120"/>
              <w:jc w:val="both"/>
              <w:rPr/>
            </w:pPr>
            <w:r>
              <w:rPr>
                <w:rFonts w:ascii="Calibri Light;sans-serif" w:hAnsi="Calibri Light;sans-serif"/>
                <w:color w:val="000000"/>
                <w:sz w:val="20"/>
              </w:rPr>
              <w:t xml:space="preserve">die Einführung von Stimmrechtsaktien;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Wechsel der Währung des Aktienkapitals;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des Stichentscheids des Vorsitzenden in der Generalversammlung;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w:t>
            </w:r>
          </w:p>
          <w:p>
            <w:pPr>
              <w:pStyle w:val="TableContents"/>
              <w:bidi w:val="0"/>
              <w:spacing w:before="0" w:after="120"/>
              <w:jc w:val="both"/>
              <w:rPr/>
            </w:pPr>
            <w:r>
              <w:rPr>
                <w:rFonts w:ascii="Calibri Light;sans-serif" w:hAnsi="Calibri Light;sans-serif"/>
                <w:color w:val="000000"/>
                <w:sz w:val="20"/>
              </w:rPr>
              <w:t xml:space="preserve">eine Statutenbestimmung zur Durchführung der Generalversammlung im Ausland;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w:t>
            </w:r>
          </w:p>
          <w:p>
            <w:pPr>
              <w:pStyle w:val="TableContents"/>
              <w:bidi w:val="0"/>
              <w:spacing w:before="0" w:after="120"/>
              <w:jc w:val="both"/>
              <w:rPr/>
            </w:pPr>
            <w:r>
              <w:rPr>
                <w:rFonts w:ascii="Calibri Light;sans-serif" w:hAnsi="Calibri Light;sans-serif"/>
                <w:color w:val="000000"/>
                <w:sz w:val="20"/>
              </w:rPr>
              <w:t xml:space="preserve">die Verletzung des Sitzes der Gesellschaft;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einer statutarischen Schiedsklausel;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25</w:t>
      </w:r>
    </w:p>
    <w:tbl>
      <w:tblPr>
        <w:tblW w:w="10205" w:type="dxa"/>
        <w:jc w:val="left"/>
        <w:tblInd w:w="0" w:type="dxa"/>
        <w:tblLayout w:type="fixed"/>
        <w:tblCellMar>
          <w:top w:w="28" w:type="dxa"/>
          <w:left w:w="28" w:type="dxa"/>
          <w:bottom w:w="28" w:type="dxa"/>
          <w:right w:w="28" w:type="dxa"/>
        </w:tblCellMar>
      </w:tblPr>
      <w:tblGrid>
        <w:gridCol w:w="4712"/>
        <w:gridCol w:w="938"/>
        <w:gridCol w:w="4555"/>
      </w:tblGrid>
      <w:tr>
        <w:trPr/>
        <w:tc>
          <w:tcPr>
            <w:tcW w:w="47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ind w:left="0" w:right="0" w:firstLine="792"/>
              <w:jc w:val="left"/>
              <w:rPr>
                <w:sz w:val="4"/>
                <w:szCs w:val="4"/>
              </w:rPr>
            </w:pPr>
            <w:r>
              <w:rPr>
                <w:sz w:val="4"/>
                <w:szCs w:val="4"/>
              </w:rPr>
            </w:r>
          </w:p>
        </w:tc>
      </w:tr>
      <w:tr>
        <w:trPr/>
        <w:tc>
          <w:tcPr>
            <w:tcW w:w="4712"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articles of association to hold General Meetings abroad;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change of the registered office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an arbitration clause in the articles of association;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delisting of the shares; 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dissolution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the merger, de-merger or conversion of the Company (subject to mandatory law);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 xml:space="preserve">the alleviating or withdrawal of restrictions upon the transfer of registered shares;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conversion of registered shares into bearer shares and vice versa;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amendment or elimination of the provisions of articles 4 and 31 of the articles of association as well as those contained in this article 19.</w:t>
            </w:r>
          </w:p>
        </w:tc>
        <w:tc>
          <w:tcPr>
            <w:tcW w:w="938" w:type="dxa"/>
            <w:tcBorders/>
            <w:tcMar>
              <w:top w:w="0" w:type="dxa"/>
              <w:left w:w="0" w:type="dxa"/>
              <w:bottom w:w="0" w:type="dxa"/>
              <w:right w:w="0" w:type="dxa"/>
            </w:tcMar>
            <w:vAlign w:val="center"/>
          </w:tcPr>
          <w:p>
            <w:pPr>
              <w:pStyle w:val="TableContents"/>
              <w:bidi w:val="0"/>
              <w:spacing w:before="0" w:after="283"/>
              <w:ind w:left="0" w:right="0" w:firstLine="792"/>
              <w:jc w:val="left"/>
              <w:rPr/>
            </w:pPr>
            <w:r>
              <w:rPr/>
              <w:t> </w:t>
            </w:r>
          </w:p>
        </w:tc>
        <w:tc>
          <w:tcPr>
            <w:tcW w:w="4555"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xiv.</w:t>
            </w:r>
          </w:p>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die Dekotierung der Beteiligungspapiere;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Auflösung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Fusion, Spaltung oder Umwandlung der Gesellschaft (vorbehalten zwingender gesetzlicher Bestimmungen);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Erleichterung oder den Entzug der Beschränkungen betreffend die Übertragung von Namenaktien;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Umwandlung von Namenaktien in Inhaberaktien und umgekehrt;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Änderung oder Aufhebung der Bestimmungen der Artikel 4 und 31 der Statuten sowie dieses Artikels 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26</w:t>
      </w:r>
    </w:p>
    <w:tbl>
      <w:tblPr>
        <w:tblW w:w="10205" w:type="dxa"/>
        <w:jc w:val="left"/>
        <w:tblInd w:w="0" w:type="dxa"/>
        <w:tblLayout w:type="fixed"/>
        <w:tblCellMar>
          <w:top w:w="28" w:type="dxa"/>
          <w:left w:w="28" w:type="dxa"/>
          <w:bottom w:w="28" w:type="dxa"/>
          <w:right w:w="28" w:type="dxa"/>
        </w:tblCellMar>
      </w:tblPr>
      <w:tblGrid>
        <w:gridCol w:w="3612"/>
        <w:gridCol w:w="1608"/>
        <w:gridCol w:w="4985"/>
      </w:tblGrid>
      <w:tr>
        <w:trPr/>
        <w:tc>
          <w:tcPr>
            <w:tcW w:w="361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3612"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20 Votes on Compensation</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year, the General Meeting approves in one or separate resolutions the total maximum amounts pursuant to articles 34 and 35 of the articles of association for: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the non-performance-related compensation of the Board of Directors for the next term of office;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possible additional compensation of the Board of Directors for the preceding business year;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non-performance-related compensation of the Executive Committee for the following business year;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variable compensation for the Executive Committee for the following business year;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grant of options, shares or other equity-linked instruments in the Company to the Board of Directors and the Executive Committee.</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20 Abstimmung über Vergütungen</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Die Generalversammlung genehmigt jährlich in einem oder mehreren Beschlüssen die maximalen Vergütungen gemäss Artikel 34 und 35 der Statuten betreffend:</w:t>
            </w:r>
          </w:p>
          <w:p>
            <w:pPr>
              <w:pStyle w:val="TableContents"/>
              <w:bidi w:val="0"/>
              <w:spacing w:before="0" w:after="120"/>
              <w:ind w:left="0" w:right="0" w:firstLine="1357"/>
              <w:jc w:val="left"/>
              <w:rPr>
                <w:rFonts w:ascii="Calibri Light" w:hAnsi="Calibri Light"/>
                <w:color w:val="000000"/>
                <w:sz w:val="20"/>
              </w:rPr>
            </w:pPr>
            <w:r>
              <w:rPr>
                <w:rFonts w:ascii="Calibri Light" w:hAnsi="Calibri Light"/>
                <w:color w:val="000000"/>
                <w:sz w:val="20"/>
              </w:rPr>
              <w:t>a)</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nicht-erfolgsabhängige Vergütung des Verwaltungsrates für die Zeitperiode bis zur nächsten Generalversammlung;</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b)</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eine allfällige zusätzliche Vergütung für den Verwaltungsrat für das abgeschlossene Geschäftsjahr;</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c)</w:t>
            </w:r>
          </w:p>
          <w:p>
            <w:pPr>
              <w:pStyle w:val="TableContents"/>
              <w:bidi w:val="0"/>
              <w:spacing w:before="0" w:after="120"/>
              <w:jc w:val="left"/>
              <w:rPr/>
            </w:pPr>
            <w:r>
              <w:rPr>
                <w:rFonts w:ascii="Calibri Light;sans-serif" w:hAnsi="Calibri Light;sans-serif"/>
                <w:color w:val="000000"/>
                <w:sz w:val="20"/>
              </w:rPr>
              <w:t>die nicht-erfolgsabhängige Vergütung der Geschäftsleitung für das folgende Geschäftsjahr;</w:t>
              <w:br/>
            </w:r>
            <w:r>
              <w:rPr>
                <w:color w:val="000000"/>
              </w:rPr>
              <w:t> </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variable Vergütung der Geschäftsleitung für das folgende Geschäftsjahr; und</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Gewährung von Optionen, Aktien oder anderen eigenkapitalbasierten Instrumenten der Gesellschaft an den Verwaltungsrat oder die Geschäftsleitung.</w:t>
            </w:r>
          </w:p>
        </w:tc>
      </w:tr>
      <w:tr>
        <w:trPr/>
        <w:tc>
          <w:tcPr>
            <w:tcW w:w="361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corresponding total compensation includes all social security, pension fund and other contributions payable by the receiving member of the Board of Directors or the Executive Board.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entsprechenden Gesamtvergütungen umfassen alle vom empfangenden Mitglied des Verwaltungsrats oder der Geschäftsleitung zu bezahlenden Sozialversicherungs-, Pensionskassen- und andere Beiträge.</w:t>
            </w:r>
          </w:p>
        </w:tc>
      </w:tr>
      <w:tr>
        <w:trPr/>
        <w:tc>
          <w:tcPr>
            <w:tcW w:w="36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Lehnt die Generalversammlung einen entsprechenden Antrag des Verwaltungsrats ab, kann der Verwaltungsrat entweder an der gleichen Versammlung einen neuen Antrag stellen, eine ausserordentliche Generalversammlung einberufen oder einen maximalen Gesamtbetrag oder mehrere maximale Teilbeträge unter Berücksichtigung der relevanten Grundsätze festsetzen und der nächsten Generalversammlung zur Genehmigung vorlegen. Die Gesellschaft kann im Rahmen des maximalen Gesamt- oder Teilbetrages und unter Vorbehalt der Genehmigung durch die Generalversammlung Vergütungen ausrichten.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27</w:t>
      </w:r>
    </w:p>
    <w:tbl>
      <w:tblPr>
        <w:tblW w:w="10205" w:type="dxa"/>
        <w:jc w:val="left"/>
        <w:tblInd w:w="0" w:type="dxa"/>
        <w:tblLayout w:type="fixed"/>
        <w:tblCellMar>
          <w:top w:w="28" w:type="dxa"/>
          <w:left w:w="28" w:type="dxa"/>
          <w:bottom w:w="28" w:type="dxa"/>
          <w:right w:w="28" w:type="dxa"/>
        </w:tblCellMar>
      </w:tblPr>
      <w:tblGrid>
        <w:gridCol w:w="3560"/>
        <w:gridCol w:w="1608"/>
        <w:gridCol w:w="5037"/>
      </w:tblGrid>
      <w:tr>
        <w:trPr/>
        <w:tc>
          <w:tcPr>
            <w:tcW w:w="356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037" w:type="dxa"/>
            <w:tcBorders/>
            <w:vAlign w:val="center"/>
          </w:tcPr>
          <w:p>
            <w:pPr>
              <w:pStyle w:val="TableContents"/>
              <w:bidi w:val="0"/>
              <w:spacing w:before="0" w:after="283"/>
              <w:jc w:val="left"/>
              <w:rPr>
                <w:sz w:val="4"/>
                <w:szCs w:val="4"/>
              </w:rPr>
            </w:pPr>
            <w:r>
              <w:rPr>
                <w:sz w:val="4"/>
                <w:szCs w:val="4"/>
              </w:rPr>
            </w:r>
          </w:p>
        </w:tc>
      </w:tr>
      <w:tr>
        <w:trPr/>
        <w:tc>
          <w:tcPr>
            <w:tcW w:w="3560"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remuneration and subject to the approval by the General Meeting.</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50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21 Independent Proxy</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037"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21 Unabhängiger Stimmrechtsvertreter</w:t>
            </w:r>
          </w:p>
          <w:p>
            <w:pPr>
              <w:pStyle w:val="TableContents"/>
              <w:bidi w:val="0"/>
              <w:spacing w:before="0" w:after="120"/>
              <w:ind w:left="0" w:right="0" w:firstLine="790"/>
              <w:jc w:val="both"/>
              <w:rPr>
                <w:rFonts w:ascii="Calibri Light;sans-serif" w:hAnsi="Calibri Light;sans-serif"/>
                <w:color w:val="000000"/>
                <w:sz w:val="20"/>
              </w:rPr>
            </w:pPr>
            <w:r>
              <w:rPr>
                <w:rFonts w:ascii="Calibri Light;sans-serif" w:hAnsi="Calibri Light;sans-serif"/>
                <w:color w:val="000000"/>
                <w:sz w:val="20"/>
              </w:rPr>
              <w:t>Der Unabhängige Stimmrechtsvertreter wird von der ordentlichen Generalversammlung für eine Amtsdauer von einem Jahr bis zum Ende der nächsten ordentlichen Generalversammlung gewählt. Wiederwahl ist möglich. Der unabhängige Stimmrechtsvertreter informiert die Gesellschaft über Anzahl, Art, Nennwert und Kategorie der vertretenen Aktien. Der Präsident des Verwaltungsrats gibt diese Informationen der Generalversammlung bekannt. Die Pflichten des Unabhängigen Stimmrechtsvertreters ergeben sich aus den anwendbaren gesetzlichen Bestimmungen.</w:t>
            </w:r>
          </w:p>
        </w:tc>
      </w:tr>
      <w:tr>
        <w:trPr/>
        <w:tc>
          <w:tcPr>
            <w:tcW w:w="3560"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V. Board of directors</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037"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b/>
                <w:caps/>
                <w:color w:val="000000"/>
                <w:sz w:val="20"/>
              </w:rPr>
            </w:pPr>
            <w:r>
              <w:rPr>
                <w:rFonts w:ascii="Calibri Light;sans-serif" w:hAnsi="Calibri Light;sans-serif"/>
                <w:b/>
                <w:caps/>
                <w:color w:val="000000"/>
                <w:sz w:val="20"/>
              </w:rPr>
              <w:t>V. Verwaltungsrat</w:t>
            </w:r>
          </w:p>
        </w:tc>
      </w:tr>
      <w:tr>
        <w:trPr/>
        <w:tc>
          <w:tcPr>
            <w:tcW w:w="3560"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22 Number of Members, Term of Office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037"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22 Anzahl der Mitglieder, Amtsdauer</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besteht aus mindestens 3 und höchstens 9 Mitgliedern. Der Präsident sowie die Mitglieder des Verwaltungsrates werden jeweils für die Dauer von einem Jahr bis zum Ende der nächsten ordentlichen Generalversammlung einzeln gewählt. Vorbehalten bleiben vorheriger Rücktritt oder Abberufung.</w:t>
            </w:r>
          </w:p>
        </w:tc>
      </w:tr>
      <w:tr>
        <w:trPr/>
        <w:tc>
          <w:tcPr>
            <w:tcW w:w="356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3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Mitglieder des Verwaltungsrates sind jederzeit wieder wählbar. Die oberste Altersgrenze von Mitgliedern des Verwaltungsrats beträgt 75 Jahre. Wenn ein Mitglied des Verwaltungsrats diese Altersgrenze während seiner Amtszeit erreicht, wird diese automatisch zur nächsten ordentlichen Generalversammlung verlängert. Die Generalversammlung kann eine Ausnahme von der Altersgrenze beschliessen.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28</w:t>
      </w:r>
    </w:p>
    <w:tbl>
      <w:tblPr>
        <w:tblW w:w="10205" w:type="dxa"/>
        <w:jc w:val="left"/>
        <w:tblInd w:w="0" w:type="dxa"/>
        <w:tblLayout w:type="fixed"/>
        <w:tblCellMar>
          <w:top w:w="28" w:type="dxa"/>
          <w:left w:w="28" w:type="dxa"/>
          <w:bottom w:w="28" w:type="dxa"/>
          <w:right w:w="28" w:type="dxa"/>
        </w:tblCellMar>
      </w:tblPr>
      <w:tblGrid>
        <w:gridCol w:w="4488"/>
        <w:gridCol w:w="251"/>
        <w:gridCol w:w="5466"/>
      </w:tblGrid>
      <w:tr>
        <w:trPr/>
        <w:tc>
          <w:tcPr>
            <w:tcW w:w="4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66" w:type="dxa"/>
            <w:tcBorders/>
            <w:vAlign w:val="center"/>
          </w:tcPr>
          <w:p>
            <w:pPr>
              <w:pStyle w:val="TableContents"/>
              <w:bidi w:val="0"/>
              <w:spacing w:before="0" w:after="283"/>
              <w:jc w:val="left"/>
              <w:rPr>
                <w:sz w:val="4"/>
                <w:szCs w:val="4"/>
              </w:rPr>
            </w:pPr>
            <w:r>
              <w:rPr>
                <w:sz w:val="4"/>
                <w:szCs w:val="4"/>
              </w:rPr>
            </w:r>
          </w:p>
        </w:tc>
      </w:tr>
      <w:tr>
        <w:trPr/>
        <w:tc>
          <w:tcPr>
            <w:tcW w:w="44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office of the Chairman becomes vacant, the board of directors shall appoint a new Chairman, from among its members for the remaining term of office.</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Wird das Amt des Präsidenten vakant, ernennt der Verwaltungsrat für die verbleibende Amtsdauer aus seiner Mitte einen neuen Präsidenten des Verwaltungsrates für die verbleibende Amtszeit.</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23 Constitution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Subject to the powers of the General Meeting, the Board of Directors determines its own organization. It appoints a Secretary who needs not be a member of the Board of Directors.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23 Konstituierung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konstituiert sich vorbehältlich der Befugnisse der Generalversammlung selbst. Er bezeichnet insbesondere einen Sekretär, der nicht Mitglied des Verwaltungsrates sein muss.</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24 Function, Organization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It is the Board of Director's duty to lead the Company and to supervise the management. The Board of Director represents the Company and may take decisions to all affairs which are not assigned to any other body of the Company by law, the articles of association or Regulations.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24 Funktion, Organisation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Dem Verwaltungsrat obliegt die oberste Leitung der Gesellschaft und die Überwachung der Geschäftsführung. Er vertritt die Gesellschaft nach aussen und besorgt alle Angelegenheiten, die nicht nach Gesetz, Statuten oder Reglement einem anderen Organ der Gesellschaft übertragen sind.</w:t>
            </w:r>
          </w:p>
        </w:tc>
      </w:tr>
      <w:tr>
        <w:trPr/>
        <w:tc>
          <w:tcPr>
            <w:tcW w:w="44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adopt the organizational regulations and the corresponding contractual relationships.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erlässt das Organisationsreglement und ordnet die entsprechenden Vertragsverhältnisse.</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25 Powers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Board of Directors has the following non-delegable and inalienable duties: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overall management of the company and the issuing of all necessary directives;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determination of the company's organisation;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organisation of the accounting, financial control and financial planning systems as required for management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appointment and dismissal of the persons entrusted with the management and representation of the Company and grant of signatures;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the overall supervision of the persons entrusted with managing the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25 Aufgaben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hat folgende unübertragbare und unentziehbare Aufgaben: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Oberleitung der Gesellschaft und Erteilung der nötigen Weisungen;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Festlegung der Organisation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Organisation des Rechnungswesens, der Finanzkontrolle sowie der Finanzplanung zur Führung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Ernennung und Abberufung der mit der Geschäftsführung und der Vertretung betrauten Personen und Regelung der Zeichnungsberechtigung;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Oberaufsicht über die mit der Geschäftsführung betrauten Personen, namentlich im Hinblick auf die Befolgung der Gesetze, Statuten, Reglemente und Weisungen;</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Erstellung des Geschäftsberichtes sowie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29</w:t>
      </w:r>
    </w:p>
    <w:tbl>
      <w:tblPr>
        <w:tblW w:w="10205" w:type="dxa"/>
        <w:jc w:val="left"/>
        <w:tblInd w:w="0" w:type="dxa"/>
        <w:tblLayout w:type="fixed"/>
        <w:tblCellMar>
          <w:top w:w="28" w:type="dxa"/>
          <w:left w:w="28" w:type="dxa"/>
          <w:bottom w:w="28" w:type="dxa"/>
          <w:right w:w="28" w:type="dxa"/>
        </w:tblCellMar>
      </w:tblPr>
      <w:tblGrid>
        <w:gridCol w:w="3864"/>
        <w:gridCol w:w="1608"/>
        <w:gridCol w:w="4733"/>
      </w:tblGrid>
      <w:tr>
        <w:trPr/>
        <w:tc>
          <w:tcPr>
            <w:tcW w:w="386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33"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864"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company, in particular with regard to compliance with the law, articles of association, operational regulations and directives;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compilation of the annual report, preparation for the general meeting and implementation of its resolutions;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preparation of the compensation report and to request approval by the General Meeting regarding compensation of the Board of Directors and the Executive Committee;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notification of the court if liabilities exceed assets.</w:t>
            </w:r>
          </w:p>
        </w:tc>
        <w:tc>
          <w:tcPr>
            <w:tcW w:w="1608"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4733"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Vorbereitung der Generalversammlung und Ausführung ihrer Beschlüsse;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Erstellung des Vergütungsberichts sowie Antragsstellung betreffend die Genehmigung der Vergütungen des Verwaltungsrats und der Geschäftsleitung an die Generalversammlung;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Benachrichtigung des Richters im Falle der Überschuldung.</w:t>
            </w:r>
          </w:p>
        </w:tc>
      </w:tr>
      <w:tr>
        <w:trPr/>
        <w:tc>
          <w:tcPr>
            <w:tcW w:w="386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assign responsibility for preparing and implementing its resolutions or monitoring transactions to committees or individual members. It must ensure appropriate reporting to its members.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kann die Vorbereitung und die Ausführung seiner Beschlüsse oder die Überwachung von Geschäften Ausschüssen oder einzelnen Mitgliedern zuweisen. Er hat für eine angemessene Berichterstattung an seine Mitglieder zu sorgen.</w:t>
            </w:r>
          </w:p>
        </w:tc>
      </w:tr>
      <w:tr>
        <w:trPr/>
        <w:tc>
          <w:tcPr>
            <w:tcW w:w="386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26 Representation of the Company</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Board of Directors shall assign the persons with signatory power for the Company and the kind of signatory power.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26 Vertretung der Gesellschaft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bestimmt die für die Gesellschaft zeichnungsberechtigten Personen und die Art ihrer Zeichnung.</w:t>
            </w:r>
          </w:p>
        </w:tc>
      </w:tr>
      <w:tr>
        <w:trPr/>
        <w:tc>
          <w:tcPr>
            <w:tcW w:w="386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27 Delegation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Moreover, the Board of Directors is authorized to delegate, in part or entirely, the management and the representation of the Company, within the limits of the law, to one or more individual directors (Delegates) or to third parties by pursuant to organizational regulations.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27 Delegation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kann die Geschäftsführung und alle Aufgaben und Befugnisse, die ihm nicht durch das Gesetz oder die Statuten zwingend zugewiesen sind, nach Massgabe des Organisationsreglements ganz oder zum Teil an einzelne oder mehrere Mitglieder oder Dritte übertragen.</w:t>
            </w:r>
          </w:p>
        </w:tc>
      </w:tr>
      <w:tr>
        <w:trPr/>
        <w:tc>
          <w:tcPr>
            <w:tcW w:w="386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28 Meetings, Resolutions and Minutes</w:t>
            </w:r>
          </w:p>
          <w:p>
            <w:pPr>
              <w:pStyle w:val="TableContents"/>
              <w:bidi w:val="0"/>
              <w:spacing w:before="0" w:after="283"/>
              <w:ind w:left="0" w:right="0" w:firstLine="1357"/>
              <w:jc w:val="left"/>
              <w:rPr>
                <w:rFonts w:ascii="Times New Roman" w:hAnsi="Times New Roman"/>
                <w:sz w:val="20"/>
              </w:rPr>
            </w:pPr>
            <w:r>
              <w:rPr>
                <w:rFonts w:ascii="Calibri Light;sans-serif" w:hAnsi="Calibri Light;sans-serif"/>
                <w:color w:val="000000"/>
                <w:sz w:val="20"/>
              </w:rPr>
              <w:t>The organization of the meetings, the presence quorum and the passing of resolutions of the Board of Directors is determined by the organizational</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28 Sitzungen, Beschlussfassung und Protokoll</w:t>
            </w:r>
          </w:p>
          <w:p>
            <w:pPr>
              <w:pStyle w:val="TableContents"/>
              <w:bidi w:val="0"/>
              <w:spacing w:before="0" w:after="283"/>
              <w:ind w:left="0" w:right="0" w:firstLine="1357"/>
              <w:jc w:val="left"/>
              <w:rPr>
                <w:rFonts w:ascii="Times New Roman" w:hAnsi="Times New Roman"/>
                <w:sz w:val="20"/>
              </w:rPr>
            </w:pPr>
            <w:r>
              <w:rPr>
                <w:rFonts w:ascii="Calibri Light;sans-serif" w:hAnsi="Calibri Light;sans-serif"/>
                <w:color w:val="000000"/>
                <w:sz w:val="20"/>
              </w:rPr>
              <w:t>Sitzungsordnung, Beschlussfähigkeit und Beschlussfassung des Verwaltungsrats richten sich nach dem Organisationsreglement. Für den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30</w:t>
      </w:r>
    </w:p>
    <w:tbl>
      <w:tblPr>
        <w:tblW w:w="10205" w:type="dxa"/>
        <w:jc w:val="left"/>
        <w:tblInd w:w="0" w:type="dxa"/>
        <w:tblLayout w:type="fixed"/>
        <w:tblCellMar>
          <w:top w:w="28" w:type="dxa"/>
          <w:left w:w="28" w:type="dxa"/>
          <w:bottom w:w="28" w:type="dxa"/>
          <w:right w:w="28" w:type="dxa"/>
        </w:tblCellMar>
      </w:tblPr>
      <w:tblGrid>
        <w:gridCol w:w="4088"/>
        <w:gridCol w:w="1608"/>
        <w:gridCol w:w="4509"/>
      </w:tblGrid>
      <w:tr>
        <w:trPr/>
        <w:tc>
          <w:tcPr>
            <w:tcW w:w="408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509" w:type="dxa"/>
            <w:tcBorders/>
            <w:vAlign w:val="center"/>
          </w:tcPr>
          <w:p>
            <w:pPr>
              <w:pStyle w:val="TableContents"/>
              <w:bidi w:val="0"/>
              <w:spacing w:before="0" w:after="283"/>
              <w:jc w:val="left"/>
              <w:rPr>
                <w:sz w:val="4"/>
                <w:szCs w:val="4"/>
              </w:rPr>
            </w:pPr>
            <w:r>
              <w:rPr>
                <w:sz w:val="4"/>
                <w:szCs w:val="4"/>
              </w:rPr>
            </w:r>
          </w:p>
        </w:tc>
      </w:tr>
      <w:tr>
        <w:trPr/>
        <w:tc>
          <w:tcPr>
            <w:tcW w:w="4088"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regulations. No presence quorum is required for the approval of a capital increase.</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50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Feststellungsbeschluss einer Kapitalerhöhung ist kein Präsenzquorum erforderlich.</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Resolutions may be passed via telephone or videoconference. Resolutions may also be passed by way of circulation, provided that no member requests oral deliberation.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Beschlussfassung via Telefon- oder Videokonferenz ist zulässig. Beschlüsse können auch auf dem Zirkularweg gefasst werden, sofern nicht ein Mitglied die Durchführung einer Sitzung verlangt.</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Minutes are kept of the Board's discussions and resolutions and signed by the chairman and the minute-taker.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4"/>
              </w:rPr>
            </w:pPr>
            <w:r>
              <w:rPr>
                <w:rFonts w:ascii="Calibri Light;sans-serif" w:hAnsi="Calibri Light;sans-serif"/>
                <w:color w:val="000000"/>
                <w:sz w:val="20"/>
              </w:rPr>
              <w:t>Über Verhandlungen und Beschlüsse des Verwaltungsrats wird ein Protokoll erstellt, welches vom</w:t>
            </w:r>
            <w:r>
              <w:rPr>
                <w:rFonts w:ascii="Times New Roman" w:hAnsi="Times New Roman"/>
                <w:color w:val="000000"/>
                <w:sz w:val="24"/>
              </w:rPr>
              <w:t xml:space="preserve"> </w:t>
            </w:r>
            <w:r>
              <w:rPr>
                <w:rFonts w:ascii="Calibri Light;sans-serif" w:hAnsi="Calibri Light;sans-serif"/>
                <w:color w:val="000000"/>
                <w:sz w:val="20"/>
              </w:rPr>
              <w:t>Vorsitzenden und vom Sekretär des Verwaltungsrates zu unterzeichnen ist.</w:t>
            </w:r>
          </w:p>
        </w:tc>
      </w:tr>
      <w:tr>
        <w:trPr/>
        <w:tc>
          <w:tcPr>
            <w:tcW w:w="4088"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29 Disclosure and Right of Inspection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Any member of the Board of Directors may request information on any company business.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29 Recht auf Auskunft und Einsicht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Jedes Mitglied des Verwaltungsrates kann Auskunft über alle Angelegenheiten der Gesellschaft verlangen.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Outside meetings, any member may request information from the persons entrusted with managing the company's business concerning the Company's business performance and, with the Chairman's authorization, specific transactions.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Ausserhalb der Sitzungen kann jedes Mitglied von den mit der Geschäftsführung betrauten Personen Auskunft über den Geschäftsgang und, mit Ermächtigung des Präsidenten, auch über einzelne Geschäfte verlangen.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Where required for the performance of his duties, any member may request the Chairman to have books of account and documents made available to him for inspection.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Soweit es für die Erfüllung einer Aufgabe erforderlich ist, kann jedes Mitglied dem Präsidenten beantragen, dass ihm Bücher und Akten vorgelegt werden.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Chairman refuses a request for information, a request to be heard or an application to inspect documents, the Board of Directors rules on the matter.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Weist der Präsident ein Gesuch auf Auskunft, Anhörung oder Einsicht ab, so entscheidet der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31</w:t>
      </w:r>
    </w:p>
    <w:tbl>
      <w:tblPr>
        <w:tblW w:w="10205" w:type="dxa"/>
        <w:jc w:val="left"/>
        <w:tblInd w:w="0" w:type="dxa"/>
        <w:tblLayout w:type="fixed"/>
        <w:tblCellMar>
          <w:top w:w="28" w:type="dxa"/>
          <w:left w:w="28" w:type="dxa"/>
          <w:bottom w:w="28" w:type="dxa"/>
          <w:right w:w="28" w:type="dxa"/>
        </w:tblCellMar>
      </w:tblPr>
      <w:tblGrid>
        <w:gridCol w:w="4735"/>
        <w:gridCol w:w="251"/>
        <w:gridCol w:w="5219"/>
      </w:tblGrid>
      <w:tr>
        <w:trPr/>
        <w:tc>
          <w:tcPr>
            <w:tcW w:w="47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9" w:type="dxa"/>
            <w:tcBorders/>
            <w:vAlign w:val="center"/>
          </w:tcPr>
          <w:p>
            <w:pPr>
              <w:pStyle w:val="TableContents"/>
              <w:bidi w:val="0"/>
              <w:spacing w:before="0" w:after="283"/>
              <w:jc w:val="left"/>
              <w:rPr>
                <w:sz w:val="4"/>
                <w:szCs w:val="4"/>
              </w:rPr>
            </w:pPr>
            <w:r>
              <w:rPr>
                <w:sz w:val="4"/>
                <w:szCs w:val="4"/>
              </w:rPr>
            </w:r>
          </w:p>
        </w:tc>
      </w:tr>
      <w:tr>
        <w:trPr/>
        <w:tc>
          <w:tcPr>
            <w:tcW w:w="4735"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30 Compensation Committee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draw up principles for compensation of members of the Board of Directors and the Executive Committee and to submit them to the Board of Directors for approval;</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propose to the Board of Directors the resolution to be submitted to the Ordinary General Meeting for the maximum total compensation of the Board of Directors and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request approval by the Board of Directors regarding the determination of the compensation-related targets for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request approval by the Board of Directors regarding the adjustments to the articles of association relating to remuneration; and</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to prepare the Compensation Report and submit it to the Board of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19"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30 Vergütungsausschuss</w:t>
            </w:r>
          </w:p>
          <w:p>
            <w:pPr>
              <w:pStyle w:val="TableContents"/>
              <w:bidi w:val="0"/>
              <w:spacing w:before="0" w:after="120"/>
              <w:jc w:val="both"/>
              <w:rPr>
                <w:rFonts w:ascii="Times New Roman" w:hAnsi="Times New Roman"/>
                <w:sz w:val="20"/>
              </w:rPr>
            </w:pPr>
            <w:r>
              <w:rPr>
                <w:rFonts w:ascii="Calibri Light;sans-serif" w:hAnsi="Calibri Light;sans-serif"/>
                <w:color w:val="000000"/>
                <w:sz w:val="20"/>
              </w:rPr>
              <w:t>Der Vergütungsausschuss umfasst mindestens 2 Mitglieder. Die Mitglieder des Vergütungsausschusses werden jährlich von der ordentlichen Generalversammlung aus den Mitgliedern des Verwaltungsrats für die Dauer von einem Jahr bis zur nächsten ordentlichen Generalversammlung einzeln gewählt. Wiederwahl ist zulässig. Der Vergütungsausschuss hat folgende Aufgaben:</w:t>
            </w:r>
            <w:r>
              <w:rPr>
                <w:rFonts w:ascii="Times New Roman" w:hAnsi="Times New Roman"/>
                <w:color w:val="000000"/>
                <w:sz w:val="20"/>
              </w:rPr>
              <w:t xml:space="preserv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Ausarbeiten der Grundsätze betreffend Vergütung an den Verwaltungsrat und an die Geschäftsleitung und Vorlegen derselben zur Genehmigung durch den Verwaltungsrat;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zur Unterbreitung an die Generalversammlung betreffend Gesamtvergütung des Verwaltungsrats und der Geschäftsleitung;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Antragstellung an den Verwaltungsrat betreffend individuelle Vergütung der Verwaltungsratsmitglieder und der Mitglieder der Geschäftsleitung unter Vorbehalt und im Rahmen der Höhe der Gesamtvergütung;</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hinsichtlich der für die Geschäftsleitung vergütungsrelevanten Ziele;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betreffend Anpassung der Statuten hinsichtlich des Vergütungssystems;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Entwurf des Vergütungsberichts und Unterbreitung des Vergütungsberichts an den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32</w:t>
      </w:r>
    </w:p>
    <w:tbl>
      <w:tblPr>
        <w:tblW w:w="10205" w:type="dxa"/>
        <w:jc w:val="left"/>
        <w:tblInd w:w="0" w:type="dxa"/>
        <w:tblLayout w:type="fixed"/>
        <w:tblCellMar>
          <w:top w:w="28" w:type="dxa"/>
          <w:left w:w="28" w:type="dxa"/>
          <w:bottom w:w="28" w:type="dxa"/>
          <w:right w:w="28" w:type="dxa"/>
        </w:tblCellMar>
      </w:tblPr>
      <w:tblGrid>
        <w:gridCol w:w="4317"/>
        <w:gridCol w:w="251"/>
        <w:gridCol w:w="5637"/>
      </w:tblGrid>
      <w:tr>
        <w:trPr/>
        <w:tc>
          <w:tcPr>
            <w:tcW w:w="43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37"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317"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Directors.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set out any further duties and responsibilities vested on the Compensation Committee in the Company's organizational regulations.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3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kann weitere Aufgaben und Zuständigkeiten des Vergütungsausschusses im Organisationsreglement vorsehen.</w:t>
            </w:r>
          </w:p>
        </w:tc>
      </w:tr>
      <w:tr>
        <w:trPr/>
        <w:tc>
          <w:tcPr>
            <w:tcW w:w="4317"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31 Indemnification</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37"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b/>
                <w:color w:val="000000"/>
                <w:sz w:val="20"/>
              </w:rPr>
              <w:t>Artikel 31 Schadloshaltung</w:t>
            </w:r>
            <w:r>
              <w:rPr>
                <w:rFonts w:ascii="Calibri Light;sans-serif" w:hAnsi="Calibri Light;sans-serif"/>
                <w:color w:val="000000"/>
                <w:sz w:val="20"/>
              </w:rPr>
              <w:t>.</w:t>
            </w:r>
          </w:p>
        </w:tc>
      </w:tr>
      <w:tr>
        <w:trPr/>
        <w:tc>
          <w:tcPr>
            <w:tcW w:w="431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To the extent not included in insurance cover-age or paid by third parties, the Company shall indemnify and hold harmless, to the extent permitted by law, the existing and former members of the board of directors, the executive committee, and their heirs, executors and administrators, out of the assets of the Company from and against all threatened, pending or completed actions, suits or proceedings – whether civil, criminal, administrative or investigative – and all costs, charges, losses, damages, and expenses which they or any of them, their heirs, executors or administrators, shall or may incur or sustain by or by reason of any actual or alleged actions, consents or omissions in or about the execution of their du-ty, or alleged duty, or by reason of the fact that he/she is or was a member of the board of di-rectors or executive committee of the Company or the board of directors (or equivalent corporate body) or the management of one of its subsidiaries, or, while serving as a member of the board of directors or executive committee of the Company, is or was serving at the re-quest of the Company as a director, member of the executive committee,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3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Calibri Light;sans-serif" w:hAnsi="Calibri Light;sans-serif"/>
                <w:color w:val="000000"/>
                <w:sz w:val="20"/>
              </w:rPr>
              <w:t>Soweit nicht durch Versicherungen gedeckt oder von Dritten bezahlt, hält die Gesellschaft soweit gesetzlich zulässig, die gegenwärtigen und bisherigen Mitglieder des Verwaltungsrates und der Geschäftsleitung sowie deren Erben, Testamentsvollstrecker und Verwalter aus dem Vermögen der Gesellschaft von allen angedrohten, hängigen, und abgeschlossenen Klagen, Prozessen oder Verfahren – ob zivil-, straf-, verwaltungs- oder untersuchungsrechtlich – schadlos, sowie von allen Kosten, Gebühren, Verlusten, Schäden und Ausgaben, die ihnen oder einem/einer von ihnen, ihren Erben, Testamentsvollstreckern oder Verwaltern durch oder aufgrund von tatsächlichen oder vermeintlichen Handlungen, Zustimmungen oder Unterlassungen im Zusammenhang mit der Ausübung ihrer Pflicht oder vermeintlichen Pflicht oder aufgrund der Tatsache, dass er/sie ein Mitglied des Verwaltungsrates oder der Geschäftsleitung der Gesellschaft oder des Verwaltungsrates (oder eines gleichwertigen Gesellschaftsorgans) oder der Geschäftsleitung einer ihrer Konzerngesellschaften ist oder war, oder dass er/sie während seiner/ihrer Tätigkeit als Mitglied des Verwaltungsrates oder der Geschäftsleitung der Gesellschaft, auf Ersuchen der Gesellschaft, als Mitglied des Verwaltungsrates oder der Geschäftsleitung, Angestellter oder Beauftragter einer anderen Kapitalgesellschaft, Personengesellschaft, eines Joint Ventures, eines Trusts oder eines anderen Unternehmens tätig ist oder war, entstanden sind, entstehen oder entstehen könnten, jedoch unter der Voraussetzung, dass sich diese Schadloshaltung nicht auf eine Angelegenheit erstreckt, in der eine der genannten Personen gemäss einem rechtskräftigen Urteil oder Beschluss eines Gerichts oder einer zuständigen Regierungs- oder Verwaltungsbehörde, gegen den kein Rechtsmittel eingelegt werden kann, eine vorsätzliche oder grobfahrlässige Verletzung ihrer gesetzlichen Pflichten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33</w:t>
      </w:r>
    </w:p>
    <w:tbl>
      <w:tblPr>
        <w:tblW w:w="10205" w:type="dxa"/>
        <w:jc w:val="left"/>
        <w:tblInd w:w="0" w:type="dxa"/>
        <w:tblLayout w:type="fixed"/>
        <w:tblCellMar>
          <w:top w:w="28" w:type="dxa"/>
          <w:left w:w="28" w:type="dxa"/>
          <w:bottom w:w="28" w:type="dxa"/>
          <w:right w:w="28" w:type="dxa"/>
        </w:tblCellMar>
      </w:tblPr>
      <w:tblGrid>
        <w:gridCol w:w="3904"/>
        <w:gridCol w:w="1041"/>
        <w:gridCol w:w="5260"/>
      </w:tblGrid>
      <w:tr>
        <w:trPr/>
        <w:tc>
          <w:tcPr>
            <w:tcW w:w="39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5260" w:type="dxa"/>
            <w:tcBorders/>
            <w:vAlign w:val="center"/>
          </w:tcPr>
          <w:p>
            <w:pPr>
              <w:pStyle w:val="TableContents"/>
              <w:bidi w:val="0"/>
              <w:spacing w:before="0" w:after="283"/>
              <w:jc w:val="left"/>
              <w:rPr>
                <w:sz w:val="4"/>
                <w:szCs w:val="4"/>
              </w:rPr>
            </w:pPr>
            <w:r>
              <w:rPr>
                <w:sz w:val="4"/>
                <w:szCs w:val="4"/>
              </w:rPr>
            </w:r>
          </w:p>
        </w:tc>
      </w:tr>
      <w:tr>
        <w:trPr/>
        <w:tc>
          <w:tcPr>
            <w:tcW w:w="3904"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or grossly negligent breach of his statutory duties as a member of the board of directors or executive committee.</w:t>
            </w:r>
          </w:p>
        </w:tc>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0"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als Mitglied des Verwaltungsrates oder der Geschäftsleitung begangen hat.</w:t>
            </w:r>
          </w:p>
        </w:tc>
      </w:tr>
      <w:tr>
        <w:trPr/>
        <w:tc>
          <w:tcPr>
            <w:tcW w:w="390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Without limiting the foregoing paragraph of this article 31, the Company shall advance costs and expenses indemnifiable thereunder to the existing and former members of the board of directors and executive committee to the ex-tent not included in insurance coverage or advanced by third parties.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tc>
        <w:tc>
          <w:tcPr>
            <w:tcW w:w="1041" w:type="dxa"/>
            <w:tcBorders/>
            <w:tcMar>
              <w:top w:w="0" w:type="dxa"/>
              <w:left w:w="0" w:type="dxa"/>
              <w:bottom w:w="0" w:type="dxa"/>
              <w:right w:w="0" w:type="dxa"/>
            </w:tcMar>
            <w:vAlign w:val="center"/>
          </w:tcPr>
          <w:p>
            <w:pPr>
              <w:pStyle w:val="TableContents"/>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Ohne den vorstehenden Absatz dieses Artikels 31 einzuschränken, hat die Gesellschaft den gegenwärtigen und ehemaligen Mitgliedern des Verwaltungsrates und der Geschäftsleitung die Kosten und Auslagen zu erstatten, die nach diesem Artikel erstattungsfähig sind, soweit sie nicht durch Versicherungen gedeckt sind oder von Dritten vorab erstattet werden. Die Gesellschaft kann jedoch diese vorausbezahlten Konten zurückfordern, wenn eine der genannten Personen in einem rechtskräftigen Urteil oder Beschluss eines Gerichts oder einer zu-ständigen Regierungs- oder Verwaltungsbehörde, gegen das kein Rechtsmittel eingelegt werden kann, wegen vorsätzlicher oder grob-fahrlässiger Verletzung ihrer gesetzlichen Pflichten als Mitglied des Verwaltungsrates oder der Geschäftsleitung verurteilt wird.</w:t>
            </w:r>
          </w:p>
        </w:tc>
      </w:tr>
      <w:tr>
        <w:trPr/>
        <w:tc>
          <w:tcPr>
            <w:tcW w:w="3904"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VI. Auditors</w:t>
            </w:r>
          </w:p>
        </w:tc>
        <w:tc>
          <w:tcPr>
            <w:tcW w:w="1041"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260"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VI. Revisionsstelle</w:t>
            </w:r>
          </w:p>
        </w:tc>
      </w:tr>
      <w:tr>
        <w:trPr/>
        <w:tc>
          <w:tcPr>
            <w:tcW w:w="390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32 Election, Term</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The General Meeting shall elect one or more accountants as its Auditors in terms of articles 727 et seq. CO every year with the rights and duties determined by law.</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32 Wahl, Amtsdauer</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Generalversammlung wählt jedes Jahr eine oder mehrere natürliche oder juristische Personen als Revisionsstelle im Sinne von Artikeln 727 ff. OR mit den im Gesetz festgehaltenen Rechten und Pflichten.</w:t>
            </w:r>
          </w:p>
        </w:tc>
      </w:tr>
      <w:tr>
        <w:trPr/>
        <w:tc>
          <w:tcPr>
            <w:tcW w:w="390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General Meeting may appoint Special Auditors for a term of up to three years who provide the attestations required for capital increases.</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Generalversammlung kann für die Dauer von bis zu drei Jahren Sonderrevisoren bestimmen, welche die bei Kapitalerhöhungen erforderlichen Bescheinigungen erbringen.</w:t>
            </w:r>
          </w:p>
        </w:tc>
      </w:tr>
      <w:tr>
        <w:trPr/>
        <w:tc>
          <w:tcPr>
            <w:tcW w:w="390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33 Duties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Auditors shall perform their duties to audit and report whether the accounting, the annual accounts and the proposal regarding allocation of profits is in accordance with law and the articles of association.</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33 Aufgaben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Revisionsstelle prüft, ob die Buchführung und die Jahresrechnung sowie der Antrag über die Verwendung des Bilanzgewinns Gesetz und Statuten entsprechen.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34</w:t>
      </w:r>
    </w:p>
    <w:tbl>
      <w:tblPr>
        <w:tblW w:w="10205" w:type="dxa"/>
        <w:jc w:val="left"/>
        <w:tblInd w:w="0" w:type="dxa"/>
        <w:tblLayout w:type="fixed"/>
        <w:tblCellMar>
          <w:top w:w="28" w:type="dxa"/>
          <w:left w:w="28" w:type="dxa"/>
          <w:bottom w:w="28" w:type="dxa"/>
          <w:right w:w="28" w:type="dxa"/>
        </w:tblCellMar>
      </w:tblPr>
      <w:tblGrid>
        <w:gridCol w:w="3914"/>
        <w:gridCol w:w="1608"/>
        <w:gridCol w:w="4683"/>
      </w:tblGrid>
      <w:tr>
        <w:trPr/>
        <w:tc>
          <w:tcPr>
            <w:tcW w:w="391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683" w:type="dxa"/>
            <w:tcBorders/>
            <w:vAlign w:val="center"/>
          </w:tcPr>
          <w:p>
            <w:pPr>
              <w:pStyle w:val="TableContents"/>
              <w:bidi w:val="0"/>
              <w:spacing w:before="0" w:after="283"/>
              <w:ind w:left="0" w:right="0" w:firstLine="790"/>
              <w:jc w:val="left"/>
              <w:rPr>
                <w:sz w:val="4"/>
                <w:szCs w:val="4"/>
              </w:rPr>
            </w:pPr>
            <w:r>
              <w:rPr>
                <w:sz w:val="4"/>
                <w:szCs w:val="4"/>
              </w:rPr>
            </w:r>
          </w:p>
        </w:tc>
      </w:tr>
      <w:tr>
        <w:trPr/>
        <w:tc>
          <w:tcPr>
            <w:tcW w:w="3914" w:type="dxa"/>
            <w:tcBorders/>
            <w:tcMar>
              <w:top w:w="0" w:type="dxa"/>
              <w:left w:w="0" w:type="dxa"/>
              <w:bottom w:w="0" w:type="dxa"/>
              <w:right w:w="0" w:type="dxa"/>
            </w:tcMar>
            <w:vAlign w:val="center"/>
          </w:tcPr>
          <w:p>
            <w:pPr>
              <w:pStyle w:val="Heading1"/>
              <w:bidi w:val="0"/>
              <w:spacing w:before="360" w:after="360"/>
              <w:ind w:left="0" w:right="0" w:firstLine="790"/>
              <w:jc w:val="left"/>
              <w:rPr>
                <w:rFonts w:ascii="Times New Roman" w:hAnsi="Times New Roman"/>
                <w:sz w:val="20"/>
              </w:rPr>
            </w:pPr>
            <w:r>
              <w:rPr>
                <w:rFonts w:ascii="Calibri Light;sans-serif" w:hAnsi="Calibri Light;sans-serif"/>
                <w:b/>
                <w:caps/>
                <w:color w:val="000000"/>
                <w:sz w:val="20"/>
              </w:rPr>
              <w:t>VII. compensation and related provisions</w:t>
            </w:r>
            <w:r>
              <w:rPr>
                <w:rFonts w:ascii="Times New Roman" w:hAnsi="Times New Roman"/>
                <w:caps/>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683"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b/>
                <w:caps/>
                <w:color w:val="000000"/>
                <w:sz w:val="20"/>
              </w:rPr>
            </w:pPr>
            <w:r>
              <w:rPr>
                <w:rFonts w:ascii="Calibri Light;sans-serif" w:hAnsi="Calibri Light;sans-serif"/>
                <w:b/>
                <w:caps/>
                <w:color w:val="000000"/>
                <w:sz w:val="20"/>
              </w:rPr>
              <w:t>vii. Vergütungen und verwandte Bestimmungen</w:t>
            </w:r>
          </w:p>
        </w:tc>
      </w:tr>
      <w:tr>
        <w:trPr/>
        <w:tc>
          <w:tcPr>
            <w:tcW w:w="391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34 Principles of the Compensation of the Board of Directors</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The compensation payable to the members of the Board of Directors comprises, subject to and within the bounds of the approval by the General Meeting of the total compensation, the following elements:</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fixed basic remuneration;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fixed committee fee for work in a committee of the Board of Directors;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lump sum compensation for expenses;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number of options, shares or other equity-linked instruments in the Company, as further outlined in article 43 of the articles of association.</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68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34 Grundsätze der Vergütung für die Mitglieder des Verwaltungsrats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für die Mitglieder des Verwaltungsrats umfasst, unter Vorbehalt der Genehmigung durch die Generalversammlung und im Rahmen der durch diese genehmigten Gesamtvergütung, folgende Elemente:</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 fixes Grundhonorar;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fixe Entschädigung für Tätigkeiten als Mitglied eines Ausschusses des Verwaltungsrats;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eine pauschale Spesenentschädigung;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Anzahl von Optionen, Aktien oder anderen eigenkapitalbasierten Instrumenten der Gesellschaft, gemäss Artikel 43 der Statuten.</w:t>
            </w:r>
          </w:p>
        </w:tc>
      </w:tr>
      <w:tr>
        <w:trPr/>
        <w:tc>
          <w:tcPr>
            <w:tcW w:w="39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compensation is paid in cash and in form of options, shares or other equity-linked instruments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8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Vergütung kann bar und in Form von Optionen, Aktien oder anderen eigenkapitalbasierten Instrumenten der Gesellschaft bezahlt werden. Der Verwaltungsrat oder, soweit an ihn delegiert, der Vergütungsausschuss legen Zuteilungs-, Ausübungs- und Verfallsbedingungen fest. Sie können insbesondere vorsehen, dass aufgrund des Eintritts im Voraus bestimmter Ereignisse, wie eines Kontrollwechsels oder der Beendigung des Arbeits- oder Mandatsverhältnisses, Vesting-, Ausübungs- 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35</w:t>
      </w:r>
    </w:p>
    <w:tbl>
      <w:tblPr>
        <w:tblW w:w="10205" w:type="dxa"/>
        <w:jc w:val="left"/>
        <w:tblInd w:w="0" w:type="dxa"/>
        <w:tblLayout w:type="fixed"/>
        <w:tblCellMar>
          <w:top w:w="28" w:type="dxa"/>
          <w:left w:w="28" w:type="dxa"/>
          <w:bottom w:w="28" w:type="dxa"/>
          <w:right w:w="28" w:type="dxa"/>
        </w:tblCellMar>
      </w:tblPr>
      <w:tblGrid>
        <w:gridCol w:w="3907"/>
        <w:gridCol w:w="1608"/>
        <w:gridCol w:w="4690"/>
      </w:tblGrid>
      <w:tr>
        <w:trPr/>
        <w:tc>
          <w:tcPr>
            <w:tcW w:w="390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690" w:type="dxa"/>
            <w:tcBorders/>
            <w:vAlign w:val="center"/>
          </w:tcPr>
          <w:p>
            <w:pPr>
              <w:pStyle w:val="TableContents"/>
              <w:bidi w:val="0"/>
              <w:spacing w:before="0" w:after="283"/>
              <w:jc w:val="left"/>
              <w:rPr>
                <w:sz w:val="4"/>
                <w:szCs w:val="4"/>
              </w:rPr>
            </w:pPr>
            <w:r>
              <w:rPr>
                <w:sz w:val="4"/>
                <w:szCs w:val="4"/>
              </w:rPr>
            </w:r>
          </w:p>
        </w:tc>
      </w:tr>
      <w:tr>
        <w:trPr/>
        <w:tc>
          <w:tcPr>
            <w:tcW w:w="3907"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shares or by using contingent or authorized share capital.</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9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Vorbehältlich der Genehmigung durch die Generalversammlung, kann den Mitgliedern des Verwaltungsrats eine Entschädigung in bar zu 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 Gunsten der Verwaltungsratsmitglieder genehmigen.</w:t>
            </w:r>
          </w:p>
        </w:tc>
      </w:tr>
      <w:tr>
        <w:trPr/>
        <w:tc>
          <w:tcPr>
            <w:tcW w:w="390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compensation may also be paid for activities in companies that are directly or indirectly controlled by the Company and may be paid by the Company or by a company controlled by 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90"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Vergütung kann auch ausgerichtet werden für Tätigkeiten in Unternehmen, die durch die Gesellschaft direkt oder indirekt kontrolliert werden und kann durch die Gesellschaft oder durch von ihr kontrollierte Unternehmen ausgerichtet werden.</w:t>
            </w:r>
          </w:p>
        </w:tc>
      </w:tr>
      <w:tr>
        <w:trPr/>
        <w:tc>
          <w:tcPr>
            <w:tcW w:w="3907"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35 Principles of the Compensation of the Executive Committee</w:t>
            </w:r>
          </w:p>
          <w:p>
            <w:pPr>
              <w:pStyle w:val="TableContents"/>
              <w:bidi w:val="0"/>
              <w:spacing w:before="0" w:after="120"/>
              <w:ind w:left="0" w:right="0" w:firstLine="1355"/>
              <w:jc w:val="left"/>
              <w:rPr>
                <w:rFonts w:ascii="Times New Roman" w:hAnsi="Times New Roman"/>
                <w:sz w:val="20"/>
              </w:rPr>
            </w:pPr>
            <w:r>
              <w:rPr>
                <w:rFonts w:ascii="Calibri Light;sans-serif" w:hAnsi="Calibri Light;sans-serif"/>
                <w:color w:val="000000"/>
                <w:sz w:val="20"/>
              </w:rPr>
              <w:t>The compensation payable to the members of the Executive Committee is subject to the approval by the General Meeting and comprises the following elements:</w:t>
            </w:r>
            <w:r>
              <w:rPr>
                <w:rFonts w:ascii="Times New Roman" w:hAnsi="Times New Roman"/>
                <w:color w:val="000000"/>
                <w:sz w:val="20"/>
              </w:rPr>
              <w:t xml:space="preserve"> </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fixed remuneration payable in cash;</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performance-related remuneration payable in cash (variable);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number of options, shares or equity-lined instruments in the Company (variable), as further outlined in article 43 of the articles of association.</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690"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35 Grundsätze der Vergütung für die Mitglieder der Geschäftsleitung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für die Mitglieder der Geschäftsleitung ist von der Generalversammlung zu genehmigen und umfasst folgende Elemente:</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fixe Vergütung in bar;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eine erfolgsabhängige Vergütung in bar (variabel);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Anzahl Optionen, Aktien oder anderen eigenkapitalbasierten Instrumenten der Gesellschaft (variabel), gemäss Artikel 43 der Statuten.</w:t>
            </w:r>
          </w:p>
        </w:tc>
      </w:tr>
      <w:tr>
        <w:trPr/>
        <w:tc>
          <w:tcPr>
            <w:tcW w:w="390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9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erfolgsabhängige Vergütung richtet sich nach dem Geschäftserfolg und der individuellen Leistung gemessen nach dem Erreichen bestimmter vordefinierter Ziele über ein Geschäftsjahr. Der Verwaltungsrat definiert jährlich am Anfang jeder Leistungsperiode auf Antrag des Vergütungsausschusses hin die relevanten Ziele und deren Gewichtung. Die Höhe der erfolgsabhängigen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36</w:t>
      </w:r>
    </w:p>
    <w:tbl>
      <w:tblPr>
        <w:tblW w:w="10205" w:type="dxa"/>
        <w:jc w:val="left"/>
        <w:tblInd w:w="0" w:type="dxa"/>
        <w:tblLayout w:type="fixed"/>
        <w:tblCellMar>
          <w:top w:w="28" w:type="dxa"/>
          <w:left w:w="28" w:type="dxa"/>
          <w:bottom w:w="28" w:type="dxa"/>
          <w:right w:w="28" w:type="dxa"/>
        </w:tblCellMar>
      </w:tblPr>
      <w:tblGrid>
        <w:gridCol w:w="3682"/>
        <w:gridCol w:w="1608"/>
        <w:gridCol w:w="4915"/>
      </w:tblGrid>
      <w:tr>
        <w:trPr/>
        <w:tc>
          <w:tcPr>
            <w:tcW w:w="368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15" w:type="dxa"/>
            <w:tcBorders/>
            <w:vAlign w:val="center"/>
          </w:tcPr>
          <w:p>
            <w:pPr>
              <w:pStyle w:val="TableContents"/>
              <w:bidi w:val="0"/>
              <w:spacing w:before="0" w:after="283"/>
              <w:jc w:val="left"/>
              <w:rPr>
                <w:sz w:val="4"/>
                <w:szCs w:val="4"/>
              </w:rPr>
            </w:pPr>
            <w:r>
              <w:rPr>
                <w:sz w:val="4"/>
                <w:szCs w:val="4"/>
              </w:rPr>
            </w:r>
          </w:p>
        </w:tc>
      </w:tr>
      <w:tr>
        <w:trPr/>
        <w:tc>
          <w:tcPr>
            <w:tcW w:w="3682"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business year the decisive targets and their weighting upon proposal by the Compensation Committee. The amount of the performance-related remuneration in cash for each member of the Compensation Committee is determined by the Board of Directors and may not exceed 100% of the respective individual fixed remuneration for the same year.</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Vergütung in bar für das jeweilige Geschäftsleitungsmitglied wird vom Verwaltungsrat festgelegt und darf 100% der im entsprechenden Geschäftsjahr relevanten individuellen, fixen Vergütung nicht überschreiten.</w:t>
            </w:r>
          </w:p>
        </w:tc>
      </w:tr>
      <w:tr>
        <w:trPr/>
        <w:tc>
          <w:tcPr>
            <w:tcW w:w="368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compensation may also be paid for activities in companies that are directly or indirectly controlled by the Company and may be paid by the Company or by a company controlled by 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1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kann auch ausgerichtet werden für Tätigkeiten in Unternehmen, die durch die Gesellschaft direkt oder indirekt kontrolliert werden und kann durch die Gesellschaft oder durch von ihr kontrollierte Unternehmen ausgerichtet werden.</w:t>
            </w:r>
          </w:p>
        </w:tc>
      </w:tr>
      <w:tr>
        <w:trPr/>
        <w:tc>
          <w:tcPr>
            <w:tcW w:w="3682"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36 Compensation for new Members of the Executive Committee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1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36 Vergütungen für neue Mitglieder der Geschäftsleitung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Sofern neue Mitglieder der Geschäftsleitung ernannt werden und ihre Stelle antreten, nachdem die Generalversammlung die 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 betreffende Jahr bereits genehmigten Gesamtvergütung nicht übersteigen. Der Zusatzbetrag darf nur ausgerichtet werden, sofern und soweit die von der Generalversammlung beschlossenen Vergütungsbeträge an die Geschäftsleitungsmitglieder bis zur nächsten ordentlichen Generalversammlung für die Vergütung der neuen Mitglieder nicht ausreicht. Über den verwendeten Zusatzbetrag stimmt die Generalversammlung nicht ab.</w:t>
            </w:r>
          </w:p>
        </w:tc>
      </w:tr>
      <w:tr>
        <w:trPr/>
        <w:tc>
          <w:tcPr>
            <w:tcW w:w="368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This additional overall compensation is understood to include any settlements for any disadvantage suffered as a result of the change of job.</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1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Mit diesem Zusatzbetrag sind allfällige durch ein Geschäftsleitungsmitglied erlittene Nachteile aufgrund Stellenwechsel abgegolten.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37</w:t>
      </w:r>
    </w:p>
    <w:tbl>
      <w:tblPr>
        <w:tblW w:w="10205" w:type="dxa"/>
        <w:jc w:val="left"/>
        <w:tblInd w:w="0" w:type="dxa"/>
        <w:tblLayout w:type="fixed"/>
        <w:tblCellMar>
          <w:top w:w="28" w:type="dxa"/>
          <w:left w:w="28" w:type="dxa"/>
          <w:bottom w:w="28" w:type="dxa"/>
          <w:right w:w="28" w:type="dxa"/>
        </w:tblCellMar>
      </w:tblPr>
      <w:tblGrid>
        <w:gridCol w:w="3711"/>
        <w:gridCol w:w="1608"/>
        <w:gridCol w:w="4886"/>
      </w:tblGrid>
      <w:tr>
        <w:trPr/>
        <w:tc>
          <w:tcPr>
            <w:tcW w:w="371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886" w:type="dxa"/>
            <w:tcBorders/>
            <w:vAlign w:val="center"/>
          </w:tcPr>
          <w:p>
            <w:pPr>
              <w:pStyle w:val="TableContents"/>
              <w:bidi w:val="0"/>
              <w:spacing w:before="0" w:after="283"/>
              <w:jc w:val="left"/>
              <w:rPr>
                <w:sz w:val="4"/>
                <w:szCs w:val="4"/>
              </w:rPr>
            </w:pPr>
            <w:r>
              <w:rPr>
                <w:sz w:val="4"/>
                <w:szCs w:val="4"/>
              </w:rPr>
            </w:r>
          </w:p>
        </w:tc>
      </w:tr>
      <w:tr>
        <w:trPr/>
        <w:tc>
          <w:tcPr>
            <w:tcW w:w="37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37 Expenses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Expenses which are not covered by the lump sum compensation pursuant to the Company's expense regulations shall be reimbursed following presentation of the supporting receipts. This additional remuneration is not subject to a separate vote by the General Meeting.</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37 Spesen</w:t>
            </w:r>
          </w:p>
          <w:p>
            <w:pPr>
              <w:pStyle w:val="TableContents"/>
              <w:bidi w:val="0"/>
              <w:spacing w:before="0" w:after="120"/>
              <w:ind w:left="0" w:right="0" w:firstLine="1357"/>
              <w:jc w:val="left"/>
              <w:rPr>
                <w:rFonts w:ascii="Times New Roman" w:hAnsi="Times New Roman"/>
                <w:sz w:val="20"/>
              </w:rPr>
            </w:pPr>
            <w:r>
              <w:rPr>
                <w:rFonts w:ascii="Calibri Light;sans-serif" w:hAnsi="Calibri Light;sans-serif"/>
                <w:color w:val="000000"/>
                <w:sz w:val="20"/>
              </w:rPr>
              <w:t>Spesen, welche nicht durch die pauschale Spesenentschädigung gemäss Spesenreglement abgedeckt sind, werden nach Vorlage der entsprechenden Belege rückvergütet. Diese Rückvergütung ist von der Generalversammlung nicht zu genehmigen.</w:t>
            </w:r>
            <w:r>
              <w:rPr>
                <w:rFonts w:ascii="Times New Roman" w:hAnsi="Times New Roman"/>
                <w:color w:val="000000"/>
                <w:sz w:val="20"/>
              </w:rPr>
              <w:t xml:space="preserve"> </w:t>
            </w:r>
          </w:p>
        </w:tc>
      </w:tr>
      <w:tr>
        <w:trPr/>
        <w:tc>
          <w:tcPr>
            <w:tcW w:w="3711"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38 Compensation Agreements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Agreements on compensation with members of the Board of Directors may not exceed the term of maximal one year.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38 Verträge über die Vergütung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Verträge, die den Vergütungen für die Mitglieder des Verwaltungsrats zugrunde liegen, sind auf maximal ein Jahr befristet.</w:t>
            </w:r>
          </w:p>
        </w:tc>
      </w:tr>
      <w:tr>
        <w:trPr/>
        <w:tc>
          <w:tcPr>
            <w:tcW w:w="37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Arbeitsverträge der Geschäftsleitungsmitglieder sind grundsätzlich unbefristet, wobei die Kündigungsfrist maximal zwölf Monate betragen darf. Wird ein befristeter Vertrag abgeschlossen, so darf dieser die Dauer von ein Jahr nicht überschreiten.</w:t>
            </w:r>
          </w:p>
        </w:tc>
      </w:tr>
      <w:tr>
        <w:trPr/>
        <w:tc>
          <w:tcPr>
            <w:tcW w:w="3711"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39 Mandates of a Member of the Board of Directors outside the Company</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7 mandates for publicly traded companies pursuant to article 727 para. 1 number 1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8 mandates for companies pursuant to article 727 para. 1 number 2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mandates for companies which do not fulfil the criteria under a) and b) hereunder.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39 Mandate eines Verwaltungsratsmitglieds ausserhalb der Gesellschaft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Ein Mitglied des Verwaltungsrats darf kumulativ maximal folgende Mandate in einem obersten Leitungs- oder Verwaltungsorgan von Rechtseinheiten, die verpflichtet sind, sich ins Handelsregister oder in ein entsprechendes ausländisches Register eintragen zu lassen, übernehmen:</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7 Mandate für Publikumsgesellschaften gemäss Artikel 727 Abs. 1 Ziff. 1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8 Mandate für Gesellschaften gemäss Artikel 727 Abs. 1 Ziff. 2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 für Rechtseinheiten, welche die Kriterien gemäss lit. a) und b) hiervor nicht erfüllen.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38</w:t>
      </w:r>
    </w:p>
    <w:tbl>
      <w:tblPr>
        <w:tblW w:w="10205" w:type="dxa"/>
        <w:jc w:val="left"/>
        <w:tblInd w:w="0" w:type="dxa"/>
        <w:tblLayout w:type="fixed"/>
        <w:tblCellMar>
          <w:top w:w="28" w:type="dxa"/>
          <w:left w:w="28" w:type="dxa"/>
          <w:bottom w:w="28" w:type="dxa"/>
          <w:right w:w="28" w:type="dxa"/>
        </w:tblCellMar>
      </w:tblPr>
      <w:tblGrid>
        <w:gridCol w:w="3547"/>
        <w:gridCol w:w="1608"/>
        <w:gridCol w:w="5050"/>
      </w:tblGrid>
      <w:tr>
        <w:trPr/>
        <w:tc>
          <w:tcPr>
            <w:tcW w:w="354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050" w:type="dxa"/>
            <w:tcBorders/>
            <w:vAlign w:val="center"/>
          </w:tcPr>
          <w:p>
            <w:pPr>
              <w:pStyle w:val="TableContents"/>
              <w:bidi w:val="0"/>
              <w:spacing w:before="0" w:after="283"/>
              <w:jc w:val="left"/>
              <w:rPr>
                <w:sz w:val="4"/>
                <w:szCs w:val="4"/>
              </w:rPr>
            </w:pPr>
            <w:r>
              <w:rPr>
                <w:sz w:val="4"/>
                <w:szCs w:val="4"/>
              </w:rPr>
            </w:r>
          </w:p>
        </w:tc>
      </w:tr>
      <w:tr>
        <w:trPr/>
        <w:tc>
          <w:tcPr>
            <w:tcW w:w="354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Mandates held in several legal entities each operating under the same management or same beneficial owner (group) are deemed to be a single mandate.</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5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Mandate von verschiedenen Rechtseinheiten, welche aber derselben Führung oder derselben wirtschaftlichen Eigentümerin unterstehen (Konzern), gelten als ein Mandat, dürfen aber insgesamt vierzig nicht übersteigen.</w:t>
            </w:r>
          </w:p>
        </w:tc>
      </w:tr>
      <w:tr>
        <w:trPr/>
        <w:tc>
          <w:tcPr>
            <w:tcW w:w="354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a legal entity fulfills several of the above mentioned criteria, it can be freely counted towards any category. The following mandates are excepted from this restrictions: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mandates in legal entities which are controlled by the Company or which control the Company;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honorary mandates in charitable legal entities.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5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Erfüllt eine Rechtseinheit mehrere der vorgenannten Kriterien, kann sie beliebig jeder auf sie zutreffenden Kategorie zugerechnet werden. Folgende Mandate sind von diesen Beschränkungen ausgenommen: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Mandate in Rechtseinheiten, welche von der Gesellschaft kontrolliert werden oder welche die Gesellschaft kontrollieren;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ind w:left="0" w:right="0" w:firstLine="1355"/>
              <w:jc w:val="both"/>
              <w:rPr>
                <w:rFonts w:ascii="Calibri Light;sans-serif" w:hAnsi="Calibri Light;sans-serif"/>
                <w:color w:val="000000"/>
                <w:sz w:val="20"/>
              </w:rPr>
            </w:pPr>
            <w:r>
              <w:rPr>
                <w:rFonts w:ascii="Calibri Light;sans-serif" w:hAnsi="Calibri Light;sans-serif"/>
                <w:color w:val="000000"/>
                <w:sz w:val="20"/>
              </w:rPr>
              <w:t>Ehrenamtliche Mandate in gemeinnützigen Rechtseinheiten.</w:t>
            </w:r>
          </w:p>
        </w:tc>
      </w:tr>
      <w:tr>
        <w:trPr/>
        <w:tc>
          <w:tcPr>
            <w:tcW w:w="3547"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40 Mandates of a Member of the Executive Committee outside the Company</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2 mandates for publicly traded companies pursuant to article 727 para. 1 number 1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3 mandates for companies pursuant to article 727 para. 1 number 2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mandates for companies which do not fulfil the criteria under litera a) and b) hereunder.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050"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0"/>
              </w:rPr>
            </w:pPr>
            <w:r>
              <w:rPr>
                <w:rFonts w:ascii="Calibri Light;sans-serif" w:hAnsi="Calibri Light;sans-serif"/>
                <w:b/>
                <w:color w:val="000000"/>
                <w:sz w:val="20"/>
              </w:rPr>
              <w:t>Artikel 40 Mandate eines Geschäftsleitungsmitglieds ausserhalb der Gesellschaft</w:t>
              <w:br/>
            </w:r>
            <w:r>
              <w:rPr>
                <w:rFonts w:ascii="Times New Roman" w:hAnsi="Times New Roman"/>
                <w:color w:val="000000"/>
                <w:sz w:val="20"/>
              </w:rPr>
              <w:t> </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Jedes Mitglied der Geschäftsleitung darf mit Genehmigung des Verwaltungsrats kumulativ maximal folgende Mandate in einem obersten Leitungs- oder Verwaltungsorgan von Rechtseinheiten, die verpflichtet sind, sich ins Handelsregister oder in ein entsprechendes ausländisches Register eintragen zu lassen, übernehmen:</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2 Mandate für Publikumsgesellschaften gemäss Artikel 727 Abs. 1 Ziff. 1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3 Mandate für Gesellschaften gemäss Artikel 727 Abs. 1 Ziff. 2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 für Rechtseinheiten, welche die Kriterien gemäss lit. a) und b) hiervor nicht erfüllen.</w:t>
            </w:r>
          </w:p>
        </w:tc>
      </w:tr>
      <w:tr>
        <w:trPr/>
        <w:tc>
          <w:tcPr>
            <w:tcW w:w="354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Mandates held in several legal entities each operating under the same management or same beneficial owner</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5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Mandate von verschiedenen Rechtseinheiten, welche aber derselben Führung oder derselben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39</w:t>
      </w:r>
    </w:p>
    <w:tbl>
      <w:tblPr>
        <w:tblW w:w="10205" w:type="dxa"/>
        <w:jc w:val="left"/>
        <w:tblInd w:w="0" w:type="dxa"/>
        <w:tblLayout w:type="fixed"/>
        <w:tblCellMar>
          <w:top w:w="28" w:type="dxa"/>
          <w:left w:w="28" w:type="dxa"/>
          <w:bottom w:w="28" w:type="dxa"/>
          <w:right w:w="28" w:type="dxa"/>
        </w:tblCellMar>
      </w:tblPr>
      <w:tblGrid>
        <w:gridCol w:w="3741"/>
        <w:gridCol w:w="251"/>
        <w:gridCol w:w="6213"/>
      </w:tblGrid>
      <w:tr>
        <w:trPr/>
        <w:tc>
          <w:tcPr>
            <w:tcW w:w="37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13" w:type="dxa"/>
            <w:tcBorders/>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(group) are deemed to be a single mandate.</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wirtschaftlichen Eigentümerin unterstehen (Konzern), gelten als ein Mandat.</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a legal entity fulfills several of the above mentioned criteria, it can be freely counted towards any category. The following mandates are excepted from this restrictions: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mandates in legal entities which are controlled by the Company or which control the Company;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honorary mandates in charitable legal entities.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Erfüllt eine Rechtseinheit mehrere der vorgenannten Kriterien, kann sie beliebig jeder auf sie zutreffenden Kategorie zugerechnet werden. Folgende Mandate sind von diesen Beschränkungen ausgenommen: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Mandate in Rechtseinheiten, welche von der Gesellschaft kontrolliert werden oder welche die Gesellschaft kontrollieren;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Ehrenamtliche Mandate in gemeinnützigen Rechtseinheiten.</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b/>
                <w:color w:val="000000"/>
                <w:sz w:val="20"/>
              </w:rPr>
              <w:t>Article 41 Loans and Credits</w:t>
            </w:r>
            <w:r>
              <w:rPr>
                <w:rFonts w:ascii="Times New Roman" w:hAnsi="Times New Roman"/>
                <w:color w:val="000000"/>
                <w:sz w:val="20"/>
              </w:rPr>
              <w:t xml:space="preserve">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defence of third-party liability claims permitted by article 31.</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b/>
                <w:color w:val="000000"/>
                <w:sz w:val="20"/>
              </w:rPr>
              <w:t>Artikel 41 Darlehen und Kredite</w:t>
            </w:r>
            <w:r>
              <w:rPr>
                <w:rFonts w:ascii="Times New Roman" w:hAnsi="Times New Roman"/>
                <w:color w:val="000000"/>
                <w:sz w:val="20"/>
              </w:rPr>
              <w:t xml:space="preserve">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Den Mitgliedern des Verwaltungsrats und der Geschäftsleitung dürfen keine Darlehen, Kredite oder Sicherheiten gewährt werden. Ausnahme davon bilden Vorschusszahlungen über einen Betrag von maximal CHF 500'000 pro Person für Anwalts-, Gerichts- und ähnliche Kosten zur Abwehr von Verantwortlichkeitsansprüchen, sofern zulässig nach Artikel 31.</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42 Pension Funds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42 Pensionskasse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Gesellschaft leistet für die Mitglieder des Verwaltungsrats die gesetzlichen Arbeitgebersozialversicherungsbeiträge. Abgesehen davon richtet die Gesellschaft keine Beiträge an die Pensionskasse oder andere Vorsorgeeinrichtungen für die Mitglieder des Verwaltungsrats aus. Solche Beiträge können ausnahmsweise auf Antrag des Vergütungsausschusses und nach Genehmigung der Generalversammlung ausgerichtet werden.</w:t>
            </w:r>
          </w:p>
        </w:tc>
      </w:tr>
      <w:tr>
        <w:trPr/>
        <w:tc>
          <w:tcPr>
            <w:tcW w:w="37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Members of the Executive Committee participate in the Company's pension plans (the Company's pension fund and the management pension plan). The pension plans conform to the legal requirements (BVG). For members of the Executive Committee, the insured income</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Mitglieder der Geschäftsleitung partizipieren am Pensionsplan der Gesellschaft (Pensionskasse sowie Management Pensionsplan). Der Pensionsplan hat den gesetzlichen Bestimmungen (BVG) zu entsprechen. Das versicherte Einkommen der Mitglieder der Geschäftsleitung entspricht jeweils dem Betrag der fixen Vergütung zuzüglich 50%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40</w:t>
      </w:r>
    </w:p>
    <w:tbl>
      <w:tblPr>
        <w:tblW w:w="10205" w:type="dxa"/>
        <w:jc w:val="left"/>
        <w:tblInd w:w="0" w:type="dxa"/>
        <w:tblLayout w:type="fixed"/>
        <w:tblCellMar>
          <w:top w:w="28" w:type="dxa"/>
          <w:left w:w="28" w:type="dxa"/>
          <w:bottom w:w="28" w:type="dxa"/>
          <w:right w:w="28" w:type="dxa"/>
        </w:tblCellMar>
      </w:tblPr>
      <w:tblGrid>
        <w:gridCol w:w="4481"/>
        <w:gridCol w:w="251"/>
        <w:gridCol w:w="5473"/>
      </w:tblGrid>
      <w:tr>
        <w:trPr/>
        <w:tc>
          <w:tcPr>
            <w:tcW w:w="44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3" w:type="dxa"/>
            <w:tcBorders/>
            <w:vAlign w:val="center"/>
          </w:tcPr>
          <w:p>
            <w:pPr>
              <w:pStyle w:val="TableContents"/>
              <w:bidi w:val="0"/>
              <w:spacing w:before="0" w:after="283"/>
              <w:jc w:val="left"/>
              <w:rPr>
                <w:sz w:val="4"/>
                <w:szCs w:val="4"/>
              </w:rPr>
            </w:pPr>
            <w:r>
              <w:rPr>
                <w:sz w:val="4"/>
                <w:szCs w:val="4"/>
              </w:rPr>
            </w:r>
          </w:p>
        </w:tc>
      </w:tr>
      <w:tr>
        <w:trPr/>
        <w:tc>
          <w:tcPr>
            <w:tcW w:w="448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is defined as the fixed remuneration plus 50% of the target performance-related remuneration, up to the legal maximum. Equity-linked income components are not included.</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erfolgsabhängigen Vergütung bis zum gesetzlichen Maximum. Aktienbezogene Vergütungen werden nicht berücksichtigt.</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zugunsten der Geschäftsleitungsmitglieder und im Rahmen der von der Generalversammlung genehmigten Gesamtvergütungen zusätzliche Einkäufe in die Pensionskasse tätigen, um Nachteile aufgrund von Stellenwechsel auszugleichen oder zugunsten zusätzlicher Rentenansprüche. In diesem Zusammenhang kann die Gesellschaft Lebensversicherungen zugunsten der Mitglieder der Geschäftsleitung abschliessen und die Versicherungsprämien vollumfänglich oder teilweise zahlen.</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Upon retirement, the Company may also grant members of the Executive Committee a bridging pension to cover the period between early retirement at 62 and the ordinary age of retirement, if such bridging pension does not exceed 100% of the total annual compensation of the respective member last paid.</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ihren Geschäftsleitungsmitgliedern eine Überbrückungsrente zusichern, um die Zeitdauer zwischen einer Frühpensionierung ab dem 62. Altersjahr und dem ordentlichen Pensionsalter abzudecken, soweit eine solche Überbrückungsrente 100% der letztmalig an dieses Mitglied bezahlte Jahresvergütung nicht übersteigt.</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43 Option and Share Plans</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Under the Company's Option Plan, the Board of Directors, upon proposal of the Compensation Committee, allocates the participating members of the Executive Committee and the Board of Directors a fixed number of options, shares or other equity-linked instruments with a vesting for a period to be determined by the Board of Directors (the vesting period). At the end of the vesting period, participants in the Option Plan are entitled to exercise the options granted against payment of the strike price. These options to acquire shares in the Company or allocated shares or other equity-linked instruments are subject to the basic principles set out in the following:</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43 Options- und Aktienpläne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Gemäss dem Optionsplan der Gesellschaft, teilt der Verwaltungsrat auf Antrag des Vergütungsausschusses den Mitgliedern der Geschäftsleitung und des Verwaltungsrats eine bestimmte Anzahl Optionen, Aktien oder anderen eigenkapitalbasierten Instrumenten zu, welche einer durch den Verwaltungsrat festzulegenden Sperrfrist unterliegen. Am Optionsplan partizipierende Mitglieder sind nach Ablauf der Sperrfrist berechtigt, die gewährten Optionen gegen Bezahlung des Ausübungspreises auszuüben. Die Optionen, welche zum Erwerb von Aktien an der Gesellschaft berechtigen, bzw. zugeteilten Aktien oder anderen eigenkapitalbasierten Instrumenten unterliegen den folgenden Grundsätzen:</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Es liegt im freien Ermessen des Verwaltungsrats, ob und wem Optionen, Aktien oder anderen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41</w:t>
      </w:r>
    </w:p>
    <w:tbl>
      <w:tblPr>
        <w:tblW w:w="10205" w:type="dxa"/>
        <w:jc w:val="left"/>
        <w:tblInd w:w="0" w:type="dxa"/>
        <w:tblLayout w:type="fixed"/>
        <w:tblCellMar>
          <w:top w:w="28" w:type="dxa"/>
          <w:left w:w="28" w:type="dxa"/>
          <w:bottom w:w="28" w:type="dxa"/>
          <w:right w:w="28" w:type="dxa"/>
        </w:tblCellMar>
      </w:tblPr>
      <w:tblGrid>
        <w:gridCol w:w="4250"/>
        <w:gridCol w:w="650"/>
        <w:gridCol w:w="5305"/>
      </w:tblGrid>
      <w:tr>
        <w:trPr/>
        <w:tc>
          <w:tcPr>
            <w:tcW w:w="42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305"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250"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it is the sole discretion of the Board of Directors to decide whether to allocate options, shares and other equity-linked instruments and to whom;</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year, the Board of Directors, upon proposal of the Compensation Committee, stipulates the number of options and shares to be allocated, the date of allocation and the strike price;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option incorporates a non-transferable, pre-emptive, and contingent right to acquire a certain number of Company's shares;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 xml:space="preserve">in the case of a change of control (as defined in the Option Plan) or delisting of the Company's shares, the Board may decide that the vesting period shall end (accelerated vesting) and whether the participating member of the Executive Committee or the Board shall be entitled to exercise the options on a pro rata basis on the day the transaction that led to the change of control or delisting was executed. It is at the sole discretion of the Board of Directors to decide upon proposal of the Compensation Committee whether the objectives have been met; </w:t>
              <w:br/>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pPr>
            <w:r>
              <w:rPr>
                <w:rFonts w:ascii="Calibri Light;sans-serif" w:hAnsi="Calibri Light;sans-serif"/>
                <w:color w:val="000000"/>
                <w:sz w:val="20"/>
              </w:rPr>
              <w:t xml:space="preserve">the individual members of the Executive Committee or the Board of Directors participating in the Option Plan are responsible for paying any taxes or social security contributions for which they are legally liable and for declaring income correctly to the authorities; </w:t>
              <w:br/>
            </w:r>
            <w:r>
              <w:rPr>
                <w:color w:val="000000"/>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it is at the sole discretion of the Board of Directors to decide whether to </w:t>
            </w:r>
          </w:p>
        </w:tc>
        <w:tc>
          <w:tcPr>
            <w:tcW w:w="650"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5305"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eigenkapitalbasierten Instrumenten zugeteilt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Verwaltungsrat bestimmt jährlich auf Antrag des Vergütungsausschusses Anzahl und Datum der Zuteilung sowie Ausübungspreis der Optionen und 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Jede Option begründet ein unübertragbares, bedingtes Bezugsrecht eine bestimmte Anzahl Aktien der Gesellschaft zu erwerben;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Im Falle eines Kontrollwechsels (gemäss Definition im Optionsplan) oder der Dekotierung der Aktien kann der Verwaltungsrat entscheiden, ob die Sperrfrist vorzeitig endet und das teilnehmende Geschäftsleitungsmitglied oder Mitglied des Verwaltungsrat entsprechend berechtigt wird, seine Optionen pro-rata basierend auf dem Stichtag der Transaktion, welche zum Kontrollwechsel geführt hat, oder der Dekotierung der Aktien auszuüben. Der Verwaltungsrat entscheidet nach freiem Ermessen und auf Antrag des Vergütungsausschusses, ob die Ziele in diesem Zusammenhang gegeben sind;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Das jeweilige Mitglied der Geschäftsleitung oder des Verwaltungsrats, welches am Optionsplan teilnimmt, ist selber dafür verantwortlich, dass die vom Empfänger zu bezahlenden Steuern oder Sozialabgaben bezahlt und Einkommen der zuständigen Behörden korrekt gemeldet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Verwaltungsrat entscheidet nach freiem Ermessen über Ergänzungen des Optionsplans im Rahmen der obgenannten Grundsätze oder über dessen Beendigung.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42</w:t>
      </w:r>
    </w:p>
    <w:tbl>
      <w:tblPr>
        <w:tblW w:w="10205" w:type="dxa"/>
        <w:jc w:val="left"/>
        <w:tblInd w:w="0" w:type="dxa"/>
        <w:tblLayout w:type="fixed"/>
        <w:tblCellMar>
          <w:top w:w="28" w:type="dxa"/>
          <w:left w:w="28" w:type="dxa"/>
          <w:bottom w:w="28" w:type="dxa"/>
          <w:right w:w="28" w:type="dxa"/>
        </w:tblCellMar>
      </w:tblPr>
      <w:tblGrid>
        <w:gridCol w:w="4211"/>
        <w:gridCol w:w="1041"/>
        <w:gridCol w:w="4953"/>
      </w:tblGrid>
      <w:tr>
        <w:trPr/>
        <w:tc>
          <w:tcPr>
            <w:tcW w:w="4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953"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211"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supplement the Option Plan within the bounds of the principles set out above or to discontinue it.</w:t>
            </w:r>
          </w:p>
        </w:tc>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The Company may periodically offer shares in the Company to important and long-term employees for a price being at maximum 10% below the average volume-weighted price of the last 30 trading days at the stock exchange. Members of the Board of Directors and the Executive Committee may be included in this programme. The shares acquired thereby shall be blocked for a period of at least 3 years.</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Die Gesellschaft kann periodisch Aktien der Gesellschaft zu einem Preis, der maximal 10% unter dem über 30 Börsentage volumengewichteten durchschnittlichen Kurs an der Börse liegt, an wichtige und langjährige Mitarbeiter abgeben. Die Mitglieder des Verwaltungsrats und der Geschäftsleitung können in dieses Programm eingeschlossen werden. Die so erworbenen Aktien sind für mindestens 3 Jahre gesperrt.</w:t>
            </w:r>
          </w:p>
        </w:tc>
      </w:tr>
      <w:tr>
        <w:trPr/>
        <w:tc>
          <w:tcPr>
            <w:tcW w:w="421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VIII. Fiscal Year, Accounting principles, Allocation of Profits</w:t>
            </w:r>
          </w:p>
        </w:tc>
        <w:tc>
          <w:tcPr>
            <w:tcW w:w="1041"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953"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VIII. Geschäftsjahr, REchnungslegung, Gewinnverteilung</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44 Fiscal Year</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The Board of Directors shall determine the start and the end of the Company's business year.</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44 Geschäftsjahr</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bestimmt, wann das Geschäftsjahr beginnt und wann es endet.</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45 Accounting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annual accounts consist of the profit and loss statement, the balance sheet, the cash flow statement, the annex and the management report, and shall be drawn up pursuant to the provisions of the Swiss Code of Obligations, particularly of articles 958 et seq. CO, and the generally accepted commercial principles and customary rules in that business area.</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45 Rechnungslegung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Jahresrechnung besteht aus der Erfolgsrechnung, der Bilanz, der Geldflussrechnung, dem Anhang und dem Lagebericht und ist gemäss den Vorschriften des Schweizerischen Obligationenrechts, insbesondere Artikeln 958 ff. OR, sowie nach den allgemein anerkannten kaufmännischen und branchenüblichen Grundsätzen zu erstellen.</w:t>
            </w:r>
          </w:p>
        </w:tc>
      </w:tr>
      <w:tr>
        <w:trPr/>
        <w:tc>
          <w:tcPr>
            <w:tcW w:w="42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required by law, the consolidated financial statements shall be drawn in accordance with the provisions of article 962 CO.</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Konzernrechnung wird, sofern gesetzlich vorgeschrieben, gemäss den Bestimmungen von Artikeln 962 OR erstellt.</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46 Allocation of Profits</w:t>
            </w:r>
          </w:p>
          <w:p>
            <w:pPr>
              <w:pStyle w:val="TableContents"/>
              <w:bidi w:val="0"/>
              <w:spacing w:before="0" w:after="283"/>
              <w:jc w:val="left"/>
              <w:rPr>
                <w:rFonts w:ascii="Times New Roman" w:hAnsi="Times New Roman"/>
                <w:sz w:val="20"/>
              </w:rPr>
            </w:pPr>
            <w:r>
              <w:rPr>
                <w:rFonts w:ascii="Calibri Light;sans-serif" w:hAnsi="Calibri Light;sans-serif"/>
                <w:color w:val="000000"/>
                <w:sz w:val="20"/>
              </w:rPr>
              <w:t>Subject to the legal provisions regarding distribution of profits, the profit as shown on the balance sheet shall be allocated by</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46 Gewinnverteilung</w:t>
            </w:r>
          </w:p>
          <w:p>
            <w:pPr>
              <w:pStyle w:val="TableContents"/>
              <w:bidi w:val="0"/>
              <w:spacing w:before="0" w:after="283"/>
              <w:jc w:val="left"/>
              <w:rPr>
                <w:rFonts w:ascii="Times New Roman" w:hAnsi="Times New Roman"/>
                <w:sz w:val="20"/>
              </w:rPr>
            </w:pPr>
            <w:r>
              <w:rPr>
                <w:rFonts w:ascii="Calibri Light;sans-serif" w:hAnsi="Calibri Light;sans-serif"/>
                <w:color w:val="000000"/>
                <w:sz w:val="20"/>
              </w:rPr>
              <w:t>Die Generalversammlung beschliesst nach Entgegennahme der Anträge des Verwaltungsrates und des Berichtes der Revisionsstelle unter Vorbehalt</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43</w:t>
      </w:r>
    </w:p>
    <w:tbl>
      <w:tblPr>
        <w:tblW w:w="10205" w:type="dxa"/>
        <w:jc w:val="left"/>
        <w:tblInd w:w="0" w:type="dxa"/>
        <w:tblLayout w:type="fixed"/>
        <w:tblCellMar>
          <w:top w:w="28" w:type="dxa"/>
          <w:left w:w="28" w:type="dxa"/>
          <w:bottom w:w="28" w:type="dxa"/>
          <w:right w:w="28" w:type="dxa"/>
        </w:tblCellMar>
      </w:tblPr>
      <w:tblGrid>
        <w:gridCol w:w="3676"/>
        <w:gridCol w:w="1608"/>
        <w:gridCol w:w="4921"/>
      </w:tblGrid>
      <w:tr>
        <w:trPr/>
        <w:tc>
          <w:tcPr>
            <w:tcW w:w="367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General Meeting at its discretion after receipt of the proposals of the Board of Directors and the Auditors.</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2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gesetzlichen Bestimmungen über die Verwendung des Bilanzgewinnes und setzt die Dividende und den Zeitpunkt ihrer Auszahlung fest.</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addition to the legal reserves, the General Meeting may create supplemental reserves.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Zusätzlich zu den gesetzlichen Reserven kann die Generalversammlung zusätzliche Reserven bereitstellen.</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Dividends not claimed within five years after the due date shall remain with the Company and be allocated to the general reserves.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ind w:left="0" w:right="0" w:firstLine="790"/>
              <w:jc w:val="left"/>
              <w:rPr>
                <w:rFonts w:ascii="Calibri Light;sans-serif" w:hAnsi="Calibri Light;sans-serif"/>
                <w:color w:val="000000"/>
                <w:sz w:val="20"/>
              </w:rPr>
            </w:pPr>
            <w:r>
              <w:rPr>
                <w:rFonts w:ascii="Calibri Light;sans-serif" w:hAnsi="Calibri Light;sans-serif"/>
                <w:color w:val="000000"/>
                <w:sz w:val="20"/>
              </w:rPr>
              <w:t>Dividenden, die nicht innerhalb von fünf Jahren nach dem Fälligkeitstag beansprucht werden, verbleiben bei der Gesellschaft und werden den allgemeinen Rücklagen zugeführt.</w:t>
            </w:r>
          </w:p>
        </w:tc>
      </w:tr>
      <w:tr>
        <w:trPr/>
        <w:tc>
          <w:tcPr>
            <w:tcW w:w="3676"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Ix. Dissolution and Liquidation</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921"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b/>
                <w:caps/>
                <w:color w:val="000000"/>
                <w:sz w:val="20"/>
              </w:rPr>
            </w:pPr>
            <w:r>
              <w:rPr>
                <w:rFonts w:ascii="Calibri Light;sans-serif" w:hAnsi="Calibri Light;sans-serif"/>
                <w:b/>
                <w:caps/>
                <w:color w:val="000000"/>
                <w:sz w:val="20"/>
              </w:rPr>
              <w:t>ix. Auflösung und Liquidation</w:t>
            </w:r>
          </w:p>
        </w:tc>
      </w:tr>
      <w:tr>
        <w:trPr/>
        <w:tc>
          <w:tcPr>
            <w:tcW w:w="367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47 Dissolution and Liquidation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dissolution and liquidation of the Company shall take place in accordance with the provisions of the Swiss Code of Obligations.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47 Auflösung und Liquidation</w:t>
            </w:r>
          </w:p>
          <w:p>
            <w:pPr>
              <w:pStyle w:val="TableContents"/>
              <w:bidi w:val="0"/>
              <w:spacing w:before="0" w:after="120"/>
              <w:ind w:left="0" w:right="0" w:firstLine="790"/>
              <w:jc w:val="left"/>
              <w:rPr>
                <w:rFonts w:ascii="Calibri Light;sans-serif" w:hAnsi="Calibri Light;sans-serif"/>
                <w:color w:val="000000"/>
                <w:sz w:val="20"/>
              </w:rPr>
            </w:pPr>
            <w:r>
              <w:rPr>
                <w:rFonts w:ascii="Calibri Light;sans-serif" w:hAnsi="Calibri Light;sans-serif"/>
                <w:color w:val="000000"/>
                <w:sz w:val="20"/>
              </w:rPr>
              <w:t>Für die Auflösung und Liquidation der Gesellschaft gelten die Bestimmungen des Schweizerischen Obligationenrechts.</w:t>
            </w:r>
          </w:p>
        </w:tc>
      </w:tr>
      <w:tr>
        <w:trPr/>
        <w:tc>
          <w:tcPr>
            <w:tcW w:w="3676"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X. Notices and Publications</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92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X. Mitteilungen und Bekanntmachungen</w:t>
            </w:r>
          </w:p>
        </w:tc>
      </w:tr>
      <w:tr>
        <w:trPr/>
        <w:tc>
          <w:tcPr>
            <w:tcW w:w="367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48 Notices and Publications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Swiss Official Gazette of Commerce (SOGC) is the official publication medium.</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48 Mitteilungen und Bekanntmachungen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Das Schweizerische Handelsamtsblatt (SHAB) ist das offizielle Publikationsmedium.</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 communications and notices the shareholders shall be made by publication in the Swiss Official Gazette of Commerce or sent by mail or e-mail to the addresses registered in the share register.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Mitteilungen und Bekanntmachungen an die Aktionäre erfolgen durch Publikation im Schweizerischen Handelsamtsblatt oder durch Brief oder E-Mail an die im Aktienbuch verzeichneten Adressen.</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Unless the law provides otherwise, notices shall be given to creditors by publication in the Swiss Official Gazette of Commerce. The Board of Directors may assign further means of communication.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Bekanntmachungen an die Gläubiger erfolgen in den vom Gesetz vorgeschriebenen Fällen durch Veröffentlichung im Schweizerischen Handelsamtsblatt, dem Publikationsorgan der Gesellschaft. Der Verwaltungsrat kann weitere Publikationsmittel bezeichnen.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44</w:t>
      </w:r>
    </w:p>
    <w:tbl>
      <w:tblPr>
        <w:tblW w:w="10205" w:type="dxa"/>
        <w:jc w:val="left"/>
        <w:tblInd w:w="0" w:type="dxa"/>
        <w:tblLayout w:type="fixed"/>
        <w:tblCellMar>
          <w:top w:w="28" w:type="dxa"/>
          <w:left w:w="28" w:type="dxa"/>
          <w:bottom w:w="28" w:type="dxa"/>
          <w:right w:w="28" w:type="dxa"/>
        </w:tblCellMar>
      </w:tblPr>
      <w:tblGrid>
        <w:gridCol w:w="4035"/>
        <w:gridCol w:w="1503"/>
        <w:gridCol w:w="4667"/>
      </w:tblGrid>
      <w:tr>
        <w:trPr/>
        <w:tc>
          <w:tcPr>
            <w:tcW w:w="403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4667" w:type="dxa"/>
            <w:tcBorders/>
            <w:vAlign w:val="center"/>
          </w:tcPr>
          <w:p>
            <w:pPr>
              <w:pStyle w:val="TableContents"/>
              <w:bidi w:val="0"/>
              <w:spacing w:before="0" w:after="283"/>
              <w:ind w:left="0" w:right="0" w:firstLine="790"/>
              <w:jc w:val="left"/>
              <w:rPr>
                <w:sz w:val="4"/>
                <w:szCs w:val="4"/>
              </w:rPr>
            </w:pPr>
            <w:r>
              <w:rPr>
                <w:sz w:val="4"/>
                <w:szCs w:val="4"/>
              </w:rPr>
            </w:r>
          </w:p>
        </w:tc>
      </w:tr>
      <w:tr>
        <w:trPr/>
        <w:tc>
          <w:tcPr>
            <w:tcW w:w="4035"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b/>
                <w:caps/>
                <w:color w:val="000000"/>
                <w:sz w:val="20"/>
              </w:rPr>
            </w:pPr>
            <w:r>
              <w:rPr>
                <w:rFonts w:ascii="Calibri Light;sans-serif" w:hAnsi="Calibri Light;sans-serif"/>
                <w:b/>
                <w:caps/>
                <w:color w:val="000000"/>
                <w:sz w:val="20"/>
              </w:rPr>
              <w:t>XI. QUALIFIED FACTS</w:t>
            </w:r>
          </w:p>
        </w:tc>
        <w:tc>
          <w:tcPr>
            <w:tcW w:w="1503"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667"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b/>
                <w:caps/>
                <w:color w:val="000000"/>
                <w:sz w:val="20"/>
              </w:rPr>
            </w:pPr>
            <w:r>
              <w:rPr>
                <w:rFonts w:ascii="Calibri Light;sans-serif" w:hAnsi="Calibri Light;sans-serif"/>
                <w:b/>
                <w:caps/>
                <w:color w:val="000000"/>
                <w:sz w:val="20"/>
              </w:rPr>
              <w:t>XI. QUALIFIZIERTE TATBESTÄNDE</w:t>
            </w:r>
          </w:p>
        </w:tc>
      </w:tr>
      <w:tr>
        <w:trPr/>
        <w:tc>
          <w:tcPr>
            <w:tcW w:w="403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49 Contribution in Kind</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In connection with the capital increase of 1 March 2023, and in accordance with the contribution in kind agreement as of 1 March 2023 (the Contribution in Kind Agreement), the Company acquires 10'489'371 ordinary shares in the nominal amount of UDS 0.001 each of European Biotech Acquisition Corp with registered seat in George Town, Cayman Islands (EBAC), from Continental Stock Exchange Corp (Contributor), acting in its own name but on behalf of the shareholders of EBAC. The shares of EBAC are acquired for a total value of USD 104'893'710.00. Based on the Contribution in Kind Agreement and as consideration, the Company issues to the Contributor, acting in its own name but for the account of the holders of ordinary shares of EBAC, a total of 10'489'371 fully paid registered shares with a with a par value of CHF 0.01 each.</w:t>
            </w:r>
          </w:p>
        </w:tc>
        <w:tc>
          <w:tcPr>
            <w:tcW w:w="1503" w:type="dxa"/>
            <w:tcBorders/>
            <w:tcMar>
              <w:top w:w="0" w:type="dxa"/>
              <w:left w:w="0" w:type="dxa"/>
              <w:bottom w:w="0" w:type="dxa"/>
              <w:right w:w="0" w:type="dxa"/>
            </w:tcMar>
            <w:vAlign w:val="center"/>
          </w:tcPr>
          <w:p>
            <w:pPr>
              <w:pStyle w:val="TableContents"/>
              <w:bidi w:val="0"/>
              <w:spacing w:before="120" w:after="120"/>
              <w:ind w:left="0" w:right="0" w:firstLine="1357"/>
              <w:jc w:val="both"/>
              <w:rPr/>
            </w:pPr>
            <w:r>
              <w:rPr/>
              <w:t> </w:t>
            </w:r>
          </w:p>
        </w:tc>
        <w:tc>
          <w:tcPr>
            <w:tcW w:w="4667"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49 Sacheinlage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Gesellschaft übernimmt bei der Kapitalerhöhung vom 1. März 2023 gemäss Sacheinlagevertrag vom 1. März 2023 (Sacheinlagevertrag) 10'489'371 Aktien (ordinary shares) im Nennwert von USD 0.001 der European Biotech Acquisition Corp, mit Sitz in George Town, Cayman Islands (EBAC), von Continental Stock Exchange Corp (Einlegerin), handelnd im eigenen Namen aber auf Rechnung der Aktionäre der EBAC. Die Aktien der EBAC werden zu einem Übernahmewert von insgesamt USD 104'893'710.00 übernommen. Im Einklang mit dem Sacheinlagevertrag weist die Gesellschaft als Gegenleistung der Einlegerin, handelnd im eigenen Namen aber auf Rechnung der Aktionäre der EBAC, insgesamt 10'489'371 voll einbezahlte Namenaktien mit einem Nennwert von je CHF 0.01 der Gesellschaft zu.</w:t>
            </w:r>
          </w:p>
        </w:tc>
      </w:tr>
      <w:tr>
        <w:trPr/>
        <w:tc>
          <w:tcPr>
            <w:tcW w:w="4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connection with the capital increase of 2 March 2023, and in accordance with the contribution in kind agreement as of 2 March 2023 (the Contribution in Kind Agreement), the Company acquires</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3'306'771 registered shares (Common Shares)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1'623'793 registered shares series A (Preferred Shares Series A)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2'486'188 registered shares series B1 (Preferred Shares Series B1)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1'675'474 registered shares series B2 (Preferred Shares Series B2 First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426'378 registered shares series B2 </w:t>
            </w:r>
          </w:p>
        </w:tc>
        <w:tc>
          <w:tcPr>
            <w:tcW w:w="1503" w:type="dxa"/>
            <w:tcBorders/>
            <w:tcMar>
              <w:top w:w="0" w:type="dxa"/>
              <w:left w:w="0" w:type="dxa"/>
              <w:bottom w:w="0" w:type="dxa"/>
              <w:right w:w="0" w:type="dxa"/>
            </w:tcMar>
            <w:vAlign w:val="center"/>
          </w:tcPr>
          <w:p>
            <w:pPr>
              <w:pStyle w:val="TableContents"/>
              <w:bidi w:val="0"/>
              <w:spacing w:before="120" w:after="120"/>
              <w:jc w:val="both"/>
              <w:rPr/>
            </w:pPr>
            <w:r>
              <w:rPr/>
              <w:t> </w:t>
            </w:r>
          </w:p>
        </w:tc>
        <w:tc>
          <w:tcPr>
            <w:tcW w:w="4667"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 xml:space="preserve">Die Gesellschaft übernimmt bei der Kapitalerhöhung vom 2. März 2023 gemäss Sacheinlagevertrag vom 2. März 2023 (Sacheinlagevertrag) </w:t>
              <w:br/>
            </w:r>
            <w:r>
              <w:rPr>
                <w:rFonts w:ascii="Times New Roman" w:hAnsi="Times New Roman"/>
                <w:color w:val="000000"/>
                <w:sz w:val="20"/>
              </w:rPr>
              <w:t>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3'306'771 Namenaktien (Stammaktien) mit einem Nennwert von je CHF 0.10;</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1'623'793 Namenaktien (Vorzugsaktien Serie A) mit einem Nennwert von je CHF 0.10;</w:t>
            </w:r>
            <w:r>
              <w:rPr>
                <w:color w:val="000000"/>
              </w:rPr>
              <w:t xml:space="preserve"> </w:t>
            </w:r>
            <w:r>
              <w:rPr>
                <w:rFonts w:ascii="Calibri Light;sans-serif" w:hAnsi="Calibri Light;sans-serif"/>
                <w:color w:val="000000"/>
                <w:sz w:val="20"/>
              </w:rPr>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2'486'188 Namenaktien (Vorzugsaktien Serie B1) mit einem Nennwert von je CHF 0.10;</w:t>
            </w:r>
            <w:r>
              <w:rPr>
                <w:color w:val="000000"/>
              </w:rPr>
              <w:t xml:space="preserve"> </w:t>
            </w:r>
            <w:r>
              <w:rPr>
                <w:rFonts w:ascii="Calibri Light;sans-serif" w:hAnsi="Calibri Light;sans-serif"/>
                <w:color w:val="000000"/>
                <w:sz w:val="24"/>
              </w:rPr>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1'675'474 Namenaktien (Vorzugsaktien Serie B2 erste Tranche) mit einem Nennwert von je CHF 0.10;</w:t>
              <w:br/>
            </w:r>
            <w:r>
              <w:rPr>
                <w:color w:val="000000"/>
              </w:rPr>
              <w:t> </w:t>
            </w:r>
          </w:p>
          <w:p>
            <w:pPr>
              <w:pStyle w:val="TableContents"/>
              <w:bidi w:val="0"/>
              <w:spacing w:before="0" w:after="120"/>
              <w:jc w:val="both"/>
              <w:rPr>
                <w:color w:val="000000"/>
              </w:rPr>
            </w:pPr>
            <w:r>
              <w:rPr>
                <w:color w:val="000000"/>
              </w:rPr>
              <w:t></w:t>
            </w:r>
          </w:p>
          <w:p>
            <w:pPr>
              <w:pStyle w:val="TableContents"/>
              <w:bidi w:val="0"/>
              <w:spacing w:before="0" w:after="120"/>
              <w:jc w:val="both"/>
              <w:rPr/>
            </w:pPr>
            <w:r>
              <w:rPr>
                <w:rFonts w:ascii="Calibri Light;sans-serif" w:hAnsi="Calibri Light;sans-serif"/>
                <w:color w:val="000000"/>
                <w:sz w:val="20"/>
              </w:rPr>
              <w:t xml:space="preserve">426'378 Namenaktien (Vorzugsaktien Serie B2 zweite Tranche) mit einem Nennwert von je CHF 0.10; </w:t>
            </w:r>
            <w:r>
              <w:rPr>
                <w:rFonts w:ascii="Calibri Light;sans-serif" w:hAnsi="Calibri Light;sans-serif"/>
                <w:color w:val="000000"/>
                <w:sz w:val="24"/>
              </w:rPr>
              <w:br/>
            </w:r>
            <w:r>
              <w:rPr>
                <w:color w:val="000000"/>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45</w:t>
      </w:r>
    </w:p>
    <w:tbl>
      <w:tblPr>
        <w:tblW w:w="10205" w:type="dxa"/>
        <w:jc w:val="left"/>
        <w:tblInd w:w="0" w:type="dxa"/>
        <w:tblLayout w:type="fixed"/>
        <w:tblCellMar>
          <w:top w:w="28" w:type="dxa"/>
          <w:left w:w="28" w:type="dxa"/>
          <w:bottom w:w="28" w:type="dxa"/>
          <w:right w:w="28" w:type="dxa"/>
        </w:tblCellMar>
      </w:tblPr>
      <w:tblGrid>
        <w:gridCol w:w="4561"/>
        <w:gridCol w:w="434"/>
        <w:gridCol w:w="5210"/>
      </w:tblGrid>
      <w:tr>
        <w:trPr/>
        <w:tc>
          <w:tcPr>
            <w:tcW w:w="456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210"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120"/>
              <w:jc w:val="both"/>
              <w:rPr/>
            </w:pPr>
            <w:r>
              <w:rPr>
                <w:rFonts w:ascii="Calibri Light;sans-serif" w:hAnsi="Calibri Light;sans-serif"/>
                <w:color w:val="000000"/>
                <w:sz w:val="20"/>
              </w:rPr>
              <w:t>(Preferred Shares Series B2 Second Tranche) with a nominal value of CHF 0.10 each;</w:t>
            </w:r>
            <w:r>
              <w:rPr>
                <w:color w:val="000000"/>
              </w:rPr>
              <w:t xml:space="preserve">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603'472 registered shares series B2 (Preferred Shares Series B2 Third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5'337'777 registered shares series C 1a (Preferred Shares Series C 1a First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362'036 registered shares series C 1a (Preferred Shares Series C 1a Second Tranche) with a nominal value of CHF 0.10 each</w:t>
            </w:r>
          </w:p>
          <w:p>
            <w:pPr>
              <w:pStyle w:val="TableContents"/>
              <w:bidi w:val="0"/>
              <w:spacing w:before="0" w:after="0"/>
              <w:jc w:val="both"/>
              <w:rPr>
                <w:color w:val="000000"/>
              </w:rPr>
            </w:pPr>
            <w:r>
              <w:rPr>
                <w:color w:val="000000"/>
              </w:rPr>
              <w:t></w:t>
            </w:r>
          </w:p>
          <w:p>
            <w:pPr>
              <w:pStyle w:val="TableContents"/>
              <w:bidi w:val="0"/>
              <w:jc w:val="both"/>
              <w:rPr>
                <w:rFonts w:ascii="Calibri Light;sans-serif" w:hAnsi="Calibri Light;sans-serif"/>
                <w:color w:val="000000"/>
                <w:sz w:val="20"/>
              </w:rPr>
            </w:pPr>
            <w:r>
              <w:rPr>
                <w:rFonts w:ascii="Calibri Light;sans-serif" w:hAnsi="Calibri Light;sans-serif"/>
                <w:color w:val="000000"/>
                <w:sz w:val="20"/>
              </w:rPr>
              <w:t>197'745 registered shares series C 1b (Preferred Shares Series C 1b) with a nominal value of CHF 0.50 each</w:t>
            </w:r>
          </w:p>
          <w:p>
            <w:pPr>
              <w:pStyle w:val="TableContents"/>
              <w:bidi w:val="0"/>
              <w:spacing w:before="0" w:after="120"/>
              <w:ind w:left="0" w:right="0" w:firstLine="288"/>
              <w:jc w:val="left"/>
              <w:rPr>
                <w:rFonts w:ascii="Calibri Light;sans-serif" w:hAnsi="Calibri Light;sans-serif"/>
                <w:color w:val="000000"/>
                <w:sz w:val="20"/>
              </w:rPr>
            </w:pPr>
            <w:r>
              <w:rPr>
                <w:rFonts w:ascii="Calibri Light;sans-serif" w:hAnsi="Calibri Light;sans-serif"/>
                <w:color w:val="000000"/>
                <w:sz w:val="20"/>
              </w:rPr>
              <w:t>of Oculis SA with registered seat in Ecublens (VD), Switzerland, from Continental Stock Exchange Corp (Contributor), acting in its own name but on behalf of the shareholders Oculis SA. The shares of Oculis SA are acquired for a total value of USD 202'770.02 and CHF 37'939.95. Based on the Contribution in Kind Agreement and as consideration, the Company issues to the Contributor, acting in its own name but for the account of the shareholders of Oculis SA, a total of 24'070'997 fully paid registered shares with a with a par value of CHF 0.01.</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Calibri Light;sans-serif" w:hAnsi="Calibri Light;sans-serif"/>
                <w:color w:val="000000"/>
                <w:sz w:val="20"/>
              </w:rPr>
              <w:t xml:space="preserve">603'472 Namenaktien (Vorzugsaktien Serie B2 dritte Tranche) mit einem Nennwert von je CHF 0.10; </w:t>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5'337'777 Namenaktien (Vorzugsaktien Serie C 1a erste Tranche) mit einem Nennwert von je CHF 0.10;</w:t>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362'036 Namenaktien (Vorzugsaktien Serie C 1a zweite Tranche) mit einem Nennwert von je CHF 0.10; sowie</w:t>
            </w:r>
          </w:p>
          <w:p>
            <w:pPr>
              <w:pStyle w:val="TableContents"/>
              <w:bidi w:val="0"/>
              <w:spacing w:before="0" w:after="0"/>
              <w:jc w:val="both"/>
              <w:rPr>
                <w:color w:val="000000"/>
              </w:rPr>
            </w:pPr>
            <w:r>
              <w:rPr>
                <w:color w:val="000000"/>
              </w:rPr>
              <w:t></w:t>
            </w:r>
          </w:p>
          <w:p>
            <w:pPr>
              <w:pStyle w:val="TableContents"/>
              <w:bidi w:val="0"/>
              <w:jc w:val="both"/>
              <w:rPr/>
            </w:pPr>
            <w:r>
              <w:rPr>
                <w:rFonts w:ascii="Calibri Light;sans-serif" w:hAnsi="Calibri Light;sans-serif"/>
                <w:color w:val="000000"/>
                <w:sz w:val="20"/>
              </w:rPr>
              <w:t>197'745 Namenaktien (Vorzugsaktien Serie C 1b) mit einem Nennwert von je CHF 0.50</w:t>
            </w:r>
            <w:r>
              <w:rPr>
                <w:color w:val="000000"/>
              </w:rPr>
              <w:t xml:space="preserve"> </w:t>
            </w:r>
            <w:r>
              <w:rPr>
                <w:rFonts w:ascii="Calibri Light;sans-serif" w:hAnsi="Calibri Light;sans-serif"/>
                <w:color w:val="000000"/>
                <w:sz w:val="24"/>
              </w:rPr>
              <w:br/>
            </w:r>
            <w:r>
              <w:rPr>
                <w:color w:val="000000"/>
              </w:rPr>
              <w:t> </w:t>
            </w:r>
          </w:p>
          <w:p>
            <w:pPr>
              <w:pStyle w:val="TableContents"/>
              <w:bidi w:val="0"/>
              <w:spacing w:before="0" w:after="120"/>
              <w:ind w:left="0" w:right="0" w:firstLine="288"/>
              <w:jc w:val="left"/>
              <w:rPr>
                <w:rFonts w:ascii="Calibri Light;sans-serif" w:hAnsi="Calibri Light;sans-serif"/>
                <w:color w:val="000000"/>
                <w:sz w:val="20"/>
              </w:rPr>
            </w:pPr>
            <w:r>
              <w:rPr>
                <w:rFonts w:ascii="Calibri Light;sans-serif" w:hAnsi="Calibri Light;sans-serif"/>
                <w:color w:val="000000"/>
                <w:sz w:val="20"/>
              </w:rPr>
              <w:t>der Oculis SA mit Sitz in Ecublens (VD), Schweiz, von Continental Stock Exchange Corp (Einlegerin), handelnd im eigenen Namen aber auf Rechnung der Aktionäre der Oculis SA. Die Aktien der Oculis SA werden zu einem Übernahmewert von insgesamt USD 202'770.02 und CHF 37'939.95 übernommen. Im Einklang mit dem Sacheinlagevertrag weist die Gesellschaft als Gegenleistung der Einlegerin, handelnd im eigenen Namen aber auf Rechnung der Aktionäre der Oculis SA, insgesamt 24'070'997 voll einbezahlte Namenaktien mit einem Nennwert von je CHF 0.01 zu.</w:t>
            </w:r>
          </w:p>
        </w:tc>
      </w:tr>
    </w:tbl>
    <w:p>
      <w:pPr>
        <w:pStyle w:val="TextBody"/>
        <w:bidi w:val="0"/>
        <w:jc w:val="both"/>
        <w:rPr/>
      </w:pPr>
      <w:r>
        <w:rPr/>
        <w:t> </w:t>
      </w:r>
    </w:p>
    <w:p>
      <w:pPr>
        <w:pStyle w:val="TextBody"/>
        <w:bidi w:val="0"/>
        <w:jc w:val="both"/>
        <w:rPr>
          <w:rFonts w:ascii="Calibri Light;sans-serif" w:hAnsi="Calibri Light;sans-serif"/>
          <w:color w:val="000000"/>
          <w:sz w:val="20"/>
        </w:rPr>
      </w:pPr>
      <w:r>
        <w:rPr>
          <w:rFonts w:ascii="Calibri Light;sans-serif" w:hAnsi="Calibri Light;sans-serif"/>
          <w:color w:val="000000"/>
          <w:sz w:val="20"/>
        </w:rPr>
        <w:t>Zug, 4 June 2025 Zug, 4. Juni 2025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Verdana">
    <w:altName w:val="sans-serif"/>
    <w:charset w:val="01"/>
    <w:family w:val="auto"/>
    <w:pitch w:val="default"/>
  </w:font>
  <w:font w:name="Calibri Light">
    <w:altName w:val="sans-serif"/>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18517</Words>
  <Characters>110227</Characters>
  <CharactersWithSpaces>128303</CharactersWithSpaces>
  <Paragraphs>1266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