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REPORT OF FOREIGN ISSUER</w:t>
      </w:r>
    </w:p>
    <w:p>
      <w:pPr>
        <w:spacing w:after="0" w:line="8"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100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October 2025</w:t>
      </w:r>
    </w:p>
    <w:p>
      <w:pPr>
        <w:spacing w:after="0" w:line="225"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(Commission File No. 001-41636)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43"/>
          <w:szCs w:val="43"/>
          <w:b w:val="1"/>
          <w:bCs w:val="1"/>
          <w:color w:val="auto"/>
        </w:rPr>
        <w:t>Oculis Holding AG</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Bahnhofstrasse 20</w:t>
      </w:r>
    </w:p>
    <w:p>
      <w:pPr>
        <w:spacing w:after="0" w:line="31"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CH-6300</w:t>
      </w:r>
    </w:p>
    <w:p>
      <w:pPr>
        <w:spacing w:after="0" w:line="9"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Zug, Switzerland</w:t>
      </w:r>
    </w:p>
    <w:p>
      <w:pPr>
        <w:spacing w:after="0" w:line="2"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(Address of registrant’s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tabs>
          <w:tab w:leader="none" w:pos="5400" w:val="left"/>
          <w:tab w:leader="none" w:pos="5580" w:val="left"/>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197485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240665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October 29, 2025, the Registrant notified Leerink Partners LLC (“Leerink Partners”) that it was suspending and terminating the sales agreement prospectus supplement, dated May 8, 2024 (the “ATM Prospectus”), relating to the sale of up to $100 million of the Registrant’s ordinary shares, nominal value CHF 0.01 per share (the “Ordinary Shares”), that may be issued and sold pursuant to the sales agreement, dated May 8, 2024, by and among the Registrant and Leerink Partners (the “Sales Agreement”). As of the date of this report, the Registrant has not sold any Ordinary Shares under the ATM Prospectus. The Registrant will not make any sales of its Ordinary Shares pursuant to the Sales Agreement unless and until a new prospectus, prospectus supplement or registration statement is filed. Other than the termination of the ATM Prospectus, the Sales Agreement remains in full force and effect.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Incorporation by Reference</w:t>
      </w:r>
    </w:p>
    <w:p>
      <w:pPr>
        <w:spacing w:after="0" w:line="119" w:lineRule="exact"/>
        <w:rPr>
          <w:sz w:val="20"/>
          <w:szCs w:val="20"/>
          <w:color w:val="auto"/>
        </w:rPr>
      </w:pPr>
    </w:p>
    <w:p>
      <w:pPr>
        <w:ind w:right="6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contained in this Form 6-K is hereby incorporated by reference into the Registrant’s Registration Statements on Form S-8 (File No. </w:t>
      </w:r>
      <w:hyperlink r:id="rId18">
        <w:r>
          <w:rPr>
            <w:rFonts w:ascii="Times New Roman" w:cs="Times New Roman" w:eastAsia="Times New Roman" w:hAnsi="Times New Roman"/>
            <w:sz w:val="18"/>
            <w:szCs w:val="18"/>
            <w:u w:val="single" w:color="auto"/>
            <w:color w:val="0000EE"/>
          </w:rPr>
          <w:t>333-271938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9">
        <w:r>
          <w:rPr>
            <w:rFonts w:ascii="Times New Roman" w:cs="Times New Roman" w:eastAsia="Times New Roman" w:hAnsi="Times New Roman"/>
            <w:sz w:val="18"/>
            <w:szCs w:val="18"/>
            <w:u w:val="single" w:color="auto"/>
            <w:color w:val="0000EE"/>
          </w:rPr>
          <w:t>333-287806</w:t>
        </w:r>
      </w:hyperlink>
      <w:r>
        <w:rPr>
          <w:rFonts w:ascii="Times New Roman" w:cs="Times New Roman" w:eastAsia="Times New Roman" w:hAnsi="Times New Roman"/>
          <w:sz w:val="18"/>
          <w:szCs w:val="18"/>
          <w:color w:val="auto"/>
        </w:rPr>
        <w:t xml:space="preserve">) and Form F-3 (File Nos. </w:t>
      </w:r>
      <w:hyperlink r:id="rId20">
        <w:r>
          <w:rPr>
            <w:rFonts w:ascii="Times New Roman" w:cs="Times New Roman" w:eastAsia="Times New Roman" w:hAnsi="Times New Roman"/>
            <w:sz w:val="18"/>
            <w:szCs w:val="18"/>
            <w:u w:val="single" w:color="auto"/>
            <w:color w:val="0000EE"/>
          </w:rPr>
          <w:t>333-271063</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333-278409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2">
        <w:r>
          <w:rPr>
            <w:rFonts w:ascii="Times New Roman" w:cs="Times New Roman" w:eastAsia="Times New Roman" w:hAnsi="Times New Roman"/>
            <w:sz w:val="18"/>
            <w:szCs w:val="18"/>
            <w:u w:val="single" w:color="auto"/>
            <w:color w:val="0000EE"/>
          </w:rPr>
          <w:t>333-281798</w:t>
        </w:r>
      </w:hyperlink>
      <w:r>
        <w:rPr>
          <w:rFonts w:ascii="Times New Roman" w:cs="Times New Roman" w:eastAsia="Times New Roman" w:hAnsi="Times New Roman"/>
          <w:sz w:val="18"/>
          <w:szCs w:val="18"/>
          <w:color w:val="auto"/>
        </w:rPr>
        <w:t>).</w:t>
      </w:r>
    </w:p>
    <w:p>
      <w:pPr>
        <w:sectPr>
          <w:pgSz w:w="11900" w:h="16838" w:orient="portrait"/>
          <w:cols w:equalWidth="0" w:num="1">
            <w:col w:w="10940"/>
          </w:cols>
          <w:pgMar w:left="440" w:top="266" w:right="5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4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OCULIS HOLDING AG</w:t>
            </w:r>
          </w:p>
        </w:tc>
      </w:tr>
      <w:tr>
        <w:trPr>
          <w:trHeight w:val="432"/>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29, 2025</w:t>
            </w:r>
          </w:p>
        </w:tc>
        <w:tc>
          <w:tcPr>
            <w:tcW w:w="5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Sylvia Cheung</w:t>
            </w:r>
          </w:p>
        </w:tc>
      </w:tr>
      <w:tr>
        <w:trPr>
          <w:trHeight w:val="191"/>
        </w:trPr>
        <w:tc>
          <w:tcPr>
            <w:tcW w:w="5840" w:type="dxa"/>
            <w:vAlign w:val="bottom"/>
          </w:tcPr>
          <w:p>
            <w:pPr>
              <w:spacing w:after="0"/>
              <w:rPr>
                <w:sz w:val="16"/>
                <w:szCs w:val="16"/>
                <w:color w:val="auto"/>
              </w:rPr>
            </w:pPr>
          </w:p>
        </w:tc>
        <w:tc>
          <w:tcPr>
            <w:tcW w:w="518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Sylvia Cheung</w:t>
            </w:r>
          </w:p>
        </w:tc>
      </w:tr>
      <w:tr>
        <w:trPr>
          <w:trHeight w:val="234"/>
        </w:trPr>
        <w:tc>
          <w:tcPr>
            <w:tcW w:w="5840" w:type="dxa"/>
            <w:vAlign w:val="bottom"/>
          </w:tcPr>
          <w:p>
            <w:pPr>
              <w:spacing w:after="0"/>
              <w:rPr>
                <w:sz w:val="20"/>
                <w:szCs w:val="20"/>
                <w:color w:val="auto"/>
              </w:rPr>
            </w:pPr>
          </w:p>
        </w:tc>
        <w:tc>
          <w:tcPr>
            <w:tcW w:w="51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3" Type="http://schemas.openxmlformats.org/officeDocument/2006/relationships/image" Target="media/image11.png"/><Relationship Id="rId18" Type="http://schemas.openxmlformats.org/officeDocument/2006/relationships/hyperlink" Target="http://www.sec.gov/Archives/edgar/data/1953530/000095017023022212/oculis_ag_s-8_may23.htm" TargetMode="External"/><Relationship Id="rId19" Type="http://schemas.openxmlformats.org/officeDocument/2006/relationships/hyperlink" Target="http://www.sec.gov/Archives/edgar/data/1953530/000119312525135923/d933644ds8.htm" TargetMode="External"/><Relationship Id="rId20" Type="http://schemas.openxmlformats.org/officeDocument/2006/relationships/hyperlink" Target="http://www.sec.gov/Archives/edgar/data/1953530/000095017024038856/f-1_am_on_f-3_april_2024.htm" TargetMode="External"/><Relationship Id="rId21" Type="http://schemas.openxmlformats.org/officeDocument/2006/relationships/hyperlink" Target="http://www.sec.gov/Archives/edgar/data/1953530/000095017024038860/f-3_april_2024.htm" TargetMode="External"/><Relationship Id="rId22" Type="http://schemas.openxmlformats.org/officeDocument/2006/relationships/hyperlink" Target="http://www.sec.gov/Archives/edgar/data/1953530/000095017024101023/f-3_aug_24_-_blackrock_w.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2025-10-29T16:45:44Z</dcterms:created>
  <dcterms:modified xsi:type="dcterms:W3CDTF">2025-10-29T16:45:44Z</dcterms:modified>
</cp:coreProperties>
</file>