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ocs-20260304.htm"/>
      <w:bookmarkStart w:id="1" w:name="ksocs20260304"/>
      <w:bookmarkStart w:id="2" w:name="ocs-20260304.htm"/>
      <w:bookmarkStart w:id="3" w:name="ksocs20260304"/>
      <w:bookmarkEnd w:id="2"/>
      <w:bookmarkEnd w:id="3"/>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filed with the Securities and Exchange Commission on March 4, 2026</w:t>
            </w:r>
          </w:p>
        </w:tc>
      </w:tr>
      <w:tr>
        <w:trPr/>
        <w:tc>
          <w:tcPr>
            <w:tcW w:w="5386" w:type="dxa"/>
            <w:tcBorders>
              <w:bottom w:val="single" w:sz="16"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b/>
                <w:color w:val="000000"/>
                <w:sz w:val="16"/>
              </w:rPr>
              <w:t>Registration No. 333-</w:t>
            </w:r>
            <w:r>
              <w:rPr>
                <w:rFonts w:ascii="Times New Roman" w:hAnsi="Times New Roman"/>
                <w:color w:val="000000"/>
                <w:sz w:val="16"/>
              </w:rPr>
              <w:t xml:space="preserve"> </w:t>
            </w:r>
          </w:p>
        </w:tc>
      </w:tr>
    </w:tbl>
    <w:p>
      <w:pPr>
        <w:pStyle w:val="TextBody"/>
        <w:bidi w:val="0"/>
        <w:jc w:val="left"/>
        <w:rPr/>
      </w:pPr>
      <w:r>
        <w:rPr/>
        <w:t> </w:t>
      </w:r>
    </w:p>
    <w:p>
      <w:pPr>
        <w:pStyle w:val="TextBody"/>
        <w:bidi w:val="0"/>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spacing w:before="40" w:after="40"/>
        <w:jc w:val="center"/>
        <w:rPr/>
      </w:pPr>
      <w:r>
        <w:rPr/>
        <w:t> </w:t>
      </w:r>
    </w:p>
    <w:p>
      <w:pPr>
        <w:pStyle w:val="TextBody"/>
        <w:bidi w:val="0"/>
        <w:jc w:val="center"/>
        <w:rPr>
          <w:rFonts w:ascii="Times New Roman" w:hAnsi="Times New Roman"/>
          <w:b/>
          <w:color w:val="000000"/>
          <w:sz w:val="34"/>
        </w:rPr>
      </w:pPr>
      <w:r>
        <w:rPr>
          <w:rFonts w:ascii="Times New Roman" w:hAnsi="Times New Roman"/>
          <w:b/>
          <w:color w:val="000000"/>
          <w:sz w:val="34"/>
        </w:rPr>
        <w:t>FORM F-3</w:t>
      </w:r>
    </w:p>
    <w:p>
      <w:pPr>
        <w:pStyle w:val="TextBody"/>
        <w:bidi w:val="0"/>
        <w:jc w:val="center"/>
        <w:rPr>
          <w:rFonts w:ascii="Times New Roman" w:hAnsi="Times New Roman"/>
          <w:b/>
          <w:color w:val="000000"/>
          <w:sz w:val="34"/>
        </w:rPr>
      </w:pPr>
      <w:r>
        <w:rPr>
          <w:rFonts w:ascii="Times New Roman" w:hAnsi="Times New Roman"/>
          <w:b/>
          <w:color w:val="000000"/>
          <w:sz w:val="34"/>
        </w:rPr>
        <w:t>REGISTRATION STATEMENT</w:t>
      </w:r>
    </w:p>
    <w:p>
      <w:pPr>
        <w:pStyle w:val="TextBody"/>
        <w:bidi w:val="0"/>
        <w:jc w:val="center"/>
        <w:rPr>
          <w:rFonts w:ascii="Times New Roman" w:hAnsi="Times New Roman"/>
          <w:b/>
          <w:i/>
          <w:color w:val="000000"/>
          <w:sz w:val="20"/>
        </w:rPr>
      </w:pPr>
      <w:r>
        <w:rPr>
          <w:rFonts w:ascii="Times New Roman" w:hAnsi="Times New Roman"/>
          <w:b/>
          <w:i/>
          <w:color w:val="000000"/>
          <w:sz w:val="20"/>
        </w:rPr>
        <w:t>UNDER</w:t>
      </w:r>
    </w:p>
    <w:p>
      <w:pPr>
        <w:pStyle w:val="TextBody"/>
        <w:bidi w:val="0"/>
        <w:jc w:val="center"/>
        <w:rPr>
          <w:rFonts w:ascii="Times New Roman" w:hAnsi="Times New Roman"/>
          <w:b/>
          <w:i/>
          <w:color w:val="000000"/>
          <w:sz w:val="20"/>
        </w:rPr>
      </w:pPr>
      <w:r>
        <w:rPr>
          <w:rFonts w:ascii="Times New Roman" w:hAnsi="Times New Roman"/>
          <w:b/>
          <w:i/>
          <w:color w:val="000000"/>
          <w:sz w:val="20"/>
        </w:rPr>
        <w:t>THE SECURITIES ACT OF 1933</w:t>
      </w:r>
    </w:p>
    <w:p>
      <w:pPr>
        <w:pStyle w:val="TextBody"/>
        <w:pBdr>
          <w:bottom w:val="single" w:sz="4" w:space="1" w:color="000000"/>
        </w:pBdr>
        <w:bidi w:val="0"/>
        <w:spacing w:before="40" w:after="40"/>
        <w:jc w:val="center"/>
        <w:rPr/>
      </w:pPr>
      <w:r>
        <w:rPr/>
        <w:t> </w:t>
      </w:r>
    </w:p>
    <w:p>
      <w:pPr>
        <w:pStyle w:val="TextBody"/>
        <w:bidi w:val="0"/>
        <w:jc w:val="center"/>
        <w:rPr>
          <w:rFonts w:ascii="Times New Roman" w:hAnsi="Times New Roman"/>
          <w:b/>
          <w:color w:val="000000"/>
          <w:sz w:val="42"/>
        </w:rPr>
      </w:pPr>
      <w:r>
        <w:rPr>
          <w:rFonts w:ascii="Times New Roman" w:hAnsi="Times New Roman"/>
          <w:b/>
          <w:color w:val="000000"/>
          <w:sz w:val="42"/>
        </w:rPr>
        <w:t>OCULIS HOLDING AG</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spacing w:before="40" w:after="40"/>
        <w:jc w:val="center"/>
        <w:rPr/>
      </w:pPr>
      <w:r>
        <w:rPr/>
        <w:t> </w:t>
      </w:r>
    </w:p>
    <w:tbl>
      <w:tblPr>
        <w:tblW w:w="4187" w:type="dxa"/>
        <w:jc w:val="left"/>
        <w:tblInd w:w="0" w:type="dxa"/>
        <w:tblLayout w:type="fixed"/>
        <w:tblCellMar>
          <w:top w:w="28" w:type="dxa"/>
          <w:left w:w="28" w:type="dxa"/>
          <w:bottom w:w="28" w:type="dxa"/>
          <w:right w:w="28" w:type="dxa"/>
        </w:tblCellMar>
      </w:tblPr>
      <w:tblGrid>
        <w:gridCol w:w="2371"/>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Switzerland</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 Applicable</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w:t>
              <w:br/>
              <w:t>incorporation or organization)</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Number)</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Bahnhofstrasse 20</w:t>
      </w:r>
    </w:p>
    <w:p>
      <w:pPr>
        <w:pStyle w:val="TextBody"/>
        <w:bidi w:val="0"/>
        <w:jc w:val="center"/>
        <w:rPr>
          <w:rFonts w:ascii="Times New Roman" w:hAnsi="Times New Roman"/>
          <w:b/>
          <w:color w:val="000000"/>
          <w:sz w:val="18"/>
        </w:rPr>
      </w:pPr>
      <w:r>
        <w:rPr>
          <w:rFonts w:ascii="Times New Roman" w:hAnsi="Times New Roman"/>
          <w:b/>
          <w:color w:val="000000"/>
          <w:sz w:val="18"/>
        </w:rPr>
        <w:t>CH-6300</w:t>
      </w:r>
    </w:p>
    <w:p>
      <w:pPr>
        <w:pStyle w:val="TextBody"/>
        <w:bidi w:val="0"/>
        <w:jc w:val="center"/>
        <w:rPr>
          <w:rFonts w:ascii="Times New Roman" w:hAnsi="Times New Roman"/>
          <w:b/>
          <w:color w:val="000000"/>
          <w:sz w:val="18"/>
        </w:rPr>
      </w:pPr>
      <w:r>
        <w:rPr>
          <w:rFonts w:ascii="Times New Roman" w:hAnsi="Times New Roman"/>
          <w:b/>
          <w:color w:val="000000"/>
          <w:sz w:val="18"/>
        </w:rPr>
        <w:t>Zug, Switzerland</w:t>
      </w:r>
    </w:p>
    <w:p>
      <w:pPr>
        <w:pStyle w:val="TextBody"/>
        <w:bidi w:val="0"/>
        <w:jc w:val="center"/>
        <w:rPr>
          <w:rFonts w:ascii="Times New Roman" w:hAnsi="Times New Roman"/>
          <w:b/>
          <w:color w:val="000000"/>
          <w:sz w:val="18"/>
        </w:rPr>
      </w:pPr>
      <w:r>
        <w:rPr>
          <w:rFonts w:ascii="Times New Roman" w:hAnsi="Times New Roman"/>
          <w:b/>
          <w:color w:val="000000"/>
          <w:sz w:val="18"/>
        </w:rPr>
        <w:t>Telephone: +41 41 711 39 60</w:t>
      </w:r>
    </w:p>
    <w:p>
      <w:pPr>
        <w:pStyle w:val="TextBody"/>
        <w:bidi w:val="0"/>
        <w:jc w:val="center"/>
        <w:rPr>
          <w:rFonts w:ascii="Times New Roman" w:hAnsi="Times New Roman"/>
          <w:b/>
          <w:color w:val="000000"/>
          <w:sz w:val="16"/>
        </w:rPr>
      </w:pPr>
      <w:r>
        <w:rPr>
          <w:rFonts w:ascii="Times New Roman" w:hAnsi="Times New Roman"/>
          <w:b/>
          <w:color w:val="000000"/>
          <w:sz w:val="16"/>
        </w:rPr>
        <w:t>(Address, including zip code, and telephone number, including area code, of registrant’s principal executive offices)</w:t>
      </w:r>
    </w:p>
    <w:p>
      <w:pPr>
        <w:pStyle w:val="TextBody"/>
        <w:pBdr>
          <w:bottom w:val="single" w:sz="4" w:space="1" w:color="000000"/>
        </w:pBdr>
        <w:bidi w:val="0"/>
        <w:spacing w:before="40" w:after="40"/>
        <w:jc w:val="center"/>
        <w:rPr/>
      </w:pPr>
      <w:r>
        <w:rPr/>
        <w:t> </w:t>
      </w:r>
    </w:p>
    <w:p>
      <w:pPr>
        <w:pStyle w:val="TextBody"/>
        <w:bidi w:val="0"/>
        <w:spacing w:before="20" w:after="283"/>
        <w:jc w:val="center"/>
        <w:rPr>
          <w:rFonts w:ascii="Times New Roman" w:hAnsi="Times New Roman"/>
          <w:b/>
          <w:color w:val="000000"/>
          <w:sz w:val="18"/>
        </w:rPr>
      </w:pPr>
      <w:r>
        <w:rPr>
          <w:rFonts w:ascii="Times New Roman" w:hAnsi="Times New Roman"/>
          <w:b/>
          <w:color w:val="000000"/>
          <w:sz w:val="18"/>
        </w:rPr>
        <w:t>Oculis US Inc.</w:t>
      </w:r>
    </w:p>
    <w:p>
      <w:pPr>
        <w:pStyle w:val="TextBody"/>
        <w:bidi w:val="0"/>
        <w:jc w:val="center"/>
        <w:rPr>
          <w:rFonts w:ascii="Times New Roman" w:hAnsi="Times New Roman"/>
          <w:b/>
          <w:color w:val="000000"/>
          <w:sz w:val="18"/>
        </w:rPr>
      </w:pPr>
      <w:r>
        <w:rPr>
          <w:rFonts w:ascii="Times New Roman" w:hAnsi="Times New Roman"/>
          <w:b/>
          <w:color w:val="000000"/>
          <w:sz w:val="18"/>
        </w:rPr>
        <w:t>One Gateway Center</w:t>
      </w:r>
    </w:p>
    <w:p>
      <w:pPr>
        <w:pStyle w:val="TextBody"/>
        <w:bidi w:val="0"/>
        <w:jc w:val="center"/>
        <w:rPr>
          <w:rFonts w:ascii="Times New Roman" w:hAnsi="Times New Roman"/>
          <w:b/>
          <w:color w:val="000000"/>
          <w:sz w:val="18"/>
        </w:rPr>
      </w:pPr>
      <w:r>
        <w:rPr>
          <w:rFonts w:ascii="Times New Roman" w:hAnsi="Times New Roman"/>
          <w:b/>
          <w:color w:val="000000"/>
          <w:sz w:val="18"/>
        </w:rPr>
        <w:t>300 Washington Street, Suite 702</w:t>
      </w:r>
    </w:p>
    <w:p>
      <w:pPr>
        <w:pStyle w:val="TextBody"/>
        <w:bidi w:val="0"/>
        <w:jc w:val="center"/>
        <w:rPr>
          <w:rFonts w:ascii="Times New Roman" w:hAnsi="Times New Roman"/>
          <w:b/>
          <w:color w:val="000000"/>
          <w:sz w:val="18"/>
        </w:rPr>
      </w:pPr>
      <w:r>
        <w:rPr>
          <w:rFonts w:ascii="Times New Roman" w:hAnsi="Times New Roman"/>
          <w:b/>
          <w:color w:val="000000"/>
          <w:sz w:val="18"/>
        </w:rPr>
        <w:t>Newton, MA 02458</w:t>
      </w:r>
    </w:p>
    <w:p>
      <w:pPr>
        <w:pStyle w:val="TextBody"/>
        <w:bidi w:val="0"/>
        <w:jc w:val="center"/>
        <w:rPr>
          <w:rFonts w:ascii="Times New Roman" w:hAnsi="Times New Roman"/>
          <w:b/>
          <w:color w:val="000000"/>
          <w:sz w:val="18"/>
        </w:rPr>
      </w:pPr>
      <w:r>
        <w:rPr>
          <w:rFonts w:ascii="Times New Roman" w:hAnsi="Times New Roman"/>
          <w:b/>
          <w:color w:val="000000"/>
          <w:sz w:val="18"/>
        </w:rPr>
        <w:t>Telephone: +1 617 928 5886</w:t>
      </w:r>
    </w:p>
    <w:p>
      <w:pPr>
        <w:pStyle w:val="TextBody"/>
        <w:bidi w:val="0"/>
        <w:jc w:val="center"/>
        <w:rPr>
          <w:rFonts w:ascii="Times New Roman" w:hAnsi="Times New Roman"/>
          <w:b/>
          <w:color w:val="000000"/>
          <w:sz w:val="16"/>
        </w:rPr>
      </w:pPr>
      <w:r>
        <w:rPr>
          <w:rFonts w:ascii="Times New Roman" w:hAnsi="Times New Roman"/>
          <w:b/>
          <w:color w:val="000000"/>
          <w:sz w:val="16"/>
        </w:rPr>
        <w:t>(Name, address, including zip code, and telephone number, including area code, of agent for service)</w:t>
      </w:r>
    </w:p>
    <w:p>
      <w:pPr>
        <w:pStyle w:val="TextBody"/>
        <w:pBdr>
          <w:bottom w:val="single" w:sz="4" w:space="1" w:color="000000"/>
        </w:pBdr>
        <w:bidi w:val="0"/>
        <w:spacing w:before="40" w:after="40"/>
        <w:jc w:val="center"/>
        <w:rPr/>
      </w:pPr>
      <w:r>
        <w:rPr/>
        <w:t> </w:t>
      </w:r>
    </w:p>
    <w:p>
      <w:pPr>
        <w:pStyle w:val="TextBody"/>
        <w:bidi w:val="0"/>
        <w:spacing w:before="20" w:after="283"/>
        <w:jc w:val="center"/>
        <w:rPr>
          <w:rFonts w:ascii="Times New Roman" w:hAnsi="Times New Roman"/>
          <w:b/>
          <w:i/>
          <w:color w:val="000000"/>
          <w:sz w:val="16"/>
        </w:rPr>
      </w:pPr>
      <w:r>
        <w:rPr>
          <w:rFonts w:ascii="Times New Roman" w:hAnsi="Times New Roman"/>
          <w:b/>
          <w:i/>
          <w:color w:val="000000"/>
          <w:sz w:val="16"/>
        </w:rPr>
        <w:t>Copies to:</w:t>
      </w:r>
    </w:p>
    <w:tbl>
      <w:tblPr>
        <w:tblW w:w="4052" w:type="dxa"/>
        <w:jc w:val="left"/>
        <w:tblInd w:w="0" w:type="dxa"/>
        <w:tblLayout w:type="fixed"/>
        <w:tblCellMar>
          <w:top w:w="28" w:type="dxa"/>
          <w:left w:w="28" w:type="dxa"/>
          <w:bottom w:w="28" w:type="dxa"/>
          <w:right w:w="28" w:type="dxa"/>
        </w:tblCellMar>
      </w:tblPr>
      <w:tblGrid>
        <w:gridCol w:w="1771"/>
        <w:gridCol w:w="2281"/>
      </w:tblGrid>
      <w:tr>
        <w:trPr/>
        <w:tc>
          <w:tcPr>
            <w:tcW w:w="177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Divakar Gupta</w:t>
            </w:r>
          </w:p>
          <w:p>
            <w:pPr>
              <w:pStyle w:val="TableContents"/>
              <w:bidi w:val="0"/>
              <w:jc w:val="center"/>
              <w:rPr>
                <w:rFonts w:ascii="Times New Roman" w:hAnsi="Times New Roman"/>
                <w:b/>
                <w:color w:val="000000"/>
                <w:sz w:val="18"/>
              </w:rPr>
            </w:pPr>
            <w:r>
              <w:rPr>
                <w:rFonts w:ascii="Times New Roman" w:hAnsi="Times New Roman"/>
                <w:b/>
                <w:color w:val="000000"/>
                <w:sz w:val="18"/>
              </w:rPr>
              <w:t>Cooley LLP</w:t>
            </w:r>
          </w:p>
          <w:p>
            <w:pPr>
              <w:pStyle w:val="TableContents"/>
              <w:bidi w:val="0"/>
              <w:jc w:val="center"/>
              <w:rPr>
                <w:rFonts w:ascii="Times New Roman" w:hAnsi="Times New Roman"/>
                <w:b/>
                <w:color w:val="000000"/>
                <w:sz w:val="18"/>
              </w:rPr>
            </w:pPr>
            <w:r>
              <w:rPr>
                <w:rFonts w:ascii="Times New Roman" w:hAnsi="Times New Roman"/>
                <w:b/>
                <w:color w:val="000000"/>
                <w:sz w:val="18"/>
              </w:rPr>
              <w:t>55 Hudson Yards</w:t>
            </w:r>
          </w:p>
          <w:p>
            <w:pPr>
              <w:pStyle w:val="TableContents"/>
              <w:bidi w:val="0"/>
              <w:jc w:val="center"/>
              <w:rPr>
                <w:rFonts w:ascii="Times New Roman" w:hAnsi="Times New Roman"/>
                <w:b/>
                <w:color w:val="000000"/>
                <w:sz w:val="18"/>
              </w:rPr>
            </w:pPr>
            <w:r>
              <w:rPr>
                <w:rFonts w:ascii="Times New Roman" w:hAnsi="Times New Roman"/>
                <w:b/>
                <w:color w:val="000000"/>
                <w:sz w:val="18"/>
              </w:rPr>
              <w:t>New York, NY 10001</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+1 212 479 6000</w:t>
            </w:r>
          </w:p>
        </w:tc>
        <w:tc>
          <w:tcPr>
            <w:tcW w:w="228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Dr. Matthias Staehelin</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VISCHER AG</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Aeschenvorstadt 4 Postfach</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4010 Basel, Switzerland</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+41 58 211 33 00</w:t>
            </w:r>
          </w:p>
        </w:tc>
      </w:tr>
    </w:tbl>
    <w:p>
      <w:pPr>
        <w:pStyle w:val="TextBody"/>
        <w:pBdr>
          <w:bottom w:val="single" w:sz="4" w:space="1" w:color="000000"/>
        </w:pBdr>
        <w:bidi w:val="0"/>
        <w:spacing w:before="40" w:after="40"/>
        <w:jc w:val="center"/>
        <w:rPr/>
      </w:pPr>
      <w:r>
        <w:rPr/>
        <w:t> </w:t>
      </w:r>
    </w:p>
    <w:p>
      <w:pPr>
        <w:pStyle w:val="TextBody"/>
        <w:bidi w:val="0"/>
        <w:spacing w:before="20" w:after="283"/>
        <w:jc w:val="both"/>
        <w:rPr>
          <w:rFonts w:ascii="Times New Roman" w:hAnsi="Times New Roman"/>
          <w:sz w:val="20"/>
        </w:rPr>
      </w:pPr>
      <w:r>
        <w:rPr>
          <w:rFonts w:ascii="Times New Roman" w:hAnsi="Times New Roman"/>
          <w:b/>
          <w:color w:val="000000"/>
          <w:sz w:val="14"/>
        </w:rPr>
        <w:t>Approximate date of commencement of proposed sale to the public:</w:t>
      </w:r>
      <w:r>
        <w:rPr>
          <w:rFonts w:ascii="Times New Roman" w:hAnsi="Times New Roman"/>
          <w:color w:val="000000"/>
          <w:sz w:val="20"/>
        </w:rPr>
        <w:t xml:space="preserve"> </w:t>
      </w:r>
      <w:r>
        <w:rPr>
          <w:rFonts w:ascii="Times New Roman" w:hAnsi="Times New Roman"/>
          <w:color w:val="000000"/>
          <w:sz w:val="14"/>
        </w:rPr>
        <w:t>From time to time after the effective date of this Registration Statement.</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If only securities being registered on this Form are being offered pursuant to dividend or interest reinvestment plans, please check the following box: ☐</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If any of the securities being registered on this Form are to be offered on a delayed or continuous basis pursuant to Rule 415 under the Securities Act of 1933, check the following box. ☒</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If this Form is a registration statement pursuant to General Instruction I.C. or a post-effective amendment thereto that shall become effective upon filing with the Securities and Exchange Commission, or the Commission, pursuant to Rule 462(e) under the Securities Act, check the following box. ☒</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Indicate by check mark whether the registrant is an emerging growth company as defined in Rule 405 of the Securities Act of 1933. Emerging growth company ☐</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 The term “new or revised accounting standard” refers to any update issued by the Financial Accounting Standards Board to its Accounting Standards Codification after April 5, 2012.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EXPLANATORY NOTE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registration statement contains two prospectuses: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base prospectus, which covers the offering, issuance and sale by the registrant of the securities identified therein from time to time in one or more offerings;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sales agreement prospectus covering the offering, issuance and sale by the registrant of up to a maximum aggregate offering price of $100,000,000 of the registrant’s ordinary shares that may be offered, issued and sold from time to time under a sales agreement, as amended and restated March 4, 2026, with Leerink Partners LLC, or Leerink Partners, as sales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base prospectus immediately follows this explanatory note. The specific terms of any securities to be offered pursuant to the base prospectus will be specified in a prospectus supplement to the base prospectus.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prospectus relating to the sales agreement immediately follows the base prospectus. The ordinary shares that may be offered, issued and sold by the registrant under the sales agreement prospectus is included in the securities that may be offered, issued and sold by the registrant under the base prospectus. Upon termination of the sales agreement with Leerink Partners, any portion of the $100,000,000 included in the sales agreement prospectus that is not sold pursuant to the sales agreement will be available for sale in other offerings pursuant to the base prospectus and a corresponding prospectus supplement.</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PROSPECTUS</w:t>
      </w:r>
    </w:p>
    <w:p>
      <w:pPr>
        <w:pStyle w:val="TextBody"/>
        <w:bidi w:val="0"/>
        <w:jc w:val="center"/>
        <w:rPr/>
      </w:pPr>
      <w:r>
        <w:rPr/>
        <w:drawing>
          <wp:inline distT="0" distB="0" distL="0" distR="0">
            <wp:extent cx="23050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05050" cy="428625"/>
                    </a:xfrm>
                    <a:prstGeom prst="rect">
                      <a:avLst/>
                    </a:prstGeom>
                  </pic:spPr>
                </pic:pic>
              </a:graphicData>
            </a:graphic>
          </wp:inline>
        </w:drawing>
      </w:r>
    </w:p>
    <w:p>
      <w:pPr>
        <w:pStyle w:val="TextBody"/>
        <w:bidi w:val="0"/>
        <w:spacing w:before="120" w:after="283"/>
        <w:jc w:val="center"/>
        <w:rPr>
          <w:rFonts w:ascii="Times New Roman" w:hAnsi="Times New Roman"/>
          <w:b/>
          <w:color w:val="000000"/>
          <w:sz w:val="44"/>
        </w:rPr>
      </w:pPr>
      <w:r>
        <w:rPr>
          <w:rFonts w:ascii="Times New Roman" w:hAnsi="Times New Roman"/>
          <w:b/>
          <w:color w:val="000000"/>
          <w:sz w:val="44"/>
        </w:rPr>
        <w:t>Oculis Holding AG</w:t>
      </w:r>
    </w:p>
    <w:p>
      <w:pPr>
        <w:pStyle w:val="TextBody"/>
        <w:bidi w:val="0"/>
        <w:jc w:val="center"/>
        <w:rPr>
          <w:rFonts w:ascii="Times New Roman" w:hAnsi="Times New Roman"/>
          <w:b/>
          <w:color w:val="000000"/>
          <w:sz w:val="20"/>
        </w:rPr>
      </w:pPr>
      <w:r>
        <w:rPr>
          <w:rFonts w:ascii="Times New Roman" w:hAnsi="Times New Roman"/>
          <w:b/>
          <w:color w:val="000000"/>
          <w:sz w:val="20"/>
        </w:rPr>
        <w:t>Ordinary Shares</w:t>
      </w:r>
    </w:p>
    <w:p>
      <w:pPr>
        <w:pStyle w:val="TextBody"/>
        <w:bidi w:val="0"/>
        <w:jc w:val="center"/>
        <w:rPr>
          <w:rFonts w:ascii="Times New Roman" w:hAnsi="Times New Roman"/>
          <w:b/>
          <w:color w:val="000000"/>
          <w:sz w:val="20"/>
        </w:rPr>
      </w:pPr>
      <w:r>
        <w:rPr>
          <w:rFonts w:ascii="Times New Roman" w:hAnsi="Times New Roman"/>
          <w:b/>
          <w:color w:val="000000"/>
          <w:sz w:val="20"/>
        </w:rPr>
        <w:t>Debt Securities</w:t>
      </w:r>
    </w:p>
    <w:p>
      <w:pPr>
        <w:pStyle w:val="TextBody"/>
        <w:bidi w:val="0"/>
        <w:jc w:val="center"/>
        <w:rPr>
          <w:rFonts w:ascii="Times New Roman" w:hAnsi="Times New Roman"/>
          <w:b/>
          <w:color w:val="000000"/>
          <w:sz w:val="20"/>
        </w:rPr>
      </w:pPr>
      <w:r>
        <w:rPr>
          <w:rFonts w:ascii="Times New Roman" w:hAnsi="Times New Roman"/>
          <w:b/>
          <w:color w:val="000000"/>
          <w:sz w:val="20"/>
        </w:rPr>
        <w:t>Warrants</w:t>
      </w:r>
    </w:p>
    <w:p>
      <w:pPr>
        <w:pStyle w:val="TextBody"/>
        <w:bidi w:val="0"/>
        <w:jc w:val="center"/>
        <w:rPr>
          <w:rFonts w:ascii="Times New Roman" w:hAnsi="Times New Roman"/>
          <w:b/>
          <w:color w:val="000000"/>
          <w:sz w:val="20"/>
        </w:rPr>
      </w:pPr>
      <w:r>
        <w:rPr>
          <w:rFonts w:ascii="Times New Roman" w:hAnsi="Times New Roman"/>
          <w:b/>
          <w:color w:val="000000"/>
          <w:sz w:val="20"/>
        </w:rPr>
        <w:t>Units</w:t>
      </w:r>
    </w:p>
    <w:p>
      <w:pPr>
        <w:pStyle w:val="TextBody"/>
        <w:pBdr>
          <w:bottom w:val="single" w:sz="4" w:space="1" w:color="000000"/>
        </w:pBdr>
        <w:bidi w:val="0"/>
        <w:spacing w:before="0" w:after="24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Oculis Holding AG, a Swiss stock corporation (</w:t>
      </w:r>
      <w:r>
        <w:rPr>
          <w:rFonts w:ascii="Times New Roman" w:hAnsi="Times New Roman"/>
          <w:i/>
          <w:color w:val="000000"/>
          <w:sz w:val="20"/>
        </w:rPr>
        <w:t>Aktiengesellschaft</w:t>
      </w:r>
      <w:r>
        <w:rPr>
          <w:rFonts w:ascii="Times New Roman" w:hAnsi="Times New Roman"/>
          <w:color w:val="000000"/>
          <w:sz w:val="20"/>
        </w:rPr>
        <w:t>) or any selling security holders may offer, from time to time, in one or more offerings, ordinary shares, senior debt securities, subordinated debt securities, warrants and units, which we collectively refer to as the securities. We and/or our selling security holders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securities covered by this prospectus may be offered through one or more underwriters, dealers and agents, or directly to purchasers. If any underwriters, dealers or agents are involved in the sale of our securities with respect to which this prospectus is being delivered, the names of such underwriters, dealers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 Unless otherwise set forth in a prospectus supplement, we will not receive any proceeds from the sale of securities by selling security holders. For general information about the distribution of securities offered, please see “Plan of Distribution” beginning on page 14 of this prospectus.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SHOULD READ THIS PROSPECTUS AND ANY SUPPLEMENT TO THIS PROSPECTUS CAREFULLY BEFORE YOU INVEST.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ordinary shares are listed on the Nasdaq Global Market, or Nasdaq, and the Nasdaq Iceland Main Market, or Nasdaq Iceland, under the symbol “OCS.” On March 2, 2026, the last sale price of our ordinary shares as reported by was $28.61 per ordinary share. On March 2, 2026, the last sale price of our ordinary shares as reported by Nasdaq Iceland was ISK 3,150.00 per ordinary share. The applicable prospectus supplement will contain information, where applicable, as to any other listing, if any, on Nasdaq or any securities market or other securities exchange of the securities covered by the prospectus supplement. There is currently no market through which debt securities, warrants or units may be sold and purchasers may not be able to resell debt securities, warrants or units purchased under this prospectus. This may affect the pricing of any debt securities, warrants or units in the secondary market, the transparency and availability of trading prices, the liquidity of the debt securities, warrants or units and the extent of issuer regulation. Prospective purchasers of our securities are urged to obtain current information as to the market prices of our securities, where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a “foreign private issuer” as defined under the U.S. Securities and Exchange Commission, or the SEC, and, as such, we have elected to comply with certain reduced public company reporting requirements for this prospectus and future filings. Please see “Implications of Being a Foreign Private Issuer.”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U.S.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4" w:space="1" w:color="000000"/>
        </w:pBdr>
        <w:bidi w:val="0"/>
        <w:spacing w:before="0" w:after="24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Investing in our securities involves a high degree of risk. You should review carefully the risks and uncertainties described under the heading “Risk Factors” beginning on page 3 of this prospectus. In addition, please review any additional risk factors in any accompanying prospectus supplement, any free writing prospectus and any documents we incorporate by reference.</w:t>
      </w:r>
    </w:p>
    <w:p>
      <w:pPr>
        <w:pStyle w:val="TextBody"/>
        <w:pBdr>
          <w:bottom w:val="single" w:sz="4" w:space="1" w:color="000000"/>
        </w:pBdr>
        <w:bidi w:val="0"/>
        <w:spacing w:before="0" w:after="24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date of this prospectus is March 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0"/>
        </w:rPr>
      </w:pPr>
      <w:bookmarkStart w:id="4" w:name="toc_page"/>
      <w:bookmarkEnd w:id="4"/>
      <w:r>
        <w:rPr>
          <w:rFonts w:ascii="Times New Roman" w:hAnsi="Times New Roman"/>
          <w:b/>
          <w:color w:val="000000"/>
          <w:sz w:val="20"/>
        </w:rPr>
        <w:t>TABLE OF CONTENTS</w:t>
      </w:r>
    </w:p>
    <w:tbl>
      <w:tblPr>
        <w:tblW w:w="6587" w:type="dxa"/>
        <w:jc w:val="left"/>
        <w:tblInd w:w="0" w:type="dxa"/>
        <w:tblLayout w:type="fixed"/>
        <w:tblCellMar>
          <w:top w:w="28" w:type="dxa"/>
          <w:left w:w="28" w:type="dxa"/>
          <w:bottom w:w="28" w:type="dxa"/>
          <w:right w:w="28" w:type="dxa"/>
        </w:tblCellMar>
      </w:tblPr>
      <w:tblGrid>
        <w:gridCol w:w="6226"/>
        <w:gridCol w:w="361"/>
      </w:tblGrid>
      <w:tr>
        <w:trPr/>
        <w:tc>
          <w:tcPr>
            <w:tcW w:w="62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about_this_prospectus">
              <w:r>
                <w:rPr>
                  <w:rStyle w:val="InternetLink"/>
                  <w:rFonts w:ascii="Times New Roman" w:hAnsi="Times New Roman"/>
                  <w:color w:val="0000FF"/>
                  <w:sz w:val="20"/>
                  <w:u w:val="single"/>
                </w:rPr>
                <w:t>ABOUT THIS PROSPECTUS</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trademark_tradename">
              <w:r>
                <w:rPr>
                  <w:rStyle w:val="InternetLink"/>
                  <w:rFonts w:ascii="Times New Roman" w:hAnsi="Times New Roman"/>
                  <w:color w:val="0000FF"/>
                  <w:sz w:val="20"/>
                  <w:u w:val="single"/>
                </w:rPr>
                <w:t>TRADEMARKS AND TRADENAMES</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presentation_fin_info">
              <w:r>
                <w:rPr>
                  <w:rStyle w:val="InternetLink"/>
                  <w:rFonts w:ascii="Times New Roman" w:hAnsi="Times New Roman"/>
                  <w:color w:val="0000FF"/>
                  <w:sz w:val="20"/>
                  <w:u w:val="single"/>
                </w:rPr>
                <w:t>PRESENTATION OF FINANCIAL INFORMATION</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market_industry_data">
              <w:r>
                <w:rPr>
                  <w:rStyle w:val="InternetLink"/>
                  <w:rFonts w:ascii="Times New Roman" w:hAnsi="Times New Roman"/>
                  <w:color w:val="0000FF"/>
                  <w:sz w:val="20"/>
                  <w:u w:val="single"/>
                </w:rPr>
                <w:t>MARKET AND INDUSTRY DATA</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special_note_fls">
              <w:r>
                <w:rPr>
                  <w:rStyle w:val="InternetLink"/>
                  <w:rFonts w:ascii="Times New Roman" w:hAnsi="Times New Roman"/>
                  <w:color w:val="0000FF"/>
                  <w:sz w:val="20"/>
                  <w:u w:val="single"/>
                </w:rPr>
                <w:t>SPECIAL NOTE REGARDING FORWARD-LOOKING STATEMENTS</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Times New Roman" w:hAnsi="Times New Roman"/>
                  <w:color w:val="0000FF"/>
                  <w:sz w:val="20"/>
                  <w:u w:val="single"/>
                </w:rPr>
                <w:t>PROSPECTUS SUMMARY</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capitalization">
              <w:r>
                <w:rPr>
                  <w:rStyle w:val="InternetLink"/>
                  <w:rFonts w:ascii="Times New Roman" w:hAnsi="Times New Roman"/>
                  <w:color w:val="0000FF"/>
                  <w:sz w:val="20"/>
                  <w:u w:val="single"/>
                </w:rPr>
                <w:t>CAPITALIZATION</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offer_stats_timetable">
              <w:r>
                <w:rPr>
                  <w:rStyle w:val="InternetLink"/>
                  <w:rFonts w:ascii="Times New Roman" w:hAnsi="Times New Roman"/>
                  <w:color w:val="0000FF"/>
                  <w:sz w:val="20"/>
                  <w:u w:val="single"/>
                </w:rPr>
                <w:t>OFFER STATISTICS AND EXPECTED TIMETABLE</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offer_reasons_and_proceeds">
              <w:r>
                <w:rPr>
                  <w:rStyle w:val="InternetLink"/>
                  <w:rFonts w:ascii="Times New Roman" w:hAnsi="Times New Roman"/>
                  <w:color w:val="0000FF"/>
                  <w:sz w:val="20"/>
                  <w:u w:val="single"/>
                </w:rPr>
                <w:t>REASONS FOR THE OFFER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selling_security_holders">
              <w:r>
                <w:rPr>
                  <w:rStyle w:val="InternetLink"/>
                  <w:rFonts w:ascii="Times New Roman" w:hAnsi="Times New Roman"/>
                  <w:color w:val="0000FF"/>
                  <w:sz w:val="20"/>
                  <w:u w:val="single"/>
                </w:rPr>
                <w:t>SELLING SECURITY HOLDERS</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the_offer_and_listing">
              <w:r>
                <w:rPr>
                  <w:rStyle w:val="InternetLink"/>
                  <w:rFonts w:ascii="Times New Roman" w:hAnsi="Times New Roman"/>
                  <w:color w:val="0000FF"/>
                  <w:sz w:val="20"/>
                  <w:u w:val="single"/>
                </w:rPr>
                <w:t>THE OFFER AND LISTING</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description_share_capital">
              <w:r>
                <w:rPr>
                  <w:rStyle w:val="InternetLink"/>
                  <w:rFonts w:ascii="Times New Roman" w:hAnsi="Times New Roman"/>
                  <w:color w:val="0000FF"/>
                  <w:sz w:val="20"/>
                  <w:u w:val="single"/>
                </w:rPr>
                <w:t>DESCRIPTION OF SHARE CAPITAL AND ARTICLES OF ASSOCIATION</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description_debt_securities">
              <w:r>
                <w:rPr>
                  <w:rStyle w:val="InternetLink"/>
                  <w:rFonts w:ascii="Times New Roman" w:hAnsi="Times New Roman"/>
                  <w:color w:val="0000FF"/>
                  <w:sz w:val="20"/>
                  <w:u w:val="single"/>
                </w:rPr>
                <w:t>DESCRIPTION OF DEBT SECURITIES</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descriptionofwarrants">
              <w:r>
                <w:rPr>
                  <w:rStyle w:val="InternetLink"/>
                  <w:rFonts w:ascii="Times New Roman" w:hAnsi="Times New Roman"/>
                  <w:color w:val="0000FF"/>
                  <w:sz w:val="20"/>
                  <w:u w:val="single"/>
                </w:rPr>
                <w:t>DESCRIPTION OF WARRANTS</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descriptionofunits">
              <w:r>
                <w:rPr>
                  <w:rStyle w:val="InternetLink"/>
                  <w:rFonts w:ascii="Times New Roman" w:hAnsi="Times New Roman"/>
                  <w:color w:val="0000FF"/>
                  <w:sz w:val="20"/>
                  <w:u w:val="single"/>
                </w:rPr>
                <w:t>DESCRIPTION OF UNITS</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shareholderlimitationswissco">
              <w:r>
                <w:rPr>
                  <w:rStyle w:val="InternetLink"/>
                  <w:rFonts w:ascii="Times New Roman" w:hAnsi="Times New Roman"/>
                  <w:color w:val="0000FF"/>
                  <w:sz w:val="20"/>
                  <w:u w:val="single"/>
                </w:rPr>
                <w:t>LIMITATIONS AFFECTING SHAREHOLDERS OF A SWISS COMPANY</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planofdistribution">
              <w:r>
                <w:rPr>
                  <w:rStyle w:val="InternetLink"/>
                  <w:rFonts w:ascii="Times New Roman" w:hAnsi="Times New Roman"/>
                  <w:color w:val="0000FF"/>
                  <w:sz w:val="20"/>
                  <w:u w:val="single"/>
                </w:rPr>
                <w:t>PLAN OF DISTRIBUTION</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taxation">
              <w:r>
                <w:rPr>
                  <w:rStyle w:val="InternetLink"/>
                  <w:rFonts w:ascii="Times New Roman" w:hAnsi="Times New Roman"/>
                  <w:color w:val="0000FF"/>
                  <w:sz w:val="20"/>
                  <w:u w:val="single"/>
                </w:rPr>
                <w:t>TAXATION</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expenses">
              <w:r>
                <w:rPr>
                  <w:rStyle w:val="InternetLink"/>
                  <w:rFonts w:ascii="Times New Roman" w:hAnsi="Times New Roman"/>
                  <w:color w:val="0000FF"/>
                  <w:sz w:val="20"/>
                  <w:u w:val="single"/>
                </w:rPr>
                <w:t>EXPENSES</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legalmatters">
              <w:r>
                <w:rPr>
                  <w:rStyle w:val="InternetLink"/>
                  <w:rFonts w:ascii="Times New Roman" w:hAnsi="Times New Roman"/>
                  <w:color w:val="0000FF"/>
                  <w:sz w:val="20"/>
                  <w:u w:val="single"/>
                </w:rPr>
                <w:t>LEGAL MATTERS</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serviceprocess_civil">
              <w:r>
                <w:rPr>
                  <w:rStyle w:val="InternetLink"/>
                  <w:rFonts w:ascii="Times New Roman" w:hAnsi="Times New Roman"/>
                  <w:color w:val="0000FF"/>
                  <w:sz w:val="20"/>
                  <w:u w:val="single"/>
                </w:rPr>
                <w:t>SERVICE OF PROCESS AND ENFORCEABILITY OF CIVIL LIABILITIES</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more_information">
              <w:r>
                <w:rPr>
                  <w:rStyle w:val="InternetLink"/>
                  <w:rFonts w:ascii="Times New Roman" w:hAnsi="Times New Roman"/>
                  <w:color w:val="0000FF"/>
                  <w:sz w:val="20"/>
                  <w:u w:val="single"/>
                </w:rPr>
                <w:t>WHERE YOU CAN FIND MORE INFORMATION</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w:t>
            </w:r>
          </w:p>
        </w:tc>
      </w:tr>
      <w:tr>
        <w:trPr/>
        <w:tc>
          <w:tcPr>
            <w:tcW w:w="6226" w:type="dxa"/>
            <w:tcBorders/>
            <w:tcMar>
              <w:top w:w="0" w:type="dxa"/>
              <w:left w:w="0" w:type="dxa"/>
              <w:bottom w:w="0" w:type="dxa"/>
              <w:right w:w="0" w:type="dxa"/>
            </w:tcMar>
            <w:vAlign w:val="center"/>
          </w:tcPr>
          <w:p>
            <w:pPr>
              <w:pStyle w:val="TableContents"/>
              <w:bidi w:val="0"/>
              <w:spacing w:before="0" w:after="283"/>
              <w:jc w:val="left"/>
              <w:rPr/>
            </w:pPr>
            <w:hyperlink w:anchor="incorporation_reference">
              <w:r>
                <w:rPr>
                  <w:rStyle w:val="InternetLink"/>
                  <w:rFonts w:ascii="Times New Roman" w:hAnsi="Times New Roman"/>
                  <w:color w:val="0000FF"/>
                  <w:sz w:val="20"/>
                  <w:u w:val="single"/>
                </w:rPr>
                <w:t>INCORPORATION BY REFERENCE</w:t>
              </w:r>
            </w:hyperlink>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w:t>
            </w:r>
          </w:p>
        </w:tc>
      </w:tr>
    </w:tbl>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5" w:name="about_this_prospectus"/>
      <w:bookmarkEnd w:id="5"/>
      <w:r>
        <w:rPr>
          <w:rFonts w:ascii="Times New Roman" w:hAnsi="Times New Roman"/>
          <w:caps/>
          <w:color w:val="000000"/>
          <w:sz w:val="20"/>
        </w:rPr>
        <w:t>ABOUT THIS PROSPECTUS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prospectus is a part of an automatic registration statement that we filed with the SEC using a “shelf” registration process available to us as a “well-known seasoned issuer,” as defined in Rule 405 under the Securities Act of 1933, as amended, or the Securities Act. Under this shelf registration process, we and/or our selling security holders may, from time to time, sell any combination of the securities described in this prospectus. No limit exists on the aggregate number or amount of securities we and/or our selling security holders may sell pursuant to the registration statement of which this prospectus is a part. This prospectus provides you with a general description of the securities that may be offered by us and/or our selling security 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time we and/or our selling security holders offer a type or series of securities, we will provide a prospectus supplement that will describe the specific amounts, prices and other important terms of the securities. The prospectus supplement will contain specific information about the nature of the persons offering securities and the terms of the securities being offered at that time. The prospectus supplement may also add, update or change information contained in this prospectus. Before buying any of the securities that we and/or our selling security holders are offering, you should carefully read both this prospectus and any prospectus supplement with all of the information incorporated by reference in this prospectus, as well as the additional information described under the heading “Where You Can Find More Information” and “Incorporation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we nor any underwriters, dealers or agents have authorized anyone to provide you with information that is different from that contained in this prospectus, any amendment or supplement to this prospectus, or any free writing prospectus we may authorize to be delivered or made available to you. Neither we nor any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investors outside the United States: Neither we nor any underwriters, dealers or agents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otherwise noted or the context otherwise requires, references in this prospectus to “Oculis,” “the Company,” “our Company,” “we,” “us” or “our” refer to Oculis Holding AG and its subsidiaries.</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bookmarkStart w:id="6" w:name="trademark_tradename"/>
      <w:bookmarkEnd w:id="6"/>
      <w:r>
        <w:rPr>
          <w:rFonts w:ascii="Times New Roman" w:hAnsi="Times New Roman"/>
          <w:b/>
          <w:caps/>
          <w:color w:val="000000"/>
          <w:sz w:val="20"/>
        </w:rPr>
        <w:t>TRADEMARKS AND TRADENAMES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This prospectus includes trademarks, tradenames and service marks, certain of which belong to us and others that are the property of other organizations. Solely for convenience, trademarks, tradenames and service marks referred to in this prospectus appear without the </w:t>
      </w:r>
      <w:r>
        <w:rPr>
          <w:rFonts w:ascii="Times New Roman" w:hAnsi="Times New Roman"/>
          <w:color w:val="000000"/>
          <w:sz w:val="13"/>
        </w:rPr>
        <w:t>®</w:t>
      </w:r>
      <w:r>
        <w:rPr>
          <w:rFonts w:ascii="Times New Roman" w:hAnsi="Times New Roman"/>
          <w:color w:val="000000"/>
          <w:sz w:val="20"/>
        </w:rPr>
        <w:t xml:space="preserve">,  and </w:t>
      </w:r>
      <w:r>
        <w:rPr>
          <w:rFonts w:ascii="Times New Roman" w:hAnsi="Times New Roman"/>
          <w:color w:val="000000"/>
          <w:sz w:val="13"/>
        </w:rPr>
        <w:t>SM</w:t>
      </w:r>
      <w:r>
        <w:rPr>
          <w:rFonts w:ascii="Times New Roman" w:hAnsi="Times New Roman"/>
          <w:color w:val="000000"/>
          <w:sz w:val="20"/>
        </w:rPr>
        <w:t xml:space="preserve"> symbols, but the absence of those symbols is not intended to indicate, in any way, that we will not assert our rights or that the applicable owner will not assert its rights to these trademarks, tradenames and service marks to the fullest extent under applicable law. We do not intend our use or display of other parties’ trademarks, tradenames or service marks to imply, and such use or display should not be construed to imply, a relationship with, or endorsement or sponsorship of us by, these other parties.</w:t>
      </w:r>
    </w:p>
    <w:p>
      <w:pPr>
        <w:pStyle w:val="TextBody"/>
        <w:bidi w:val="0"/>
        <w:spacing w:before="0" w:after="240"/>
        <w:jc w:val="center"/>
        <w:rPr>
          <w:rFonts w:ascii="Times New Roman" w:hAnsi="Times New Roman"/>
          <w:b/>
          <w:caps/>
          <w:color w:val="000000"/>
          <w:sz w:val="20"/>
        </w:rPr>
      </w:pPr>
      <w:bookmarkStart w:id="7" w:name="presentation_fin_info"/>
      <w:bookmarkEnd w:id="7"/>
      <w:r>
        <w:rPr>
          <w:rFonts w:ascii="Times New Roman" w:hAnsi="Times New Roman"/>
          <w:b/>
          <w:caps/>
          <w:color w:val="000000"/>
          <w:sz w:val="20"/>
        </w:rPr>
        <w:t>PRESENTATION OF FINANCIAL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this prospectus, unless otherwise specified, all monetary amounts are in U.S. dollars, all references to “U.S. dollars,” “$,” “US$” and “USD” mean United States dollars and all references to “CHF” mean Swiss francs.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consolidated financial statements are presented in Swiss francs and in accordance with IFRS Accounting Standards, or IFRS, as issued by the International Accounting Standards Board, or IASB. None of the financial statements were prepared in accordance with generally accepted accounting principles in the United States, or U.S. GAAP.</w:t>
      </w:r>
    </w:p>
    <w:p>
      <w:pPr>
        <w:pStyle w:val="TextBody"/>
        <w:bidi w:val="0"/>
        <w:spacing w:before="0" w:after="240"/>
        <w:jc w:val="center"/>
        <w:rPr>
          <w:rFonts w:ascii="Times New Roman" w:hAnsi="Times New Roman"/>
          <w:b/>
          <w:caps/>
          <w:color w:val="000000"/>
          <w:sz w:val="20"/>
        </w:rPr>
      </w:pPr>
      <w:bookmarkStart w:id="8" w:name="market_industry_data"/>
      <w:bookmarkEnd w:id="8"/>
      <w:r>
        <w:rPr>
          <w:rFonts w:ascii="Times New Roman" w:hAnsi="Times New Roman"/>
          <w:b/>
          <w:caps/>
          <w:color w:val="000000"/>
          <w:sz w:val="20"/>
        </w:rPr>
        <w:t>MARKET AND INDUSTRY DATA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prospectus contains estimates, projections, and other information concerning our industry and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have compiled, extracted, and reproduced industry data from these sources,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pStyle w:val="Heading1"/>
        <w:bidi w:val="0"/>
        <w:spacing w:before="0" w:after="240"/>
        <w:jc w:val="center"/>
        <w:rPr>
          <w:rFonts w:ascii="Times New Roman" w:hAnsi="Times New Roman"/>
          <w:caps/>
          <w:color w:val="000000"/>
          <w:sz w:val="20"/>
        </w:rPr>
      </w:pPr>
      <w:bookmarkStart w:id="9" w:name="special_note_fls"/>
      <w:bookmarkEnd w:id="9"/>
      <w:r>
        <w:rPr>
          <w:rFonts w:ascii="Times New Roman" w:hAnsi="Times New Roman"/>
          <w:caps/>
          <w:color w:val="000000"/>
          <w:sz w:val="20"/>
        </w:rPr>
        <w:t>SPECIAL NOTE REGARDING FORWARD-LOOKING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prospectus and our financial statements and other documents and information incorporated by reference in this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and Section 21E of the Exchange Act. Many of the forward-looking statements contained in this prospectus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represent some, but not necessarily all, of the factors that could cause actual results to differ from historical results or those anticipated or predicted by our forward-looking statements:</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color w:val="000000"/>
        </w:rPr>
      </w:pPr>
      <w:r>
        <w:rPr>
          <w:color w:val="000000"/>
        </w:rPr>
        <w: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ability to maintain the listing of our ordinary shares and public warrants on the Nasdaq Global Market and Nasdaq Iceland Main Market;</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timing and expected outcomes of clinical trials, preclinical studies, regulatory submissions and approvals, as well as commercial outcomes;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expected benefits of our business and scientific approach and technology;</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potential safety and efficacy of our product candidates;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successfully develop, advance and commercialize our pipeline of product candidates;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establish and maintain arrangements for the manufacture of our product candidates;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effectiveness and profitability of our collaborations and partnerships, our ability to maintain current collaborations and partnerships and enter into new collaborations and partnerships;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expectations related to future milestone and royalty payments and other economic terms under our collaborations and partnerships;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estimates regarding future revenue, expenses, capital requirements, financial condition, cash runway and need for additional financing;</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estimates of market opportunity for our product candidates;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effects of increased competition as well as innovations by new and existing competitors in our industry;</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strategic advantages and the impact those advantages may have on future financial and operational results;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expansion plans and opportunities;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operate and grow our business in a cost-effective manner;</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expectations regarding our ability to obtain and maintain intellectual property protection and not infringe on the rights of others;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impact of macroeconomic factors and other global events on our business;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changes in applicable governmental policies, laws or regulations and their impact on us;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outcome of any known and unknown litigation and regulatory proceedings.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These forward-looking statements are based on information available as of the date of this prospectus and current expectations, forecasts and assumptions, and involve a number of judgments, risks and uncertainties. Our actual results or performance could differ materially from those expressed in, or implied by, any forward-looking statements relating to those matters.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Accordingly, you should not place undue reliance on these forward-looking statements in deciding to invest in our securities. As a result of a number of known and unknown risks and uncertainties, our actual results or performance may be materially different from those expressed or implied by these forward-looking statements. 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Heading1"/>
        <w:bidi w:val="0"/>
        <w:spacing w:before="0" w:after="240"/>
        <w:ind w:left="0" w:right="0" w:hanging="0"/>
        <w:jc w:val="center"/>
        <w:rPr>
          <w:rFonts w:ascii="Times New Roman" w:hAnsi="Times New Roman"/>
          <w:caps/>
          <w:color w:val="000000"/>
          <w:sz w:val="20"/>
          <w:bdr w:val="single" w:sz="4" w:space="1" w:color="000000"/>
        </w:rPr>
      </w:pPr>
      <w:bookmarkStart w:id="10" w:name="prospectus_summary"/>
      <w:bookmarkEnd w:id="10"/>
      <w:r>
        <w:rPr>
          <w:rFonts w:ascii="Times New Roman" w:hAnsi="Times New Roman"/>
          <w:caps/>
          <w:color w:val="000000"/>
          <w:sz w:val="20"/>
          <w:bdr w:val="single" w:sz="4" w:space="1" w:color="000000"/>
        </w:rPr>
        <w:t>PROSPECTUS SUMMARY</w:t>
      </w:r>
    </w:p>
    <w:p>
      <w:pPr>
        <w:pStyle w:val="TextBody"/>
        <w:bidi w:val="0"/>
        <w:spacing w:before="0" w:after="240"/>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20-F and reports on Form 6-K, before deciding to invest in our securities.</w:t>
      </w:r>
    </w:p>
    <w:p>
      <w:pPr>
        <w:pStyle w:val="Heading2"/>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Company Overview</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Please see the section entitled “Item 4. Information on the Company – B. Business Overview,” incorporated by reference from our Annual Report on Form 20-F for the fiscal year ended December 31, 2025, filed with the SEC on March 4, 2026, or our Annual Report, as well as any amendments thereto reflected in our subsequent filings with the SEC.</w:t>
      </w:r>
    </w:p>
    <w:p>
      <w:pPr>
        <w:pStyle w:val="Heading2"/>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Corporate Information</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Please see the section entitled “Item 4. Information on the Company – A. History and Development of the Company,” incorporated by reference from our Annual Report, as well as any amendments thereto reflected in our subsequent filings with the SEC.</w:t>
      </w:r>
    </w:p>
    <w:p>
      <w:pPr>
        <w:pStyle w:val="TextBody"/>
        <w:bidi w:val="0"/>
        <w:spacing w:before="0" w:after="240"/>
        <w:jc w:val="both"/>
        <w:rPr>
          <w:rFonts w:ascii="Times New Roman" w:hAnsi="Times New Roman"/>
          <w:sz w:val="20"/>
          <w:bdr w:val="single" w:sz="4" w:space="1" w:color="000000"/>
        </w:rPr>
      </w:pPr>
      <w:r>
        <w:rPr>
          <w:rFonts w:ascii="Times New Roman" w:hAnsi="Times New Roman"/>
          <w:color w:val="000000"/>
          <w:sz w:val="20"/>
          <w:bdr w:val="single" w:sz="4" w:space="1" w:color="000000"/>
        </w:rPr>
        <w:t xml:space="preserve">The SEC maintains a website that contains reports, proxy information statements and other information regarding issuers that file electronically with the SEC. The address of that site is </w:t>
      </w:r>
      <w:r>
        <w:rPr>
          <w:rFonts w:ascii="Times New Roman" w:hAnsi="Times New Roman"/>
          <w:i/>
          <w:color w:val="000000"/>
          <w:sz w:val="20"/>
          <w:bdr w:val="single" w:sz="4" w:space="1" w:color="000000"/>
        </w:rPr>
        <w:t>www.sec.gov</w:t>
      </w:r>
      <w:r>
        <w:rPr>
          <w:rFonts w:ascii="Times New Roman" w:hAnsi="Times New Roman"/>
          <w:color w:val="000000"/>
          <w:sz w:val="20"/>
          <w:bdr w:val="single" w:sz="4" w:space="1" w:color="000000"/>
        </w:rPr>
        <w:t xml:space="preserve">. Our website address is </w:t>
      </w:r>
      <w:r>
        <w:rPr>
          <w:rFonts w:ascii="Times New Roman" w:hAnsi="Times New Roman"/>
          <w:i/>
          <w:color w:val="000000"/>
          <w:sz w:val="20"/>
          <w:bdr w:val="single" w:sz="4" w:space="1" w:color="000000"/>
        </w:rPr>
        <w:t>www.oculis.com</w:t>
      </w:r>
      <w:r>
        <w:rPr>
          <w:rFonts w:ascii="Times New Roman" w:hAnsi="Times New Roman"/>
          <w:color w:val="000000"/>
          <w:sz w:val="20"/>
          <w:bdr w:val="single" w:sz="4" w:space="1" w:color="000000"/>
        </w:rPr>
        <w:t>.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pStyle w:val="Heading2"/>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Implications of Being a Foreign Private Issuer</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are considered a “foreign private issuer.” Accordingly, we report under the Exchange Act as a non-U.S. company with foreign private issuer status. This means that as long as we qualify as a foreign private issuer under the Exchange Act, we will be exempt from certain provisions of the Exchange Act that are applicable to U.S. domestic public companies, including:</w:t>
      </w:r>
    </w:p>
    <w:p>
      <w:pPr>
        <w:pStyle w:val="TextBody"/>
        <w:bidi w:val="0"/>
        <w:spacing w:before="0" w:after="200"/>
        <w:jc w:val="both"/>
        <w:rPr>
          <w:color w:val="000000"/>
          <w:bdr w:val="single" w:sz="4" w:space="1" w:color="000000"/>
        </w:rPr>
      </w:pPr>
      <w:r>
        <w:rPr>
          <w:color w:val="000000"/>
          <w:bdr w:val="single" w:sz="4" w:space="1" w:color="000000"/>
        </w:rPr>
        <w:t>•</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sections of the Exchange Act regulating the solicitation of proxies, consents or authorizations in respect of a security registered under the Exchange Act;</w:t>
      </w:r>
    </w:p>
    <w:p>
      <w:pPr>
        <w:pStyle w:val="TextBody"/>
        <w:bidi w:val="0"/>
        <w:spacing w:before="0" w:after="200"/>
        <w:jc w:val="both"/>
        <w:rPr>
          <w:color w:val="000000"/>
          <w:bdr w:val="single" w:sz="4" w:space="1" w:color="000000"/>
        </w:rPr>
      </w:pPr>
      <w:r>
        <w:rPr>
          <w:color w:val="000000"/>
          <w:bdr w:val="single" w:sz="4" w:space="1" w:color="000000"/>
        </w:rPr>
        <w:t>•</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sections of the Exchange Act regulating trading activities and liability for insiders who profit from trades made in a short period of time; and</w:t>
      </w:r>
    </w:p>
    <w:p>
      <w:pPr>
        <w:pStyle w:val="TextBody"/>
        <w:bidi w:val="0"/>
        <w:spacing w:before="0" w:after="200"/>
        <w:jc w:val="both"/>
        <w:rPr>
          <w:color w:val="000000"/>
          <w:bdr w:val="single" w:sz="4" w:space="1" w:color="000000"/>
        </w:rPr>
      </w:pPr>
      <w:r>
        <w:rPr>
          <w:color w:val="000000"/>
          <w:bdr w:val="single" w:sz="4" w:space="1" w:color="000000"/>
        </w:rPr>
        <w:t>•</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rules under the Exchange Act requiring the filing with the SEC of quarterly reports on Form 10-Q containing unaudited financial and other specified information, or current reports on Form 8-K, upon the occurrence of specified significant events.</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this prospectus and in the documents and information incorporated by reference in this prospectus, we have taken advantage of certain of the reduced reporting requirements as a result of being a foreign private issuer. Accordingly, the information contained in this prospectus and in the documents incorporated by reference in this prospectus may be different than the information you receive from other public companies in which you hold equity securities.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0" w:after="240"/>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are also eligible to, and have chosen to, take advantage of certain exemptions from Nasdaq corporate governance requirements for foreign private issuers. Please see the section entitled “Item 16G. Corporate Governance” of our Annual Report that is incorporated herein by reference, as well as any amendments thereto reflected in our subsequent filings with the SEC.</w:t>
      </w:r>
    </w:p>
    <w:p>
      <w:pPr>
        <w:pStyle w:val="Heading2"/>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Securities That May Be Offered</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and/or our selling security holders may offer or sell ordinary shares, debt securities, warrants and units in one or more offerings and in any combination. Each time securities are offered with this prospectus, we will provide a prospectus supplement that will describe the specific amounts, prices and terms of the securities being offered and the net proceeds we or our selling security holders expect to receive from that sale.</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pStyle w:val="TextBody"/>
        <w:bidi w:val="0"/>
        <w:spacing w:before="0" w:after="240"/>
        <w:jc w:val="both"/>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Ordinary shares</w:t>
      </w:r>
    </w:p>
    <w:p>
      <w:pPr>
        <w:pStyle w:val="TextBody"/>
        <w:bidi w:val="0"/>
        <w:spacing w:before="0" w:after="240"/>
        <w:jc w:val="both"/>
        <w:rPr>
          <w:rFonts w:ascii="Times New Roman" w:hAnsi="Times New Roman"/>
          <w:sz w:val="20"/>
          <w:bdr w:val="single" w:sz="4" w:space="1" w:color="000000"/>
        </w:rPr>
      </w:pPr>
      <w:r>
        <w:rPr>
          <w:rFonts w:ascii="Times New Roman" w:hAnsi="Times New Roman"/>
          <w:color w:val="000000"/>
          <w:sz w:val="20"/>
          <w:bdr w:val="single" w:sz="4" w:space="1" w:color="000000"/>
        </w:rPr>
        <w:t>We and/or our selling security holders may offer our ordinary shares, nominal value of CHF 0.01 per ordinary share, either alone or underlying other registered securities convertible into and/or exchangeable for our ordinary shares. Holders of our ordinary shares are entitled to receive dividends, if any, as may be approved from time to time by our general meeting of shareholders out of funds legally distributable for the payment of dividends. In addition, our auditors must also confirm that the dividend proposal conforms to Swiss law and the Articles of Association. We have not paid dividends in the past and have no current plans to pay dividends. Each holder of our ordinary shares is entitled to one vote per ordinary share. Pursuant to Swiss law, the holders of our ordinary shares have pre-emptive rights (</w:t>
      </w:r>
      <w:r>
        <w:rPr>
          <w:rFonts w:ascii="Times New Roman" w:hAnsi="Times New Roman"/>
          <w:i/>
          <w:color w:val="000000"/>
          <w:sz w:val="20"/>
          <w:bdr w:val="single" w:sz="4" w:space="1" w:color="000000"/>
        </w:rPr>
        <w:t>Bezugsrechte</w:t>
      </w:r>
      <w:r>
        <w:rPr>
          <w:rFonts w:ascii="Times New Roman" w:hAnsi="Times New Roman"/>
          <w:color w:val="000000"/>
          <w:sz w:val="20"/>
          <w:bdr w:val="single" w:sz="4" w:space="1" w:color="000000"/>
        </w:rPr>
        <w:t>) to subscribe for newly issued ordinary shares, unless such pre-emptive rights are withdrawn or limited by our general meeting of shareholders, or upon authorization by our general meeting of shareholders, our board of directors in certain circumstances.</w:t>
      </w:r>
    </w:p>
    <w:p>
      <w:pPr>
        <w:pStyle w:val="TextBody"/>
        <w:bidi w:val="0"/>
        <w:spacing w:before="0" w:after="240"/>
        <w:jc w:val="both"/>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Debt Securities</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and/or exchangeable for ordinary shares.</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pStyle w:val="TextBody"/>
        <w:bidi w:val="0"/>
        <w:spacing w:before="0" w:after="240"/>
        <w:jc w:val="both"/>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Warrants</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and/or our selling security holders may offer warrants for the purchase of our ordinary shares or debt securities. We and/or our selling security holders may offer warrants independently or together with other securities.</w:t>
      </w:r>
    </w:p>
    <w:p>
      <w:pPr>
        <w:pStyle w:val="TextBody"/>
        <w:bidi w:val="0"/>
        <w:spacing w:before="0" w:after="240"/>
        <w:jc w:val="both"/>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Units</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and/or our selling security holders may offer units consisting of our ordinary shares, warrants or any combination of such securities. We and/or our selling security holders may offer units independently or together with other securities.</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11" w:name="risk_factors"/>
      <w:bookmarkEnd w:id="11"/>
      <w:r>
        <w:rPr>
          <w:rFonts w:ascii="Times New Roman" w:hAnsi="Times New Roman"/>
          <w:caps/>
          <w:color w:val="000000"/>
          <w:sz w:val="20"/>
        </w:rPr>
        <w:t>RISK FACTORS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Investing in our securities involves a high degree of risk. The prospectus supplement and any related free writing prospectus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See “Where You Can Find More Information” and “Incorporation by Reference.” You should also consider the risks, uncertainties and assumptions discussed under “Part I—Item 3.D—Risk Factors” of our most recent Annual Report on Form 20-F and reports on Form 6-K we file after the date of this prospectus,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Past financial performance may not be a reliable indicator of future performance, and historical trends should not be used to anticipate results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titled “Special Note Regarding Forward-Looking Statements.”</w:t>
      </w:r>
    </w:p>
    <w:p>
      <w:pPr>
        <w:pStyle w:val="Heading1"/>
        <w:bidi w:val="0"/>
        <w:spacing w:before="0" w:after="240"/>
        <w:jc w:val="center"/>
        <w:rPr>
          <w:rFonts w:ascii="Times New Roman" w:hAnsi="Times New Roman"/>
          <w:caps/>
          <w:color w:val="000000"/>
          <w:sz w:val="20"/>
        </w:rPr>
      </w:pPr>
      <w:bookmarkStart w:id="12" w:name="capitalization"/>
      <w:bookmarkEnd w:id="12"/>
      <w:r>
        <w:rPr>
          <w:rFonts w:ascii="Times New Roman" w:hAnsi="Times New Roman"/>
          <w:caps/>
          <w:color w:val="000000"/>
          <w:sz w:val="20"/>
        </w:rPr>
        <w:t>CAPITALIZATION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intend to include information about our capitalization and indebtedness in the prospectus supplement relating to the specific offering.</w:t>
      </w:r>
    </w:p>
    <w:p>
      <w:pPr>
        <w:pStyle w:val="Heading1"/>
        <w:bidi w:val="0"/>
        <w:spacing w:before="0" w:after="240"/>
        <w:jc w:val="center"/>
        <w:rPr>
          <w:rFonts w:ascii="Times New Roman" w:hAnsi="Times New Roman"/>
          <w:caps/>
          <w:color w:val="000000"/>
          <w:sz w:val="20"/>
        </w:rPr>
      </w:pPr>
      <w:bookmarkStart w:id="13" w:name="offer_stats_timetable"/>
      <w:bookmarkEnd w:id="13"/>
      <w:r>
        <w:rPr>
          <w:rFonts w:ascii="Times New Roman" w:hAnsi="Times New Roman"/>
          <w:caps/>
          <w:color w:val="000000"/>
          <w:sz w:val="20"/>
        </w:rPr>
        <w:t>OFFER STATISTICS AND EXPECTED TIMETABLE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and/or our selling security holders may offer ordinary shares, debt securities, warrants and units, in one or more offerings and on a continuous or delayed basis. The actual price of the securities that we will offer pursuant hereto will depend on a number of factors that may be relevant as of the time of offer. See “Plan of Distribution.”</w:t>
      </w:r>
    </w:p>
    <w:p>
      <w:pPr>
        <w:pStyle w:val="Heading1"/>
        <w:bidi w:val="0"/>
        <w:spacing w:before="0" w:after="240"/>
        <w:jc w:val="center"/>
        <w:rPr>
          <w:rFonts w:ascii="Times New Roman" w:hAnsi="Times New Roman"/>
          <w:caps/>
          <w:color w:val="000000"/>
          <w:sz w:val="20"/>
        </w:rPr>
      </w:pPr>
      <w:bookmarkStart w:id="14" w:name="offer_reasons_and_proceeds"/>
      <w:bookmarkEnd w:id="14"/>
      <w:r>
        <w:rPr>
          <w:rFonts w:ascii="Times New Roman" w:hAnsi="Times New Roman"/>
          <w:caps/>
          <w:color w:val="000000"/>
          <w:sz w:val="20"/>
        </w:rPr>
        <w:t>REASONS FOR THE OFFER AND USE OF PROCEEDS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otherwise indicated in the applicable prospectus supplement or in any free writing prospectus that we may authorize to be provided to you in connection with a specific offering, we intend to use any net proceeds from the sale of securities under this prospectus for research and development, progression of our clinical programs, general corporate purposes and working capital. Accordingly, we will have significant discretion in the use of any net proceeds. Additional information on the use of net proceeds we receive from the sale of securities covered by this prospectus may be set forth in the prospectus supplement relating to the specific offering.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will not receive any proceeds from the sale by selling security holders of the securities covered by this prospectus.</w:t>
      </w:r>
    </w:p>
    <w:p>
      <w:pPr>
        <w:pStyle w:val="Heading1"/>
        <w:bidi w:val="0"/>
        <w:spacing w:before="0" w:after="240"/>
        <w:jc w:val="center"/>
        <w:rPr>
          <w:rFonts w:ascii="Times New Roman" w:hAnsi="Times New Roman"/>
          <w:caps/>
          <w:color w:val="000000"/>
          <w:sz w:val="20"/>
        </w:rPr>
      </w:pPr>
      <w:bookmarkStart w:id="15" w:name="selling_security_holders"/>
      <w:bookmarkEnd w:id="15"/>
      <w:r>
        <w:rPr>
          <w:rFonts w:ascii="Times New Roman" w:hAnsi="Times New Roman"/>
          <w:caps/>
          <w:color w:val="000000"/>
          <w:sz w:val="20"/>
        </w:rPr>
        <w:t>SELLING SECURITY 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Selling security holders are persons or entities that, directly or indirectly, have acquired or will from time to time acquire from us, our securities. Such selling security holders may be parties to registration rights agreements with us, or we otherwise may have agreed or will agree to register their securities for resale. The initial purchasers of our securities, as well as their transferees, pledges, donees or successors, all of whom we refer to as “selling security holders,” may from time to time offer and sell our securities pursuant to this prospectus and any applicable prospectus supplement.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applicable prospectus supplement will set forth the name of each selling security holder and the number of securities beneficially owned by such selling security holder that are covered by such prospectus supplement. The applicable prospectus supplement will also disclose whether any of the selling security holders have held any position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office with, has been employed by or otherwise has had a material relationship with us during the three years prior to the date of the applicable prospectus supplement.</w:t>
      </w:r>
    </w:p>
    <w:p>
      <w:pPr>
        <w:pStyle w:val="Heading1"/>
        <w:bidi w:val="0"/>
        <w:spacing w:before="0" w:after="240"/>
        <w:jc w:val="center"/>
        <w:rPr>
          <w:rFonts w:ascii="Times New Roman" w:hAnsi="Times New Roman"/>
          <w:caps/>
          <w:color w:val="000000"/>
          <w:sz w:val="20"/>
        </w:rPr>
      </w:pPr>
      <w:bookmarkStart w:id="16" w:name="the_offer_and_listing"/>
      <w:bookmarkEnd w:id="16"/>
      <w:r>
        <w:rPr>
          <w:rFonts w:ascii="Times New Roman" w:hAnsi="Times New Roman"/>
          <w:caps/>
          <w:color w:val="000000"/>
          <w:sz w:val="20"/>
        </w:rPr>
        <w:t>THE OFFER AND LISTING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ordinary shares are currently traded on Nasdaq and Nasdaq Iceland under the symbol “OCS.” Our ordinary shares began trading on Nasdaq on March 3, 2023 and began trading on Nasdaq Iceland on April 23, 2024.</w:t>
      </w:r>
    </w:p>
    <w:p>
      <w:pPr>
        <w:pStyle w:val="Heading1"/>
        <w:bidi w:val="0"/>
        <w:spacing w:before="0" w:after="240"/>
        <w:jc w:val="center"/>
        <w:rPr>
          <w:rFonts w:ascii="Times New Roman" w:hAnsi="Times New Roman"/>
          <w:caps/>
          <w:color w:val="000000"/>
          <w:sz w:val="20"/>
        </w:rPr>
      </w:pPr>
      <w:bookmarkStart w:id="17" w:name="description_share_capital"/>
      <w:bookmarkEnd w:id="17"/>
      <w:r>
        <w:rPr>
          <w:rFonts w:ascii="Times New Roman" w:hAnsi="Times New Roman"/>
          <w:caps/>
          <w:color w:val="000000"/>
          <w:sz w:val="20"/>
        </w:rPr>
        <w:t>DESCRIPTION OF SHARE CAPITAL AND ARTICLES OF ASSOCIATION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information regarding our share capital and Articles of Association, please refer to the description of our securities and the full text of our Articles of Association, which are filed as Exhibit 2.5 and Exhibit 1.1, respectively, to our Annual Report, as well as any amendments thereto reflected in our subsequent filings with the SEC, all of which are incorporated by reference herein.</w:t>
      </w:r>
    </w:p>
    <w:p>
      <w:pPr>
        <w:pStyle w:val="Heading1"/>
        <w:bidi w:val="0"/>
        <w:spacing w:before="0" w:after="240"/>
        <w:jc w:val="center"/>
        <w:rPr>
          <w:rFonts w:ascii="Times New Roman" w:hAnsi="Times New Roman"/>
          <w:caps/>
          <w:color w:val="000000"/>
          <w:sz w:val="20"/>
        </w:rPr>
      </w:pPr>
      <w:bookmarkStart w:id="18" w:name="description_debt_securities"/>
      <w:bookmarkEnd w:id="18"/>
      <w:r>
        <w:rPr>
          <w:rFonts w:ascii="Times New Roman" w:hAnsi="Times New Roman"/>
          <w:caps/>
          <w:color w:val="000000"/>
          <w:sz w:val="20"/>
        </w:rPr>
        <w:t>DESCRIPTION OF DEBT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debt securities will be our direct general obligations. The debt securities will be either senior debt securities or subordinated debt securities and may be secured or unsecured and may be convertible into and/or exchangeable for other securities, including our ordinary shares. The debt securities will be issued under one or more separate indentures between our company and a financial institution that will act as trustee. Senior debt securities will be issued under a senior indenture. Subordinated debt securities will be issued under a subordinated indenture. Each of the senior indenture and the subordinated indenture is referred to individually as an indenture and collectively as the indentures. Each of the senior debt trustee and the subordinated debt trustee is referred to individually as a trustee and collectively as the trustees. The material terms of any indenture will be set forth in the applicable prospectus supplement.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summarized certain terms and provisions of the indentures. The summary is not complete. The indentures are subject to and governed by the Trust Indenture Act of 1939, as amended. The senior indenture and subordinated indenture are substantially identical, except for the provisions relating to subordination.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indenture will limit the amount of debt securities that we may issue. We may issue debt securities up to an aggregate principal amount as we may authorize from time to time. The applicable prospectus supplement will describe the terms of any debt securities being offered. These terms will include some or all of the following:</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classification as senior or subordinated debt securities;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ranking of the specific series of debt securities relative to other outstanding indebtedness, including subsidiaries’ debt;</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the debt securities are subordinated, the aggregate amount of outstanding indebtedness, as of a recent date, that is senior to the subordinated securities, and any limitation on the issuance of additional senior indebtedness;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designation, aggregate principal amount and authorized denominations;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date or dates on which the principal of the debt securities may be payable;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rate or rates (which may be fixed or variable) per annum at which the debt securities shall bear interest, if any;</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date or dates from which such interest shall accrue, on which such interest shall be payable, and on which a record shall be taken for the determination of holders of the debt securities to whom interest is payable;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place or places where the principal and interest shall be payable;</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color w:val="000000"/>
        </w:rPr>
      </w:pPr>
      <w:r>
        <w:rPr>
          <w:color w:val="000000"/>
        </w:rPr>
        <w: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our right, if any, to redeem the debt securities, in whole or in part, at our option and the period or periods within which, the price or prices at which and any terms and conditions upon which such debt securities may be so redeemed, pursuant to any sinking fund or otherwise;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obligation, if any, to redeem, purchase or repay any debt securities pursuant to any mandatory redemption, sinking fund or other provisions or at the option of a holder of the debt securities;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other than denominations of $2,000 and any higher integral multiple of $1,000, the denominations in which the debt securities will be issuable;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other than the currency of the United States, the currency or currencies, in which payment of the principal and interest shall be payable;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whether the debt securities will be issued in the form of global securities;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terms and conditions, if any, for conversion into or exchange for ordinary shares;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provisions, if any, for the defeasance of the debt securities;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material U.S. federal income tax and, to the extent applicable, material Swiss tax consequences;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other specific terms, including any deletions from, modifications of or additions to the events of default or covenants described below or in the applicable indenture.</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Senior Debt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issue under the senior indenture the debt securities that will constitute part of our senior debt. These senior debt securities will rank equally and pari passu with all our other unsecured and unsubordinated debt.</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Subordinated Debt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issue under the subordinated indenture the debt securities that will constitute part of our subordinated debt. These subordinated debt securities will be subordinate and junior in right of payment, to the extent and in the manner set forth in the subordinated indenture, to all our “senior indebtedness.” “Senior indebtedness” is defined in the subordinated indenture and generally includes obligations of, or guaranteed by, us for borrowed money, or as evidenced by bonds, debentures, notes or other similar instruments, or in respect of letters of credit or other similar instruments, or to pay the deferred purchase price of property or services, or as a lessee under capital leases, or as secured by a lien on any asset of ours. “Senior indebtedness” does not include the subordinated debt securities or any other obligations specifically designated as being subordinate in right of payment to, or pari passu with, the subordinated debt securities. In general, the holders of all senior indebtedness are first entitled to receive payment in full of such senior indebtedness before the holders of any of the subordinated debt securities are entitled to receive a payment on account of the principal or interest on the indebtedness evidenced by the subordinated debt securities in certain events. These events include: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subject to Swiss law, any insolvency or bankruptcy proceedings, any debt-restructuring moratorium or proceedings, or any receivership, dissolution, winding up, total or partial liquidation, reorganization or other similar proceedings in respect of us or a substantial part of our property, whether voluntary or involuntary;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 default having occurred with respect to the payment of principal or interest on or other monetary amounts due and payable with respect to any senior indebtedness or (ii) an event of default (other than a default described in clause (i) above) having occurred with respect to any senior indebtedness that permits the holder or holders of such senior indebtedness to accelerate the maturity of such senior indebtedness. Such a default or event of default must have continued beyond the period of grace, if any, provided in respect of such default or event of default, and such a default or event of default shall not have been cured or waived or shall not have ceased to exist; and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principal of, and accrued interest on, any series of the subordinated debt securities having been declared due and payable upon an event of default pursuant to the subordinated indenture. This declaration must not have been rescinded and annulled as provided in the subordinated indenture.</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Authentication and Delivery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will deliver the debt securities to the trustee for authentication, and the trustee will authenticate and deliver the debt securities upon our written order.</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Events of Default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When we use the term “Event of Default” in the indentures with respect to the debt securities of any series, set forth below are some examples of what we mean: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default in the payment of the principal on the debt securities when it becomes due and payable at maturity or otherwise;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default in the payment of interest on the debt securities when it becomes due and payable, and such default continues for a period of 30 days;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default in the performance, or breach, of any covenant in the indenture (other than defaults specified in clauses (1) or (2) above) and the default or breach continues for a period of 90 consecutive days or more after written notice to us by the trustee or to us and the trustee by the holders of 25% or more in aggregate principal amount of the outstanding debt securities of all series affected thereby;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occurrence of certain events of bankruptcy, insolvency, or similar proceedings with respect to us or any substantial part of our property; or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other Events of Default that may be set forth in the applicable prospectus supplement.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 Event of Default (other than an Event of Default specified in clause (4) above) with respect to the debt securities of any series then outstanding occurs and is continuing, then either the trustee or the holders of not less than 25% in principal amount of the securities of all such series then outstanding in respect of which an Event of Default has occurred may by notice in writing to us declare the entire principal amount of all debt securities of the affected series, and accrued interest, if any, to be due and payable immediately, and upon any such declaration the same shall become immediately due and payable.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 Event of Default described in clause (4) above occurs and is continuing, then the principal amount of all the debt securities then outstanding and accrued interest shall be and become due immediately and payable without any declaration, notice or other action by any holder of the debt securities or the trustee.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trustee will, within 90 days after the occurrence of any default actually known to it, give notice of the default to the holders of the debt securities of that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Satisfaction, Discharge and Defeasance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discharge our obligations under each indenture, except as to:</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rights of registration of transfer and exchange of debt securities, and our right of optional redemption, if any;</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substitution of mutilated, defaced, destroyed, lost or stolen debt securities;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rights of holders of the debt securities to receive payments of principal and interest;</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color w:val="000000"/>
        </w:rPr>
      </w:pPr>
      <w:r>
        <w:rPr>
          <w:color w:val="000000"/>
        </w:rPr>
        <w: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rights, obligations and immunities of the trustee;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rights of the holders of the debt securities as beneficiaries with respect to the property deposited with the trustee payable to them (as described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when:</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either:</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debt securities of any series issued that have been authenticated and delivered have been delivered by us to the trustee for cancellation; or</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the debt securities of any series issued that have not been delivered by us to the trustee for cancellation have become due and payable or will become due and payable within one year or are to be called for redemption within one year under arrangements satisfactory to the trustee for the giving of notice of redemption by such trustee in our name and at our expense, and we have irrevocably deposited or caused to be deposited with the trustee as trust funds the entire amount sufficient to pay at maturity or upon redemption all debt securities of such series not delivered to the trustee for cancellation, including principal and interest due or to become due on or prior to such date of maturity or redemption;</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paid or caused to be paid all other sums then due and payable under such indenture;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delivered to the trustee an officers’ certificate and an opinion of counsel, each stating that all conditions precedent under such indenture relating to the satisfaction and discharge of such indenture have been complied 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unless the applicable prospectus supplement and supplemental indenture otherwise provide, we may elect either (i) to have our obligations under each indenture discharged with respect to the outstanding debt securities of any series, or legal defeasance, or (ii) to be released from our obligations under each indenture with respect to certain covenants applicable to the outstanding debt securities of any series, or covenant defeasance. Legal defeasance means that we will be deemed to have paid and discharged the entire indebtedness represented by the outstanding debt securities of such series under such indenture and covenant defeasance means that we will no longer be required to comply with the obligations with respect to such covenants (and an omission to comply with such obligations will not constitute a default or event of default).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order to exercise legal defeasance or covenant defeasance with respect to outstanding debt securities of any series: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must irrevocably have deposited or caused to be deposited with the trustee as trust funds in trust for the purpose of making the following payments, specifically pledged as security for, and dedicated solely to the benefits of the holders of the debt securities of a series: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money in an amount;</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U.S. government obligations; or</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combination of money and U.S. government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each case sufficient without reinvestment, in the written opinion of a nationally recognized firm of independent public accountants, to pay and discharge, and which shall be applied by the trustee to pay and discharge, all of the principal and interest at due date or maturity or if we have made irrevocable arrangements satisfactory to the trustee for the giving of notice of redemption by the trustee, the redemption date;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delivered to the trustee an opinion of counsel stating that, under then applicable U.S. federal income tax law, the holders of the debt securities of that series will not recognize gain or loss for U.S.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federal income tax purposes as a result of the defeasance and will be subject to the same federal income tax as would be the case if the defeasance did not occur;</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 default relating to bankruptcy or insolvency and, in the case of a covenant defeasance, no other default has occurred and is continuing at any time;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at such time the debt securities of such series are listed on a national securities exchange, we have delivered to the trustee an opinion of counsel to the effect that the debt securities of such series will not be delisted as a result of such defeasance;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delivered to the trustee an officers’ certificate and an opinion of counsel stating that all conditions precedent with respect to the defeasance have been complied 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required to furnish to each trustee an annual statement as to compliance with all conditions and covenants under the indenture.</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19" w:name="descriptionofwarrants"/>
      <w:bookmarkEnd w:id="19"/>
      <w:r>
        <w:rPr>
          <w:rFonts w:ascii="Times New Roman" w:hAnsi="Times New Roman"/>
          <w:caps/>
          <w:color w:val="000000"/>
          <w:sz w:val="20"/>
        </w:rPr>
        <w:t>DESCRIPTION OF 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issue warrants to purchase debt securities, ordinary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prospectus supplement relating to any warrants we offer will include specific terms relating to the offering. These terms will include some or all of the following:</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title of the warrants;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aggregate number of warrants offered;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designation, number and terms of the debt securities, ordinary shares or other securities purchasable upon exercise of the warrants and procedures by which those numbers may be adjusted;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exercise price of the warrants;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dates or periods during which the warrants are exercisable;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designation and terms of any securities with which the warrants are issued;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the warrants are issued as a unit with another security, the date on and after which the warrants and the other security will be separately transferable;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the exercise price is not payable in U.S. dollars, the foreign currency, currency unit or composite currency in which the exercise price is denominated;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minimum or maximum amount of warrants that may be exercised at any one time;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terms relating to the modification of the warrants;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terms, procedures and limitations relating to the transferability, exchange or exercise of the warrants;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other specific terms of the 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terms of any warrants to be issued and a description of the material provisions of the applicable warrant agreement will be set forth in the applicable prospectus supplement.</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20" w:name="descriptionofunits"/>
      <w:bookmarkEnd w:id="20"/>
      <w:r>
        <w:rPr>
          <w:rFonts w:ascii="Times New Roman" w:hAnsi="Times New Roman"/>
          <w:caps/>
          <w:color w:val="000000"/>
          <w:sz w:val="20"/>
        </w:rPr>
        <w:t>DESCRIPTION OF UNITS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issue units comprised of one or more of the other securities that may be offered under this prospectus, in any combination. As specified in the applicable prospectus supplement, we may issue units consisting of our ordinary shares, debt securities, warrants or any combination of such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will describe: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terms of the units and of the ordinary shares, debt securities and/or warrants comprising the units, including whether and under what circumstances the securities comprising the units may be traded separately;</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description of the terms of any unit agreement governing the units or any arrangement with an agent that may act on our behalf in connection with the unit offering;</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description of the provisions for the payment, settlement, transfer or exchange of the units;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material provisions of the governing unit agreement that differ from those described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provisions described in this section, as well as those described under “Description of Share Capital and Articles of Association” (including the description of our securities and the full text of our articles of association, which are filed as Exhibit 2.5 and Exhibit 1.1, respectively, to our Annual Report, as well as any amendments thereto reflected in our subsequent filings with the SEC, all of which are incorporated by reference herein), “Description of Debt Securities” and “Description of Warrants” will apply to the securities included in each unit, to the extent relevant and as may be updated in any prospectus supplements.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description in the applicable prospectus supplement of any units we offer will not necessarily be complete and will be qualified in its entirety by reference to the applicable unit agreement, which will be filed with the SEC if we offer units. For more information on how you can obtain copies of the applicable unit agreement if we offer units, see “Where You Can Find More Information.”</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21" w:name="shareholderlimitationswissco"/>
      <w:bookmarkEnd w:id="21"/>
      <w:r>
        <w:rPr>
          <w:rFonts w:ascii="Times New Roman" w:hAnsi="Times New Roman"/>
          <w:caps/>
          <w:color w:val="000000"/>
          <w:sz w:val="20"/>
        </w:rPr>
        <w:t>LIMITATIONS AFFECTING SHAREHOLDERS OF A SWISS COMPANY</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Form and Transfer of Shares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Form of the Shares</w:t>
      </w:r>
    </w:p>
    <w:p>
      <w:pPr>
        <w:pStyle w:val="TextBody"/>
        <w:bidi w:val="0"/>
        <w:spacing w:before="0" w:after="240"/>
        <w:jc w:val="both"/>
        <w:rPr>
          <w:rFonts w:ascii="Times New Roman" w:hAnsi="Times New Roman"/>
          <w:sz w:val="20"/>
        </w:rPr>
      </w:pPr>
      <w:r>
        <w:rPr>
          <w:rFonts w:ascii="Times New Roman" w:hAnsi="Times New Roman"/>
          <w:color w:val="000000"/>
          <w:sz w:val="20"/>
        </w:rPr>
        <w:t>Ordinary shares may be issued as ordinary uncertificated securities within the meaning of article 973c CO (</w:t>
      </w:r>
      <w:r>
        <w:rPr>
          <w:rFonts w:ascii="Times New Roman" w:hAnsi="Times New Roman"/>
          <w:i/>
          <w:color w:val="000000"/>
          <w:sz w:val="20"/>
        </w:rPr>
        <w:t>Wertrechte</w:t>
      </w:r>
      <w:r>
        <w:rPr>
          <w:rFonts w:ascii="Times New Roman" w:hAnsi="Times New Roman"/>
          <w:color w:val="000000"/>
          <w:sz w:val="20"/>
        </w:rPr>
        <w:t>) and/or global certificates. In accordance with article 973c CO, we maintain a register of uncertificated securities (</w:t>
      </w:r>
      <w:r>
        <w:rPr>
          <w:rFonts w:ascii="Times New Roman" w:hAnsi="Times New Roman"/>
          <w:i/>
          <w:color w:val="000000"/>
          <w:sz w:val="20"/>
        </w:rPr>
        <w:t>Wertrechtebuch</w:t>
      </w:r>
      <w:r>
        <w:rPr>
          <w:rFonts w:ascii="Times New Roman" w:hAnsi="Times New Roman"/>
          <w:color w:val="000000"/>
          <w:sz w:val="20"/>
        </w:rPr>
        <w:t>). We may create intermediated securities (</w:t>
      </w:r>
      <w:r>
        <w:rPr>
          <w:rFonts w:ascii="Times New Roman" w:hAnsi="Times New Roman"/>
          <w:i/>
          <w:color w:val="000000"/>
          <w:sz w:val="20"/>
        </w:rPr>
        <w:t>Bucheffekten</w:t>
      </w:r>
      <w:r>
        <w:rPr>
          <w:rFonts w:ascii="Times New Roman" w:hAnsi="Times New Roman"/>
          <w:color w:val="000000"/>
          <w:sz w:val="20"/>
        </w:rPr>
        <w:t>) for ordinary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Upon its registration with the share register, a shareholder may at any time request that we issue a written confirmation of the ordinary shares held by such shareholder. However, the shareholder has no right to request the printing and delivery of share certificates nor the conversion of ordinary shares issued in one form into another form. We may, however, at any time print and deliver certificates for registered (single certificates or global certificates) and, with the consent of the shareholder, delete without replacement issued share certificates, which have been returned to it. We may convert ordinary shares from one form into another form at any time and without the approval of the shareholders. We shall bear the cost associated with any such conversion.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Transfer of Shares</w:t>
      </w:r>
    </w:p>
    <w:p>
      <w:pPr>
        <w:pStyle w:val="TextBody"/>
        <w:bidi w:val="0"/>
        <w:spacing w:before="0" w:after="240"/>
        <w:jc w:val="both"/>
        <w:rPr>
          <w:rFonts w:ascii="Times New Roman" w:hAnsi="Times New Roman"/>
          <w:sz w:val="20"/>
        </w:rPr>
      </w:pPr>
      <w:r>
        <w:rPr>
          <w:rFonts w:ascii="Times New Roman" w:hAnsi="Times New Roman"/>
          <w:color w:val="000000"/>
          <w:sz w:val="20"/>
        </w:rPr>
        <w:t>Ordinary shares in uncertificated form (</w:t>
      </w:r>
      <w:r>
        <w:rPr>
          <w:rFonts w:ascii="Times New Roman" w:hAnsi="Times New Roman"/>
          <w:i/>
          <w:color w:val="000000"/>
          <w:sz w:val="20"/>
        </w:rPr>
        <w:t>Wertrechte</w:t>
      </w:r>
      <w:r>
        <w:rPr>
          <w:rFonts w:ascii="Times New Roman" w:hAnsi="Times New Roman"/>
          <w:color w:val="000000"/>
          <w:sz w:val="20"/>
        </w:rPr>
        <w:t>) may only be transferred by way of assignment. ordinary shares or the beneficial interest in ordinary shares, as applicable, credited in a securities account may only be transferred when a credit of the relevant intermediated securities to the acquirer’s securities account is made in accordance with applicable rules.</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Share Register</w:t>
      </w:r>
    </w:p>
    <w:p>
      <w:pPr>
        <w:pStyle w:val="TextBody"/>
        <w:bidi w:val="0"/>
        <w:spacing w:before="0" w:after="240"/>
        <w:jc w:val="both"/>
        <w:rPr>
          <w:rFonts w:ascii="Times New Roman" w:hAnsi="Times New Roman"/>
          <w:sz w:val="20"/>
        </w:rPr>
      </w:pPr>
      <w:r>
        <w:rPr>
          <w:rFonts w:ascii="Times New Roman" w:hAnsi="Times New Roman"/>
          <w:color w:val="000000"/>
          <w:sz w:val="20"/>
        </w:rPr>
        <w:t>We maintain a share register (</w:t>
      </w:r>
      <w:r>
        <w:rPr>
          <w:rFonts w:ascii="Times New Roman" w:hAnsi="Times New Roman"/>
          <w:i/>
          <w:color w:val="000000"/>
          <w:sz w:val="20"/>
        </w:rPr>
        <w:t>Aktienbuch</w:t>
      </w:r>
      <w:r>
        <w:rPr>
          <w:rFonts w:ascii="Times New Roman" w:hAnsi="Times New Roman"/>
          <w:color w:val="000000"/>
          <w:sz w:val="20"/>
        </w:rPr>
        <w:t>), or the Share Register, in which the owners of the ordinary shares are registered with name, address and nationality (in case of legal entities the registered office). In relation to the Company, only those shareholders registered in the Share Register are recognized as shareholders.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article 4 of our articles of association, or the Articles of Association, acquirers of ordinary shares are, upon request and presentation of evidence of the transfer, registered as shareholders with voting rights in the Share Register if they explicitly declare to hold ordinary shares in their own name and for their own account.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of directors shall implement the necessary directions for maintaining the Share Register and it may issue corresponding regulations or guidelines. The board of directors may delegate such tasks.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invitation to the general meeting, the board of directors shall announce the record date for registration in the Share Register that is relevant with respect to the right to attend and vote.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the right to delete entries in the Share Register retroactively as of the date of the entry if the registration has been made on the basis of false information. We may give the relevant shareholder or nominee, in advance, the opportunity, to be heard. The relevant shareholder or nominee must be informed of the deletion without delay.</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Registration and Voting Right Restrictions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Articles of Association contain the following registration restrictions: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 </w:t>
      </w:r>
      <w:r>
        <w:rPr>
          <w:rFonts w:ascii="Times New Roman" w:hAnsi="Times New Roman"/>
          <w:i/>
          <w:color w:val="000000"/>
          <w:sz w:val="20"/>
        </w:rPr>
        <w:t xml:space="preserve">Regulatory Registration and Voting Right Restrictions. </w:t>
      </w:r>
      <w:r>
        <w:rPr>
          <w:rFonts w:ascii="Times New Roman" w:hAnsi="Times New Roman"/>
          <w:color w:val="000000"/>
          <w:sz w:val="20"/>
        </w:rPr>
        <w:t xml:space="preserve">According to article 4 of the Articles of Association, the board of directors may refuse the registration of an acquirer of ordinary shares in the Share Register as a shareholder with voting rights or cancel an already occurred registration of ordinary shares with voting rights from the Share Register, if (a) the number of ordinary shares held or acquired directly or indirectly or acting in concert with third parties or as an organized group by such acquirer exceeds 15% of the total number of voting rights of the Company pursuant to the entry in the commercial register, and (b) such acquirer has not submitted prior to the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acquisition of such ordinary shares an orderly tender offer to all shareholders with a minimum price of the higher of (i) the volume weighted average price of the last 60 trading days prior to the publication of the tender offer, or (ii) the highest price paid by such acquirer in the 12 months preceding to the publication of the tender offer.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Those associated through capital, voting power, joint management, beneficial ownership or in any other way, or joining for the acquisition of shares shall be regarded as one acquirer for the purposes of article 4 of the Articles of Association. Acquirers who do not meet the legal or regulatory requirements according to article 4 of the Articles of Association shall be entered in the Share Register as shareholder without voting rights for ordinary shares exceeding the limit of 15%. In case of an already occurred registration, ordinary shares exceeding the limit of 3% may be cancelled from the Share Register as ordinary shares with voting rights and instead be registered as ordinary shares without voting rights. The board of directors may enact regulations governing the details of such registration restriction. Nominees do not constitute as acquirers within the meaning of article 4 of the Articles of Association. After hearing the person concerned, we may cancel the registrations in the Share Register if those registrations were based on false information of the acquirer. In addition, according to article 4 of the Articles of Association, the board of directors may refuse the exercise of voting rights of a shareholder in excess of 15% of the total number of voting rights of the Company pursuant to the entry in the commercial register, if such shareholder does not meet the legal or regulatory requirements according to article 4 of the Articles of Association.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 </w:t>
      </w:r>
      <w:r>
        <w:rPr>
          <w:rFonts w:ascii="Times New Roman" w:hAnsi="Times New Roman"/>
          <w:i/>
          <w:color w:val="000000"/>
          <w:sz w:val="20"/>
        </w:rPr>
        <w:t xml:space="preserve">Registration and Voting Right Restrictions for ordinary shares held through Nominees. </w:t>
      </w:r>
      <w:r>
        <w:rPr>
          <w:rFonts w:ascii="Times New Roman" w:hAnsi="Times New Roman"/>
          <w:color w:val="000000"/>
          <w:sz w:val="20"/>
        </w:rPr>
        <w:t>The registration and voting right restrictions in connection with the regulatory registration and voting right restrictions described above are also applicable to ordinary shares held through nominees. Accordingly, article 4 of the Articles of Association provides that, if, any beneficial owner should as a result of such registration of a nominee being made or upheld, directly or indirectly, formally, constructively or beneficially own, or otherwise control or alone or together with third parties, hold a number of shares exceeding 3% of the total number of voting rights of the Company pursuant to the entry in the commercial register and the nominee does not, expressly declare in the registration application that it is holding the shares on its own account, and the nominee does not confirm in writing that it is willing to disclose the names, addresses and shareholdings of the persons on whose account they hold 0.5% or more of the share capital, the board of directors may refuse to register (or cancel an already occurred registration of) the nominee holding ordinary shares for the account of such beneficial owner with respect to any ordinary shares in excess of such restriction. The board of directors may make the registration with voting rights of the ordinary shares held by a nominee subject to conditions, limitations and reporting requirements and may impose or adjust such conditions, limitations and requirements once registered and may enter into agreements with nominees in this regard. Further, the voting right restrictions pursuant to article 4 of the Articles of Association as set out above also apply to ordinary shares, which are held by a nominee for the account of a person exceeding the threshold of 15% (regulatory voting right restrictions).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Apart from the registration and voting rights restrictions as described above, there are no restrictions on the transferability of the ordinary shares in the Articles of Association.</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Ownership of Shares by Non-Swiss Residents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for the limitations on voting rights described above applicable to shareholders generally and the sanctions referred to below, there is no limitation under Swiss law or our Articles of Association on the right of non-Swiss residents or nationals to own ordinary shares or to exercise voting rights attached to the ordinary shares.</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Foreign Investment and Exchange Control Regulations in Switzerland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Other than in connection with government sanctions imposed on certain persons from, in or related to the Republic of Iraq, Myanmar (Burma), Zimbabwe, Sudan, the Democratic Republic of Congo, Belarus, the Democratic People’s Republic of Korea (North Korea), Lebanon, Iran, Somalia, Guinea, Libya, Syria, Guinea-Bissau, Central African Republic, Yemen, Burundi, the Republic of South Sudan, Venezuela, Nicaragua, Haiti, Moldova, Guatemala, persons and organizations with connections to “ISIL” (“Da'esh”) and the “Al-Qaeda” or the Taliban groups, persons and organizations supporting Hamas or the Palestinian Islamic Jihad, certain persons in connection with the assassination of Rafik Hariri as well as measures in connection with the situation in Ukraine, there are currently no governmental laws, decrees or regulations in Switzerland that restrict the export or import of capital, including, but not limited to, Swiss foreign exchange controls on the payment of dividends, interest or liquidation proceeds, if any, to non-resident holders of shares.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Pre-emptive Rights and Advance Subscription Rights</w:t>
      </w:r>
    </w:p>
    <w:p>
      <w:pPr>
        <w:pStyle w:val="TextBody"/>
        <w:bidi w:val="0"/>
        <w:spacing w:before="0" w:after="240"/>
        <w:jc w:val="both"/>
        <w:rPr>
          <w:rFonts w:ascii="Times New Roman" w:hAnsi="Times New Roman"/>
          <w:sz w:val="20"/>
        </w:rPr>
      </w:pPr>
      <w:r>
        <w:rPr>
          <w:rFonts w:ascii="Times New Roman" w:hAnsi="Times New Roman"/>
          <w:color w:val="000000"/>
          <w:sz w:val="20"/>
        </w:rPr>
        <w:t>Swiss law provides that any share issue, whether for cash or non-cash consideration, is subject to the prior approval at a general meeting of shareholders. Shareholders are granted certain pre-emptive rights (</w:t>
      </w:r>
      <w:r>
        <w:rPr>
          <w:rFonts w:ascii="Times New Roman" w:hAnsi="Times New Roman"/>
          <w:i/>
          <w:color w:val="000000"/>
          <w:sz w:val="20"/>
        </w:rPr>
        <w:t>Bezugsrechte</w:t>
      </w:r>
      <w:r>
        <w:rPr>
          <w:rFonts w:ascii="Times New Roman" w:hAnsi="Times New Roman"/>
          <w:color w:val="000000"/>
          <w:sz w:val="20"/>
        </w:rPr>
        <w:t>) to subscribe for new issues of shares and advance subscription rights (</w:t>
      </w:r>
      <w:r>
        <w:rPr>
          <w:rFonts w:ascii="Times New Roman" w:hAnsi="Times New Roman"/>
          <w:i/>
          <w:color w:val="000000"/>
          <w:sz w:val="20"/>
        </w:rPr>
        <w:t>Vorwegzeichnungsrechte</w:t>
      </w:r>
      <w:r>
        <w:rPr>
          <w:rFonts w:ascii="Times New Roman" w:hAnsi="Times New Roman"/>
          <w:color w:val="000000"/>
          <w:sz w:val="20"/>
        </w:rPr>
        <w:t>) to subscribe for warrants, convertible bonds or similar debt instruments with option rights in proportion to the nominal amount of shares held. Pursuant to the Articles of Association, a resolution adopted at a general meeting by a majority of two-thirds of the votes represented at the meeting is required to repeal, limit or suspend pre-emptive rights.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22" w:name="planofdistribution"/>
      <w:bookmarkEnd w:id="22"/>
      <w:r>
        <w:rPr>
          <w:rFonts w:ascii="Times New Roman" w:hAnsi="Times New Roman"/>
          <w:caps/>
          <w:color w:val="000000"/>
          <w:sz w:val="20"/>
        </w:rPr>
        <w:t>PLAN OF DISTRIBUTION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and/or our selling security holders may offer and sell the securities in one or more of the following ways (or in any combination) from time to time: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through underwriters or dealers;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directly to a limited number of purchasers or to a single purchaser;</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block transactions;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“at the market offerings,” within the meaning of Rule 415(a)(4) of the Securities Act, to or through a market maker or into an existing trading market on an exchange or otherwise;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through agents; or</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through any other method permitted by applicable law and described in the applicable prospectus supplement.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prospectus supplement will state the terms of the offering of the securities, including:</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name or names of any underwriters, dealers or agents;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purchase price of such securities and the proceeds to be received by us, if any;</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underwriting discounts or agency fees and other items constituting underwriters’ or agents’ compensation;</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public offering price;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discounts or concessions allowed or reallowed or paid to dealers;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securities exchanges on which the securities may be listed.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public offering price and any discounts or concessions allowed or reallowed or paid to dealers may be changed from time to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underwriters are used in the sale, the securities will be acquired by the underwriters for their own account and may be resold from time to time in one or more transactions, including:</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negotiated transactions;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at a fixed public offering price or prices, which may be changed;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at market prices prevailing at the time of sale;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at prices related to prevailing market prices; or</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at negotiated prices.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securities may be sold through agents from time to time. The prospectus supplement will name any agent involved in the offer or sale of the securities and any commissions paid to them. Generally, any agent will be acting on a commercially reasonable efforts basis for the period of its appointment.</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and/or our selling security holders may also agree to sell, and the relevant underwriters or agents may agree to solicit offers to purchase, blocks of our ordinary shares or other securities. The terms of each such distribution agreement will be described in a prospectus supplement.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and/or our selling security holders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Underwriters and/or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Underwriters and agents may be customers of, engage in transactions with, or perform services for us and our affiliates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23" w:name="taxation"/>
      <w:bookmarkEnd w:id="23"/>
      <w:r>
        <w:rPr>
          <w:rFonts w:ascii="Times New Roman" w:hAnsi="Times New Roman"/>
          <w:caps/>
          <w:color w:val="000000"/>
          <w:sz w:val="20"/>
        </w:rPr>
        <w:t>TAXATION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material U.S. federal income tax and, to the extent applicable, material Swiss tax consequences relating to the purchase, ownership and disposition of any of the securities offered by this prospectus will be set forth in the prospectus supplement pertaining to those securities.</w:t>
      </w:r>
    </w:p>
    <w:p>
      <w:pPr>
        <w:pStyle w:val="Heading1"/>
        <w:bidi w:val="0"/>
        <w:spacing w:before="0" w:after="240"/>
        <w:jc w:val="center"/>
        <w:rPr>
          <w:rFonts w:ascii="Times New Roman" w:hAnsi="Times New Roman"/>
          <w:caps/>
          <w:color w:val="000000"/>
          <w:sz w:val="20"/>
        </w:rPr>
      </w:pPr>
      <w:bookmarkStart w:id="24" w:name="expenses"/>
      <w:bookmarkEnd w:id="24"/>
      <w:r>
        <w:rPr>
          <w:rFonts w:ascii="Times New Roman" w:hAnsi="Times New Roman"/>
          <w:caps/>
          <w:color w:val="000000"/>
          <w:sz w:val="20"/>
        </w:rPr>
        <w:t>EXPENSES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 All amounts are estimated.</w:t>
      </w:r>
    </w:p>
    <w:tbl>
      <w:tblPr>
        <w:tblW w:w="3730" w:type="dxa"/>
        <w:jc w:val="left"/>
        <w:tblInd w:w="0" w:type="dxa"/>
        <w:tblLayout w:type="fixed"/>
        <w:tblCellMar>
          <w:top w:w="28" w:type="dxa"/>
          <w:left w:w="28" w:type="dxa"/>
          <w:bottom w:w="28" w:type="dxa"/>
          <w:right w:w="28" w:type="dxa"/>
        </w:tblCellMar>
      </w:tblPr>
      <w:tblGrid>
        <w:gridCol w:w="2776"/>
        <w:gridCol w:w="109"/>
        <w:gridCol w:w="302"/>
        <w:gridCol w:w="389"/>
        <w:gridCol w:w="154"/>
      </w:tblGrid>
      <w:tr>
        <w:trPr/>
        <w:tc>
          <w:tcPr>
            <w:tcW w:w="2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 registration fee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FINRA filing fee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Printing and engraving expenses</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fees and expenses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fees and expenses</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 costs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bottom w:val="single" w:sz="4" w:space="1" w:color="000000"/>
        </w:pBdr>
        <w:bidi w:val="0"/>
        <w:spacing w:before="0" w:after="120"/>
        <w:jc w:val="left"/>
        <w:rPr/>
      </w:pPr>
      <w:r>
        <w:rPr/>
        <w:t>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(1) This registration statement relates to the registration of securities having an indeterminate maximum aggregate amount. Payment of the registration fee has been deferred and will be calculated and paid in accordance with Rule 456(b) and Rule 457(r) under the Securities Act.</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(2) These fees are calculated based on the securities offered and the number of issuances and accordingly cannot be estimated at the time.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25" w:name="legalmatters"/>
      <w:bookmarkEnd w:id="25"/>
      <w:r>
        <w:rPr>
          <w:rFonts w:ascii="Times New Roman" w:hAnsi="Times New Roman"/>
          <w:caps/>
          <w:color w:val="000000"/>
          <w:sz w:val="20"/>
        </w:rPr>
        <w:t>LEGAL MATTERS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validity of the securities offered hereby on behalf of the Company and certain other matters of Swiss law, including matters of Swiss income tax law, will be passed upon for us by VISCHER AG, Basel, Switzerland. Certain matters of U.S. federal law will be passed upon for us by Cooley LLP, New York, New York. Additional legal matters may be passed on for us, or any underwriters, dealers or agents by counsel we will name in the applicable prospectus supplement.</w:t>
      </w:r>
    </w:p>
    <w:p>
      <w:pPr>
        <w:pStyle w:val="Heading1"/>
        <w:bidi w:val="0"/>
        <w:spacing w:before="0" w:after="240"/>
        <w:jc w:val="center"/>
        <w:rPr>
          <w:rFonts w:ascii="Times New Roman" w:hAnsi="Times New Roman"/>
          <w:caps/>
          <w:color w:val="000000"/>
          <w:sz w:val="20"/>
        </w:rPr>
      </w:pPr>
      <w:bookmarkStart w:id="26" w:name="experts"/>
      <w:bookmarkEnd w:id="26"/>
      <w:r>
        <w:rPr>
          <w:rFonts w:ascii="Times New Roman" w:hAnsi="Times New Roman"/>
          <w:caps/>
          <w:color w:val="000000"/>
          <w:sz w:val="20"/>
        </w:rPr>
        <w:t>EXPERTS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20-F for the year ended December 31, 2025 have been so incorporated in reliance on the report of PricewaterhouseCoopers SA, an independent registered accounting firm, given on the authority of said firm as experts in auditing and accounting. PricewaterhouseCoopers SA is a member of EXPERTsuisse — Swiss Expert Association for Audit, Tax and Fiduciary.</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40"/>
        <w:jc w:val="center"/>
        <w:rPr>
          <w:rFonts w:ascii="Times New Roman" w:hAnsi="Times New Roman"/>
          <w:caps/>
          <w:color w:val="000000"/>
          <w:sz w:val="20"/>
        </w:rPr>
      </w:pPr>
      <w:bookmarkStart w:id="27" w:name="serviceprocess_civil"/>
      <w:bookmarkEnd w:id="27"/>
      <w:r>
        <w:rPr>
          <w:rFonts w:ascii="Times New Roman" w:hAnsi="Times New Roman"/>
          <w:caps/>
          <w:color w:val="000000"/>
          <w:sz w:val="20"/>
        </w:rPr>
        <w:t>SERVICE OF PROCESS AND ENFORCEABILITY OF CIVIL LIABILITIES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organized under the laws of Switzerland and our registered office and domicile is located in Zug, Switzerland. Moreover, a number of our directors and executive officers are not residents of the United States, and a substantial portion of the assets of such persons are located outside the U.S. As a result, it may not be possible for investors to effect service of process within the United States upon us or upon such persons or to enforce against us or them judgments obtained in United States courts, including judgments in actions predicated upon the civil liability provisions of U.S. federal securities laws.</w:t>
      </w:r>
    </w:p>
    <w:p>
      <w:pPr>
        <w:pStyle w:val="TextBody"/>
        <w:bidi w:val="0"/>
        <w:spacing w:before="0" w:after="240"/>
        <w:jc w:val="both"/>
        <w:rPr>
          <w:rFonts w:ascii="Times New Roman" w:hAnsi="Times New Roman"/>
          <w:sz w:val="20"/>
        </w:rPr>
      </w:pPr>
      <w:r>
        <w:rPr>
          <w:rFonts w:ascii="Times New Roman" w:hAnsi="Times New Roman"/>
          <w:color w:val="000000"/>
          <w:sz w:val="20"/>
        </w:rPr>
        <w:t>We have been advised by our Swiss counsel, VISCHER AG,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of December 18, 1987, as amended, or the PILA. The PILA provides that the application of provisions of non-Swiss law by the courts in Switzerland shall be precluded if the result would be incompatible with Swiss public policy (</w:t>
      </w:r>
      <w:r>
        <w:rPr>
          <w:rFonts w:ascii="Times New Roman" w:hAnsi="Times New Roman"/>
          <w:i/>
          <w:color w:val="000000"/>
          <w:sz w:val="20"/>
        </w:rPr>
        <w:t>ordre public</w:t>
      </w:r>
      <w:r>
        <w:rPr>
          <w:rFonts w:ascii="Times New Roman" w:hAnsi="Times New Roman"/>
          <w:color w:val="000000"/>
          <w:sz w:val="20"/>
        </w:rPr>
        <w:t>). Also, mandatory provisions of Swiss law may be applicable regardless of any other law that would otherwise apply.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appointed Oculis US,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Switzerland and the United States do not, as of the date of this proxy statement/prospectus, have a treaty providing for reciprocal recognition of and enforcement of judgments in civil and commercial matters. The recognition and enforcement of a judgment of the courts of the United States in Switzerland is governed by the principles set forth in the PILA. This statute provides in principle that a judgment rendered by a non-Swiss court may be enforced in Switzerland only if:</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non-Swiss court had jurisdiction pursuant to the PILA;</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judgment of such non-Swiss court has become final and non-appealable;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counterparty has been properly served with process according to the law of the state of his/her/its domicile or ordinary residence (if in Switzerland, through judicial aid granted by the Swiss authorities) or the counterparty has unconditionally joined the proceedings;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recognition of the foreign judgment is not manifestly contrary to the public policy or the law in Switzerland;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proceedings leading to the judgment have respected the principles of a fair trial (as understood in Switzerland) and, in particular, that the counterparty has been granted the right to be heard and the possibility to properly defend his/her/its case;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 action between the same parties and on the same subject matter has been commenced or decided first in a Swiss court and no judgment between the same parties and on the same subject matter has been first rendered by a foreign court, which judgment may be recognized in Switzerland.</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28" w:name="more_information"/>
      <w:bookmarkEnd w:id="28"/>
      <w:r>
        <w:rPr>
          <w:rFonts w:ascii="Times New Roman" w:hAnsi="Times New Roman"/>
          <w:caps/>
          <w:color w:val="000000"/>
          <w:sz w:val="20"/>
        </w:rPr>
        <w:t>WHERE YOU CAN FIND MORE INFORMATION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We are subject to the periodic reporting and other information requirements of the Exchange Act as applicable to a “foreign private issuer,” and we will file annual reports and other information from time to time with the SEC in accordance with such requirements. Our SEC filings will be available to the public on the internet at a website maintained by the SEC located at </w:t>
      </w:r>
      <w:r>
        <w:rPr>
          <w:rFonts w:ascii="Times New Roman" w:hAnsi="Times New Roman"/>
          <w:i/>
          <w:color w:val="000000"/>
          <w:sz w:val="20"/>
        </w:rPr>
        <w:t>www.sec.gov</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We also maintain a website at </w:t>
      </w:r>
      <w:r>
        <w:rPr>
          <w:rFonts w:ascii="Times New Roman" w:hAnsi="Times New Roman"/>
          <w:i/>
          <w:color w:val="000000"/>
          <w:sz w:val="20"/>
        </w:rPr>
        <w:t>www.oculis.com</w:t>
      </w:r>
      <w:r>
        <w:rPr>
          <w:rFonts w:ascii="Times New Roman" w:hAnsi="Times New Roman"/>
          <w:color w:val="000000"/>
          <w:sz w:val="20"/>
        </w:rPr>
        <w:t>. We will make available on our website,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 This prospectus is part of a registration statement that we filed with the SEC and does not contain all of the information in the registration statement. You should review the information and exhibits in the registration statement for further information on us and the securities that we are offering. Forms of any indenture or other documents establishing the terms of the offered securities are filed as exhibits to the registration statement of which this prospectus forms a part or under cover of a Report on Form 6-K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40"/>
        <w:jc w:val="center"/>
        <w:rPr>
          <w:rFonts w:ascii="Times New Roman" w:hAnsi="Times New Roman"/>
          <w:caps/>
          <w:color w:val="000000"/>
          <w:sz w:val="20"/>
        </w:rPr>
      </w:pPr>
      <w:bookmarkStart w:id="29" w:name="incorporation_reference"/>
      <w:bookmarkEnd w:id="29"/>
      <w:r>
        <w:rPr>
          <w:rFonts w:ascii="Times New Roman" w:hAnsi="Times New Roman"/>
          <w:caps/>
          <w:color w:val="000000"/>
          <w:sz w:val="20"/>
        </w:rPr>
        <w:t>INCORPORATION BY REFERENCE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rather than filed, and, except as may be noted in any such Form 6-K, exhibits filed on such form that are related to such information), until the offering of the securities under the registration statement of which this prospectus forms a part is terminated or completed:</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Times New Roman" w:hAnsi="Times New Roman"/>
          <w:color w:val="000000"/>
          <w:sz w:val="20"/>
        </w:rPr>
        <w:t xml:space="preserve">the description of our ordinary shares contained in our Registration Statement on </w:t>
      </w:r>
      <w:hyperlink r:id="rId3">
        <w:r>
          <w:rPr>
            <w:rStyle w:val="InternetLink"/>
            <w:rFonts w:ascii="Times New Roman" w:hAnsi="Times New Roman"/>
            <w:color w:val="0000FF"/>
            <w:sz w:val="20"/>
            <w:u w:val="single"/>
          </w:rPr>
          <w:t>Form 8-A</w:t>
        </w:r>
      </w:hyperlink>
      <w:r>
        <w:rPr>
          <w:rFonts w:ascii="Times New Roman" w:hAnsi="Times New Roman"/>
          <w:color w:val="000000"/>
          <w:sz w:val="20"/>
        </w:rPr>
        <w:t>, filed with the SEC on March 1, 2023, including any amendments or reports filed for the purpose of updating the description; and</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Times New Roman" w:hAnsi="Times New Roman"/>
          <w:color w:val="000000"/>
          <w:sz w:val="20"/>
        </w:rPr>
        <w:t xml:space="preserve">our Annual Report on </w:t>
      </w:r>
      <w:hyperlink r:id="rId4">
        <w:r>
          <w:rPr>
            <w:rStyle w:val="InternetLink"/>
            <w:rFonts w:ascii="Times New Roman" w:hAnsi="Times New Roman"/>
            <w:color w:val="0000FF"/>
            <w:sz w:val="20"/>
            <w:u w:val="single"/>
          </w:rPr>
          <w:t>Form 20-F</w:t>
        </w:r>
      </w:hyperlink>
      <w:r>
        <w:rPr>
          <w:color w:val="000000"/>
        </w:rPr>
        <w:t xml:space="preserve"> </w:t>
      </w:r>
      <w:r>
        <w:rPr>
          <w:rFonts w:ascii="Times New Roman" w:hAnsi="Times New Roman"/>
          <w:color w:val="000000"/>
          <w:sz w:val="20"/>
        </w:rPr>
        <w:t>for the year ended December 31, 2025, filed with the SEC on March 4, 2026.</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You can obtain any of the filings incorporated by reference in this prospectus through us or from the SEC through the SEC’s website at </w:t>
      </w:r>
      <w:r>
        <w:rPr>
          <w:rFonts w:ascii="Times New Roman" w:hAnsi="Times New Roman"/>
          <w:i/>
          <w:color w:val="000000"/>
          <w:sz w:val="20"/>
        </w:rPr>
        <w:t>www.sec.gov</w:t>
      </w:r>
      <w:r>
        <w:rPr>
          <w:rFonts w:ascii="Times New Roman" w:hAnsi="Times New Roman"/>
          <w:color w:val="000000"/>
          <w:sz w:val="20"/>
        </w:rPr>
        <w:t>. Our filings with the SEC, including our annual reports on Form 20-F and reports on Form 6-K and exhibits incorporated in and amendments to those reports, are also available free of charge on our website (</w:t>
      </w:r>
      <w:r>
        <w:rPr>
          <w:rFonts w:ascii="Times New Roman" w:hAnsi="Times New Roman"/>
          <w:i/>
          <w:color w:val="000000"/>
          <w:sz w:val="20"/>
        </w:rPr>
        <w:t>www.oculis.com</w:t>
      </w:r>
      <w:r>
        <w:rPr>
          <w:rFonts w:ascii="Times New Roman" w:hAnsi="Times New Roman"/>
          <w:color w:val="000000"/>
          <w:sz w:val="20"/>
        </w:rPr>
        <w:t>)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us at the following address and telephone number:</w:t>
      </w:r>
    </w:p>
    <w:p>
      <w:pPr>
        <w:pStyle w:val="TextBody"/>
        <w:bidi w:val="0"/>
        <w:jc w:val="center"/>
        <w:rPr>
          <w:rFonts w:ascii="Times New Roman" w:hAnsi="Times New Roman"/>
          <w:color w:val="000000"/>
          <w:sz w:val="20"/>
        </w:rPr>
      </w:pPr>
      <w:r>
        <w:rPr>
          <w:rFonts w:ascii="Times New Roman" w:hAnsi="Times New Roman"/>
          <w:color w:val="000000"/>
          <w:sz w:val="20"/>
        </w:rPr>
        <w:t>Oculis Holding AG</w:t>
        <w:br/>
        <w:t>Bahnhofstrasse 20</w:t>
        <w:br/>
        <w:t>CH-6300</w:t>
        <w:br/>
        <w:t>Zug, Switzerland</w:t>
        <w:br/>
        <w:t>Attn: Investor Relations</w:t>
        <w:br/>
        <w:t>+41 41 711 39 60</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3362325"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3362325" cy="619125"/>
                    </a:xfrm>
                    <a:prstGeom prst="rect">
                      <a:avLst/>
                    </a:prstGeom>
                  </pic:spPr>
                </pic:pic>
              </a:graphicData>
            </a:graphic>
          </wp:inline>
        </w:drawing>
      </w:r>
    </w:p>
    <w:p>
      <w:pPr>
        <w:pStyle w:val="TextBody"/>
        <w:bidi w:val="0"/>
        <w:spacing w:before="240" w:after="240"/>
        <w:jc w:val="center"/>
        <w:rPr>
          <w:rFonts w:ascii="Times New Roman" w:hAnsi="Times New Roman"/>
          <w:b/>
          <w:color w:val="000000"/>
          <w:sz w:val="44"/>
        </w:rPr>
      </w:pPr>
      <w:r>
        <w:rPr>
          <w:rFonts w:ascii="Times New Roman" w:hAnsi="Times New Roman"/>
          <w:b/>
          <w:color w:val="000000"/>
          <w:sz w:val="44"/>
        </w:rPr>
        <w:t>Oculis Holding AG</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Ordinary Shares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Debt Securities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Warrants</w:t>
      </w:r>
    </w:p>
    <w:p>
      <w:pPr>
        <w:pStyle w:val="TextBody"/>
        <w:bidi w:val="0"/>
        <w:jc w:val="center"/>
        <w:rPr>
          <w:rFonts w:ascii="Times New Roman" w:hAnsi="Times New Roman"/>
          <w:b/>
          <w:color w:val="000000"/>
          <w:sz w:val="20"/>
        </w:rPr>
      </w:pPr>
      <w:r>
        <w:rPr>
          <w:rFonts w:ascii="Times New Roman" w:hAnsi="Times New Roman"/>
          <w:b/>
          <w:color w:val="000000"/>
          <w:sz w:val="20"/>
        </w:rPr>
        <w:t>Units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pBdr>
          <w:bottom w:val="single" w:sz="4" w:space="1" w:color="000000"/>
        </w:pBdr>
        <w:bidi w:val="0"/>
        <w:spacing w:before="0" w:after="24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w:t>
      </w:r>
    </w:p>
    <w:p>
      <w:pPr>
        <w:pStyle w:val="TextBody"/>
        <w:pBdr>
          <w:bottom w:val="single" w:sz="4" w:space="1" w:color="000000"/>
        </w:pBdr>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w:t>
      </w:r>
    </w:p>
    <w:p>
      <w:pPr>
        <w:pStyle w:val="TextBody"/>
        <w:bidi w:val="0"/>
        <w:jc w:val="left"/>
        <w:rPr>
          <w:rFonts w:ascii="Times New Roman" w:hAnsi="Times New Roman"/>
          <w:b/>
          <w:color w:val="000000"/>
          <w:sz w:val="20"/>
        </w:rPr>
      </w:pPr>
      <w:r>
        <w:rPr>
          <w:rFonts w:ascii="Times New Roman" w:hAnsi="Times New Roman"/>
          <w:b/>
          <w:color w:val="000000"/>
          <w:sz w:val="20"/>
        </w:rPr>
        <w:t>(TO PROSPECTUS DATED MARCH 4, 2026)</w:t>
      </w:r>
    </w:p>
    <w:p>
      <w:pPr>
        <w:pStyle w:val="TextBody"/>
        <w:bidi w:val="0"/>
        <w:jc w:val="left"/>
        <w:rPr/>
      </w:pPr>
      <w:r>
        <w:rPr/>
        <w:t> </w:t>
      </w:r>
    </w:p>
    <w:p>
      <w:pPr>
        <w:pStyle w:val="TextBody"/>
        <w:bidi w:val="0"/>
        <w:jc w:val="center"/>
        <w:rPr/>
      </w:pPr>
      <w:r>
        <w:rPr/>
        <w:drawing>
          <wp:inline distT="0" distB="0" distL="0" distR="0">
            <wp:extent cx="2305050"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2305050" cy="428625"/>
                    </a:xfrm>
                    <a:prstGeom prst="rect">
                      <a:avLst/>
                    </a:prstGeom>
                  </pic:spPr>
                </pic:pic>
              </a:graphicData>
            </a:graphic>
          </wp:inline>
        </w:drawing>
      </w:r>
    </w:p>
    <w:p>
      <w:pPr>
        <w:pStyle w:val="TextBody"/>
        <w:bidi w:val="0"/>
        <w:spacing w:before="120" w:after="283"/>
        <w:jc w:val="center"/>
        <w:rPr>
          <w:rFonts w:ascii="Times New Roman" w:hAnsi="Times New Roman"/>
          <w:b/>
          <w:color w:val="000000"/>
          <w:sz w:val="44"/>
        </w:rPr>
      </w:pPr>
      <w:r>
        <w:rPr>
          <w:rFonts w:ascii="Times New Roman" w:hAnsi="Times New Roman"/>
          <w:b/>
          <w:color w:val="000000"/>
          <w:sz w:val="44"/>
        </w:rPr>
        <w:t>Oculis Holding AG</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Up to $100,000,000</w:t>
      </w:r>
    </w:p>
    <w:p>
      <w:pPr>
        <w:pStyle w:val="TextBody"/>
        <w:bidi w:val="0"/>
        <w:jc w:val="center"/>
        <w:rPr>
          <w:rFonts w:ascii="Times New Roman" w:hAnsi="Times New Roman"/>
          <w:b/>
          <w:color w:val="000000"/>
          <w:sz w:val="28"/>
        </w:rPr>
      </w:pPr>
      <w:r>
        <w:rPr>
          <w:rFonts w:ascii="Times New Roman" w:hAnsi="Times New Roman"/>
          <w:b/>
          <w:color w:val="000000"/>
          <w:sz w:val="28"/>
        </w:rPr>
        <w:t>Ordinary Shares</w:t>
      </w:r>
    </w:p>
    <w:p>
      <w:pPr>
        <w:pStyle w:val="TextBody"/>
        <w:pBdr>
          <w:bottom w:val="single" w:sz="4" w:space="1" w:color="000000"/>
        </w:pBdr>
        <w:bidi w:val="0"/>
        <w:spacing w:before="0" w:after="24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entered into an amended and restated sales agreement, or the Sales Agreement, with Leerink Partners LLC, or Leerink Partners, dated March 4, 2026, relating to the sale of our ordinary shares, nominal value CHF 0.01 per share, offered by this prospectus supplement. In accordance with the terms of the Sales Agreement, under this prospectus supplement, we may offer and sell ordinary shares having aggregate gross sales proceeds of up to $100,000,000 from time to time through Leerink Partners, acting as our sales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ordinary shares are traded on The Nasdaq Global Market, or Nasdaq, and The Nasdaq Iceland Main Market, or Nasdaq Iceland, under the symbol “OCS.” On March 2, 2026, the last sale price of our ordinary shares as reported by Nasdaq was $28.61 per ordinary share. On March 2, 2026, the last sale price of our ordinary shares as reported by Nasdaq Iceland was ISK 3,510.00 per ordinary share.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a “foreign private issuer” under applicable Securities and Exchange Commission, or SEC, rules and are eligible for reduced public company disclosure requirements.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Sales of our ordinary shares, if any, under this prospectus supplement and the accompanying base prospectus will be made by any method permitted that is deemed to be an “at the market offering” as defined in Rule 415(a)(4) under the Securities Act of 1933, as amended, or the Securities Act. Leerink Partners is not required to sell any specific number or dollar amount of securities but will act as a sales agent using commercially reasonable efforts consistent with its normal trading and sales practices, on mutually agreed terms between Leerink Partners and us. There is no arrangement for funds to be received in any escrow, trust or similar arrangement.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compensation to Leerink Partners for sales of ordinary shares sold pursuant to the Sales Agreement will be up to 3.0% of the gross proceeds of any ordinary shares sold under the Sales Agreement. In connection with the sale of the ordinary shares on our behalf, Leerink Partners will be deemed to be an “underwriter” within the meaning of the Securities Act and the compensation of Leerink Partners will be deemed to be underwriting commissions or discounts. We have also agreed to provide indemnification and contribution to Leerink Partners with respect to certain liabilities, including liabilities under the Securities Act or the Securities Exchange Act of 1934, as amended, or the Exchange Act. See “Plan of Distribution” beginning on page S-11 for additional information regarding Leerink Partners’ compensation.</w:t>
      </w:r>
    </w:p>
    <w:p>
      <w:pPr>
        <w:pStyle w:val="TextBody"/>
        <w:pBdr>
          <w:bottom w:val="single" w:sz="4" w:space="1" w:color="000000"/>
        </w:pBdr>
        <w:bidi w:val="0"/>
        <w:spacing w:before="0" w:after="240"/>
        <w:jc w:val="center"/>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INVESTING IN OUR ORDINARY SHARES INVOLVES SIGNIFICANT RISKS. YOU SHOULD REVIEW CAREFULLY THE RISK FACTORS ON PAGE S-4 OF THIS PROSPECTUS SUPPLEMENT AND UNDER SIMILAR HEADINGS IN OTHER DOCUMENTS THAT ARE INCORPORATED BY REFERENCE INTO THIS PROSPECTUS SUPPLEMENT AND THE BASE PROSPECTUS CONCERNING FACTORS YOU SHOULD CONSIDER BEFORE INVESTING IN OUR ORDINARY SHARES.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Neither the SEC nor any state securities commission has approved or disapproved of these securities or passed upon the adequacy or accuracy of this prospectus supplement. Any representation to the contrary is a criminal offense.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Leerink Partners</w:t>
      </w:r>
    </w:p>
    <w:p>
      <w:pPr>
        <w:pStyle w:val="TextBody"/>
        <w:pBdr>
          <w:bottom w:val="single" w:sz="4" w:space="1" w:color="000000"/>
        </w:pBdr>
        <w:bidi w:val="0"/>
        <w:spacing w:before="0" w:after="24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date of this prospectus supplement is March 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7607" w:type="dxa"/>
        <w:jc w:val="left"/>
        <w:tblInd w:w="0" w:type="dxa"/>
        <w:tblLayout w:type="fixed"/>
        <w:tblCellMar>
          <w:top w:w="28" w:type="dxa"/>
          <w:left w:w="28" w:type="dxa"/>
          <w:bottom w:w="28" w:type="dxa"/>
          <w:right w:w="28" w:type="dxa"/>
        </w:tblCellMar>
      </w:tblPr>
      <w:tblGrid>
        <w:gridCol w:w="7081"/>
        <w:gridCol w:w="526"/>
      </w:tblGrid>
      <w:tr>
        <w:trPr/>
        <w:tc>
          <w:tcPr>
            <w:tcW w:w="70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1_about_prospectus">
              <w:r>
                <w:rPr>
                  <w:rStyle w:val="InternetLink"/>
                  <w:rFonts w:ascii="Times New Roman" w:hAnsi="Times New Roman"/>
                  <w:color w:val="0000FF"/>
                  <w:sz w:val="20"/>
                  <w:u w:val="single"/>
                </w:rPr>
                <w:t>ABOUT THIS PROSPECTUS SUPPLEMENT</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S-ii</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2_prospectussummary">
              <w:r>
                <w:rPr>
                  <w:rStyle w:val="InternetLink"/>
                  <w:rFonts w:ascii="Times New Roman" w:hAnsi="Times New Roman"/>
                  <w:color w:val="0000FF"/>
                  <w:sz w:val="20"/>
                  <w:u w:val="single"/>
                </w:rPr>
                <w:t>PROSPECTUS SUPPLEMENT SUMMARY</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3_offering">
              <w:r>
                <w:rPr>
                  <w:rStyle w:val="InternetLink"/>
                  <w:rFonts w:ascii="Times New Roman" w:hAnsi="Times New Roman"/>
                  <w:color w:val="0000FF"/>
                  <w:sz w:val="20"/>
                  <w:u w:val="single"/>
                </w:rPr>
                <w:t>THE OFFERING</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S-3</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4_riskfactors">
              <w:r>
                <w:rPr>
                  <w:rStyle w:val="InternetLink"/>
                  <w:rFonts w:ascii="Times New Roman" w:hAnsi="Times New Roman"/>
                  <w:color w:val="0000FF"/>
                  <w:sz w:val="20"/>
                  <w:u w:val="single"/>
                </w:rPr>
                <w:t>RISK FACTORS</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S-4</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5_fls">
              <w:r>
                <w:rPr>
                  <w:rStyle w:val="InternetLink"/>
                  <w:rFonts w:ascii="Times New Roman" w:hAnsi="Times New Roman"/>
                  <w:color w:val="0000FF"/>
                  <w:sz w:val="20"/>
                  <w:u w:val="single"/>
                </w:rPr>
                <w:t>SPECIAL NOTE REGARDING FORWARD-LOOKING STATEMENTS</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S-6</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6_proceeds">
              <w:r>
                <w:rPr>
                  <w:rStyle w:val="InternetLink"/>
                  <w:rFonts w:ascii="Times New Roman" w:hAnsi="Times New Roman"/>
                  <w:color w:val="0000FF"/>
                  <w:sz w:val="20"/>
                  <w:u w:val="single"/>
                </w:rPr>
                <w:t>USE OF PROCEEDS</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S-8</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7_dilution">
              <w:r>
                <w:rPr>
                  <w:rStyle w:val="InternetLink"/>
                  <w:rFonts w:ascii="Times New Roman" w:hAnsi="Times New Roman"/>
                  <w:color w:val="0000FF"/>
                  <w:sz w:val="20"/>
                  <w:u w:val="single"/>
                </w:rPr>
                <w:t>DILUTION</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S-9</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8_distribution">
              <w:r>
                <w:rPr>
                  <w:rStyle w:val="InternetLink"/>
                  <w:rFonts w:ascii="Times New Roman" w:hAnsi="Times New Roman"/>
                  <w:color w:val="0000FF"/>
                  <w:sz w:val="20"/>
                  <w:u w:val="single"/>
                </w:rPr>
                <w:t>PLAN OF DISTRIBUTION</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S-11</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9_us_tax">
              <w:r>
                <w:rPr>
                  <w:rStyle w:val="InternetLink"/>
                  <w:rFonts w:ascii="Times New Roman" w:hAnsi="Times New Roman"/>
                  <w:color w:val="0000FF"/>
                  <w:sz w:val="20"/>
                  <w:u w:val="single"/>
                </w:rPr>
                <w:t>MATERIAL U.S. FEDERAL INCOME TAX CONSIDERATIONS FOR U.S. HOLDERS</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S-13</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10_swisstax">
              <w:r>
                <w:rPr>
                  <w:rStyle w:val="InternetLink"/>
                  <w:rFonts w:ascii="Times New Roman" w:hAnsi="Times New Roman"/>
                  <w:color w:val="0000FF"/>
                  <w:sz w:val="20"/>
                  <w:u w:val="single"/>
                </w:rPr>
                <w:t>MATERIAL SWISS INCOME TAX IMPLICATIONS</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S-19</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11_dividend">
              <w:r>
                <w:rPr>
                  <w:rStyle w:val="InternetLink"/>
                  <w:rFonts w:ascii="Times New Roman" w:hAnsi="Times New Roman"/>
                  <w:color w:val="0000FF"/>
                  <w:sz w:val="20"/>
                  <w:u w:val="single"/>
                </w:rPr>
                <w:t>DIVIDEND POLICY</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S-20</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12_legalmatters">
              <w:r>
                <w:rPr>
                  <w:rStyle w:val="InternetLink"/>
                  <w:rFonts w:ascii="Times New Roman" w:hAnsi="Times New Roman"/>
                  <w:color w:val="0000FF"/>
                  <w:sz w:val="20"/>
                  <w:u w:val="single"/>
                </w:rPr>
                <w:t>LEGAL MATTERS</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S-20</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13_experts">
              <w:r>
                <w:rPr>
                  <w:rStyle w:val="InternetLink"/>
                  <w:rFonts w:ascii="Times New Roman" w:hAnsi="Times New Roman"/>
                  <w:color w:val="0000FF"/>
                  <w:sz w:val="20"/>
                  <w:u w:val="single"/>
                </w:rPr>
                <w:t>EXPERTS</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S-20</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14_more_info">
              <w:r>
                <w:rPr>
                  <w:rStyle w:val="InternetLink"/>
                  <w:rFonts w:ascii="Times New Roman" w:hAnsi="Times New Roman"/>
                  <w:color w:val="0000FF"/>
                  <w:sz w:val="20"/>
                  <w:u w:val="single"/>
                </w:rPr>
                <w:t>WHERE YOU CAN FIND MORE INFORMATION</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S-20</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_15_incorporation_ref">
              <w:r>
                <w:rPr>
                  <w:rStyle w:val="InternetLink"/>
                  <w:rFonts w:ascii="Times New Roman" w:hAnsi="Times New Roman"/>
                  <w:color w:val="0000FF"/>
                  <w:sz w:val="20"/>
                  <w:u w:val="single"/>
                </w:rPr>
                <w:t>INCORPORATION BY REFERENCE</w:t>
              </w:r>
            </w:hyperlink>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S-20</w:t>
            </w:r>
          </w:p>
        </w:tc>
      </w:tr>
    </w:tbl>
    <w:p>
      <w:pPr>
        <w:pStyle w:val="TextBody"/>
        <w:bidi w:val="0"/>
        <w:spacing w:before="0" w:after="120"/>
        <w:jc w:val="left"/>
        <w:rPr/>
      </w:pPr>
      <w:r>
        <w:rPr/>
        <w:t> </w:t>
      </w:r>
    </w:p>
    <w:p>
      <w:pPr>
        <w:pStyle w:val="TextBody"/>
        <w:bidi w:val="0"/>
        <w:spacing w:before="0" w:after="12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30" w:name="s_1_about_prospectus"/>
      <w:bookmarkEnd w:id="30"/>
      <w:r>
        <w:rPr>
          <w:rFonts w:ascii="Times New Roman" w:hAnsi="Times New Roman"/>
          <w:caps/>
          <w:color w:val="000000"/>
          <w:sz w:val="20"/>
        </w:rPr>
        <w:t>ABOUT THIS PROSPECTUS SUPPLEMENT</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prospectus supplement is part of an automatic registration statement that we have filed with the Securities and Exchange Commission, or the SEC, as a “well-known seasoned issuer” as defined in Rule 405 under the Securities Act. Under the shelf registration process, we may offer ordinary shares having an indeterminate aggregate offering price. Under this prospectus supplement, we may offer ordinary shares having aggregate gross sales proceeds of up to $100,000,000 from time to time at prices and on terms to be determined by market conditions at the time of offering. Before buying any of the ordinary shares that we are offering, we urge you to carefully read this prospectus supplement, the accompanying base prospectus, any free writing prospectus that we have authorized for use in connection with this offering, and the information incorporated by reference as described under the headings “Where You Can Find More Information” and “Incorporation by Reference” in this prospectus supplement. These documents contain important information that you should consider when making your investment decision. Generally, when we refer to this “prospectus,” we are referring to the sales agreement prospectus supplement and the accompanying base prospectus combined.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prospectus supplement describes the terms of this offering of ordinary shares and also adds to and updates information contained in the documents incorporated by reference into the base prospectus. To the extent there is a conflict between the information contained in this prospectus supplement, on the one hand, and the information contained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 —the statement in the document having the later date modifies or supersedes the earlier statement.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not, and Leerink Partners has not, authorized anyone to provide you with information different than or inconsistent with the information contained in or incorporated by reference into this prospectus or in any free writing prospectus that we have authorized for use in connection with this offering. We and Leerink Partners take no responsibility for, and can provide no assurance as to the reliability of, any other information that others may give you. We are not, and Leerink Partners is not, making an offer to sell these securities in any jurisdiction where the offer or sale is not permitted. You should assume that the information appearing in this prospectus and the documents incorporated by reference into this prospectus, and in any free writing prospectus that we have authorized for use in connection with this offering, is accurate only as of the date of those respective documents, regardless of the time of delivery of those respective documents. Our business, financial condition, results of operations and prospects may have changed since those dates. You should read this prospectus, the documents incorporated by reference into this prospectus, and any free writing prospectus that we have authorized for use in connection with this offering, in their entirety before making an investment decision. You should also read and consider the information in the documents to which we have referred you to in the section of this prospectus supplement titled “Incorporation by Reference.”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offering to sell, and seeking offers to buy, ordinary shares only in jurisdictions where offers and sales are permitted. The distribution of this prospectus supplement and the offering of our ordinary shares in certain jurisdictions may be restricted by law. Persons outside the United States who come into possession of this prospectus supplement must inform themselves about, and observe any restrictions relating to, the offering of our ordinary shares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pStyle w:val="TextBody"/>
        <w:bidi w:val="0"/>
        <w:jc w:val="center"/>
        <w:rPr>
          <w:rFonts w:ascii="Times New Roman" w:hAnsi="Times New Roman"/>
          <w:color w:val="000000"/>
          <w:sz w:val="20"/>
        </w:rPr>
      </w:pPr>
      <w:r>
        <w:rPr>
          <w:rFonts w:ascii="Times New Roman" w:hAnsi="Times New Roman"/>
          <w:color w:val="000000"/>
          <w:sz w:val="20"/>
        </w:rPr>
        <w:t>S-ii</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Heading1"/>
        <w:bidi w:val="0"/>
        <w:spacing w:before="0" w:after="240"/>
        <w:ind w:left="0" w:right="0" w:hanging="0"/>
        <w:jc w:val="center"/>
        <w:rPr>
          <w:rFonts w:ascii="Times New Roman" w:hAnsi="Times New Roman"/>
          <w:caps/>
          <w:color w:val="000000"/>
          <w:sz w:val="20"/>
          <w:bdr w:val="single" w:sz="4" w:space="1" w:color="000000"/>
        </w:rPr>
      </w:pPr>
      <w:bookmarkStart w:id="31" w:name="s_2_prospectussummary"/>
      <w:bookmarkEnd w:id="31"/>
      <w:r>
        <w:rPr>
          <w:rFonts w:ascii="Times New Roman" w:hAnsi="Times New Roman"/>
          <w:caps/>
          <w:color w:val="000000"/>
          <w:sz w:val="20"/>
          <w:bdr w:val="single" w:sz="4" w:space="1" w:color="000000"/>
        </w:rPr>
        <w:t>PROSPECTUS SUPPLEMENT SUMMARY</w:t>
      </w:r>
    </w:p>
    <w:p>
      <w:pPr>
        <w:pStyle w:val="TextBody"/>
        <w:bidi w:val="0"/>
        <w:spacing w:before="0" w:after="240"/>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The following summary of our business highlights certain of the information contained elsewhere in, or incorporated by reference into, this prospectus supplement and the accompanying base prospectus. This summary does not contain all of the information that may be important to you. You should carefully read this entire prospectus supplement and the accompanying base prospectus, including any information incorporated by reference, which are described under the headings “Where You Can Find More Information” and “Incorporation by Reference” herein and therein. In particular, you should carefully consider the risks and uncertainties described under the heading “Risk Factors” in this prospectus supplement and in the accompanying base prospectus, as well as those contained in the other documents incorporated by reference and any related free writing prospectus. As used in this prospectus supplement, unless the context otherwise requires, references to “we,” “us,” “our,” “our company,” and “Oculis,” refer to Oculis Holding AG and its subsidiaries.</w:t>
      </w:r>
    </w:p>
    <w:p>
      <w:pPr>
        <w:pStyle w:val="Heading2"/>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Company Overview</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a global late clinical-stage biopharmaceutical company, headquartered in Switzerland with operations in Switzerland, the U.S. and Iceland. We have substantial expertise in therapeutics for the treatment of neuro-ophthalmic and ophthalmic diseases. We are engaged in developing innovative drug candidates that embrace the potential to address significant unmet medical needs. We intend to become a global leader in neuro-ophthalmic and ophthalmic therapeutics to realize this mission. </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pipeline currently includes three clinical-stage therapeutic candidates: OCS-01, Privosegtor (OCS-05) and Licaminlimab (OCS-02). OCS-01 is an eye drop candidate which aims to be the first non-invasive topical treatment for diabetic macular edema, or DME. It is presently being evaluated in two ongoing Phase 3 clinical trials for DME, with topline results expected in the second quarter of 2026. Privosegtor is a neuroprotective candidate that has the potential to become a novel therapy for optic neuritis, or ON, non-arteritic anterior ischemic optic neuropathy, or NAION, with broad potential for other neuro-ophthalmic diseases and beyond. Following a successful meeting with the FDA in the third quarter of 2025, we advanced Privosegtor into a registrational program called PIONEER for ON and NAION. Licaminlimab is a product candidate for the treatment of keratoconjunctivitis sicca, or dry eye disease, with a precision medicine approach.</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For more information, please see the section entitled “Item 4. Information on the Company – B. Business Overview,” incorporated by reference from our Annual Report on Form 20-F for the fiscal year ended December 31, 2025, filed with the SEC on March 4, 2026, or our Annual Report, as well as any amendments thereto reflected in our subsequent filings with the SEC.</w:t>
      </w:r>
    </w:p>
    <w:p>
      <w:pPr>
        <w:pStyle w:val="Heading2"/>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Corporate Information</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Please see the section entitled “Item 4. Information on the Company – A. History and Development of the Company,” incorporated by reference from our Annual Report, as well as any amendments thereto reflected in our subsequent filings with the SEC.</w:t>
      </w:r>
    </w:p>
    <w:p>
      <w:pPr>
        <w:pStyle w:val="TextBody"/>
        <w:bidi w:val="0"/>
        <w:spacing w:before="0" w:after="240"/>
        <w:jc w:val="both"/>
        <w:rPr>
          <w:rFonts w:ascii="Times New Roman" w:hAnsi="Times New Roman"/>
          <w:sz w:val="20"/>
          <w:bdr w:val="single" w:sz="4" w:space="1" w:color="000000"/>
        </w:rPr>
      </w:pPr>
      <w:r>
        <w:rPr>
          <w:rFonts w:ascii="Times New Roman" w:hAnsi="Times New Roman"/>
          <w:color w:val="000000"/>
          <w:sz w:val="20"/>
          <w:bdr w:val="single" w:sz="4" w:space="1" w:color="000000"/>
        </w:rPr>
        <w:t xml:space="preserve">The SEC maintains a website that contains reports, proxy information statements and other information regarding issuers that file electronically with the SEC. The address of that site is </w:t>
      </w:r>
      <w:r>
        <w:rPr>
          <w:rFonts w:ascii="Times New Roman" w:hAnsi="Times New Roman"/>
          <w:i/>
          <w:color w:val="000000"/>
          <w:sz w:val="20"/>
          <w:bdr w:val="single" w:sz="4" w:space="1" w:color="000000"/>
        </w:rPr>
        <w:t>www.sec.gov</w:t>
      </w:r>
      <w:r>
        <w:rPr>
          <w:rFonts w:ascii="Times New Roman" w:hAnsi="Times New Roman"/>
          <w:color w:val="000000"/>
          <w:sz w:val="20"/>
          <w:bdr w:val="single" w:sz="4" w:space="1" w:color="000000"/>
        </w:rPr>
        <w:t xml:space="preserve">. Our website address is </w:t>
      </w:r>
      <w:r>
        <w:rPr>
          <w:rFonts w:ascii="Times New Roman" w:hAnsi="Times New Roman"/>
          <w:i/>
          <w:color w:val="000000"/>
          <w:sz w:val="20"/>
          <w:bdr w:val="single" w:sz="4" w:space="1" w:color="000000"/>
        </w:rPr>
        <w:t>www.oculis.com</w:t>
      </w:r>
      <w:r>
        <w:rPr>
          <w:rFonts w:ascii="Times New Roman" w:hAnsi="Times New Roman"/>
          <w:color w:val="000000"/>
          <w:sz w:val="20"/>
          <w:bdr w:val="single" w:sz="4" w:space="1" w:color="000000"/>
        </w:rPr>
        <w:t>. The information contained on our website is not incorporated by reference into this prospectus supplement, and you should not consider any information contained on, or that can be accessed through, our website as part of this prospectus supplement or in deciding whether to purchase our securities.</w:t>
      </w:r>
    </w:p>
    <w:p>
      <w:pPr>
        <w:pStyle w:val="Heading2"/>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Implications of Being a Foreign Private Issuer</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are considered a “foreign private issuer.” Accordingly, we report under the Exchange Act as a non-U.S. company with foreign private issuer status. This means that as long as we qualify as a foreign private issuer under the Exchange Act, we will be exempt from certain provisions of the Exchange Act that are applicable to U.S. domestic public companies, including:</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S-1</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200" w:after="200"/>
        <w:ind w:left="0" w:right="0" w:hanging="0"/>
        <w:jc w:val="both"/>
        <w:rPr>
          <w:color w:val="000000"/>
          <w:bdr w:val="single" w:sz="4" w:space="1" w:color="000000"/>
        </w:rPr>
      </w:pPr>
      <w:r>
        <w:rPr>
          <w:color w:val="000000"/>
          <w:bdr w:val="single" w:sz="4" w:space="1" w:color="000000"/>
        </w:rPr>
        <w:t>•</w:t>
      </w:r>
    </w:p>
    <w:p>
      <w:pPr>
        <w:pStyle w:val="TextBody"/>
        <w:bidi w:val="0"/>
        <w:spacing w:before="20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sections of the Exchange Act regulating the solicitation of proxies, consents or authorizations in respect of a security registered under the Exchange Act;</w:t>
      </w:r>
    </w:p>
    <w:p>
      <w:pPr>
        <w:pStyle w:val="TextBody"/>
        <w:bidi w:val="0"/>
        <w:spacing w:before="0" w:after="200"/>
        <w:jc w:val="both"/>
        <w:rPr>
          <w:color w:val="000000"/>
          <w:bdr w:val="single" w:sz="4" w:space="1" w:color="000000"/>
        </w:rPr>
      </w:pPr>
      <w:r>
        <w:rPr>
          <w:color w:val="000000"/>
          <w:bdr w:val="single" w:sz="4" w:space="1" w:color="000000"/>
        </w:rPr>
        <w:t>•</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sections of the Exchange Act regulating trading activities and liability for insiders who profit from trades made in a short period of time; and</w:t>
      </w:r>
    </w:p>
    <w:p>
      <w:pPr>
        <w:pStyle w:val="TextBody"/>
        <w:bidi w:val="0"/>
        <w:spacing w:before="0" w:after="200"/>
        <w:jc w:val="both"/>
        <w:rPr>
          <w:color w:val="000000"/>
          <w:bdr w:val="single" w:sz="4" w:space="1" w:color="000000"/>
        </w:rPr>
      </w:pPr>
      <w:r>
        <w:rPr>
          <w:color w:val="000000"/>
          <w:bdr w:val="single" w:sz="4" w:space="1" w:color="000000"/>
        </w:rPr>
        <w:t>•</w:t>
      </w:r>
    </w:p>
    <w:p>
      <w:pPr>
        <w:pStyle w:val="TextBody"/>
        <w:bidi w:val="0"/>
        <w:spacing w:before="0" w:after="20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rules under the Exchange Act requiring the filing with the SEC of quarterly reports on Form 10-Q containing unaudited financial and other specified information, or current reports on Form 8-K, upon the occurrence of specified significant events.</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In this prospectus supplement and in the documents and information incorporated by reference in this prospectus supplement, we have taken advantage of certain of the reduced reporting requirements as a result of being a foreign private issuer. Accordingly, the information contained in this prospectus supplement and in the documents incorporated by reference may be different than the information you receive from other public companies in which you hold equity securities.</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are also eligible to, and have chosen to, take advantage of certain exemptions from Nasdaq corporate governance requirements for foreign private issuers. Please see the section entitled “Item 16G. Corporate Governance” incorporated by reference from our Annual Report, as well as any amendments thereto reflected in our subsequent filings with the SEC.</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S-2</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Heading1"/>
        <w:bidi w:val="0"/>
        <w:spacing w:before="0" w:after="240"/>
        <w:ind w:left="0" w:right="0" w:hanging="0"/>
        <w:jc w:val="center"/>
        <w:rPr>
          <w:rFonts w:ascii="Times New Roman" w:hAnsi="Times New Roman"/>
          <w:caps/>
          <w:color w:val="000000"/>
          <w:sz w:val="20"/>
          <w:bdr w:val="single" w:sz="4" w:space="1" w:color="000000"/>
        </w:rPr>
      </w:pPr>
      <w:bookmarkStart w:id="32" w:name="s_3_offering"/>
      <w:bookmarkEnd w:id="32"/>
      <w:r>
        <w:rPr>
          <w:rFonts w:ascii="Times New Roman" w:hAnsi="Times New Roman"/>
          <w:caps/>
          <w:color w:val="000000"/>
          <w:sz w:val="20"/>
          <w:bdr w:val="single" w:sz="4" w:space="1" w:color="000000"/>
        </w:rPr>
        <w:t>THE OFFERING</w:t>
      </w:r>
    </w:p>
    <w:tbl>
      <w:tblPr>
        <w:tblW w:w="10205" w:type="dxa"/>
        <w:jc w:val="left"/>
        <w:tblInd w:w="0" w:type="dxa"/>
        <w:tblLayout w:type="fixed"/>
        <w:tblCellMar>
          <w:top w:w="28" w:type="dxa"/>
          <w:left w:w="28" w:type="dxa"/>
          <w:bottom w:w="28" w:type="dxa"/>
          <w:right w:w="28" w:type="dxa"/>
        </w:tblCellMar>
      </w:tblPr>
      <w:tblGrid>
        <w:gridCol w:w="2867"/>
        <w:gridCol w:w="7338"/>
      </w:tblGrid>
      <w:tr>
        <w:trPr/>
        <w:tc>
          <w:tcPr>
            <w:tcW w:w="2867" w:type="dxa"/>
            <w:tcBorders/>
            <w:vAlign w:val="center"/>
          </w:tcPr>
          <w:p>
            <w:pPr>
              <w:pStyle w:val="TableContents"/>
              <w:bidi w:val="0"/>
              <w:spacing w:before="0" w:after="283"/>
              <w:jc w:val="left"/>
              <w:rPr>
                <w:sz w:val="4"/>
                <w:szCs w:val="4"/>
              </w:rPr>
            </w:pPr>
            <w:r>
              <w:rPr>
                <w:sz w:val="4"/>
                <w:szCs w:val="4"/>
              </w:rPr>
            </w:r>
          </w:p>
        </w:tc>
        <w:tc>
          <w:tcPr>
            <w:tcW w:w="7338" w:type="dxa"/>
            <w:tcBorders/>
            <w:vAlign w:val="center"/>
          </w:tcPr>
          <w:p>
            <w:pPr>
              <w:pStyle w:val="TableContents"/>
              <w:bidi w:val="0"/>
              <w:spacing w:before="0" w:after="283"/>
              <w:jc w:val="left"/>
              <w:rPr>
                <w:sz w:val="4"/>
                <w:szCs w:val="4"/>
              </w:rPr>
            </w:pPr>
            <w:r>
              <w:rPr>
                <w:sz w:val="4"/>
                <w:szCs w:val="4"/>
              </w:rPr>
            </w:r>
          </w:p>
        </w:tc>
      </w:tr>
      <w:tr>
        <w:trPr/>
        <w:tc>
          <w:tcPr>
            <w:tcW w:w="2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Ordinary Shares Offered by Us</w:t>
            </w:r>
          </w:p>
        </w:tc>
        <w:tc>
          <w:tcPr>
            <w:tcW w:w="7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having aggregate gross sales proceeds of up to $100,000,000.</w:t>
            </w:r>
          </w:p>
        </w:tc>
      </w:tr>
      <w:tr>
        <w:trPr/>
        <w:tc>
          <w:tcPr>
            <w:tcW w:w="2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Ordinary Shares to be Outstanding After this Offering</w:t>
            </w:r>
          </w:p>
        </w:tc>
        <w:tc>
          <w:tcPr>
            <w:tcW w:w="7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to 3,495,281 ordinary shares, assuming the sale of $100,000,000 of shares at a sales price of $28.61 per ordinary share, the last sale price of our ordinary shares as reported by Nasdaq on March 2, 2026.</w:t>
            </w:r>
          </w:p>
        </w:tc>
      </w:tr>
      <w:tr>
        <w:trPr/>
        <w:tc>
          <w:tcPr>
            <w:tcW w:w="2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 of Distribution</w:t>
            </w:r>
          </w:p>
        </w:tc>
        <w:tc>
          <w:tcPr>
            <w:tcW w:w="7338" w:type="dxa"/>
            <w:tcBorders/>
            <w:tcMar>
              <w:top w:w="0" w:type="dxa"/>
              <w:left w:w="0" w:type="dxa"/>
              <w:bottom w:w="0" w:type="dxa"/>
              <w:right w:w="0" w:type="dxa"/>
            </w:tcMar>
            <w:vAlign w:val="center"/>
          </w:tcPr>
          <w:p>
            <w:pPr>
              <w:pStyle w:val="TableContents"/>
              <w:bidi w:val="0"/>
              <w:spacing w:before="0" w:after="283"/>
              <w:jc w:val="left"/>
              <w:rPr/>
            </w:pPr>
            <w:r>
              <w:rPr>
                <w:color w:val="000000"/>
              </w:rPr>
              <w:t>“</w:t>
            </w:r>
            <w:r>
              <w:rPr>
                <w:rFonts w:ascii="Times New Roman" w:hAnsi="Times New Roman"/>
                <w:color w:val="000000"/>
                <w:sz w:val="20"/>
              </w:rPr>
              <w:t>At the market offering” that may be made from time to time through our sales agent, Leerink Partners. See “</w:t>
            </w:r>
            <w:r>
              <w:rPr>
                <w:rFonts w:ascii="Times New Roman" w:hAnsi="Times New Roman"/>
                <w:color w:val="000000"/>
                <w:sz w:val="20"/>
                <w:u w:val="single"/>
              </w:rPr>
              <w:t>Plan of Distribution</w:t>
            </w:r>
            <w:r>
              <w:rPr>
                <w:rFonts w:ascii="Times New Roman" w:hAnsi="Times New Roman"/>
                <w:color w:val="000000"/>
                <w:sz w:val="20"/>
              </w:rPr>
              <w:t>” on page S-11.</w:t>
            </w:r>
          </w:p>
        </w:tc>
      </w:tr>
      <w:tr>
        <w:trPr/>
        <w:tc>
          <w:tcPr>
            <w:tcW w:w="2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Use of Proceeds</w:t>
            </w:r>
          </w:p>
        </w:tc>
        <w:tc>
          <w:tcPr>
            <w:tcW w:w="7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 currently anticipate that we will use the net proceeds from this offering, together with our existing cash, cash equivalents and short-term financial assets, for pipeline development, general corporate purposes and working capital. See “</w:t>
            </w:r>
            <w:r>
              <w:rPr>
                <w:rFonts w:ascii="Times New Roman" w:hAnsi="Times New Roman"/>
                <w:color w:val="000000"/>
                <w:sz w:val="20"/>
                <w:u w:val="single"/>
              </w:rPr>
              <w:t>Use of Proceeds</w:t>
            </w:r>
            <w:r>
              <w:rPr>
                <w:rFonts w:ascii="Times New Roman" w:hAnsi="Times New Roman"/>
                <w:color w:val="000000"/>
                <w:sz w:val="20"/>
              </w:rPr>
              <w:t>” on page S-8.</w:t>
            </w:r>
          </w:p>
        </w:tc>
      </w:tr>
      <w:tr>
        <w:trPr/>
        <w:tc>
          <w:tcPr>
            <w:tcW w:w="2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Risk Factors</w:t>
            </w:r>
          </w:p>
        </w:tc>
        <w:tc>
          <w:tcPr>
            <w:tcW w:w="7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in our ordinary shares involves significant risks. You should read the “Risk Factors” section of this prospectus supplement and in the documents incorporated by reference in this prospectus supplement for a discussion of factors to consider before deciding to purchase our ordinary shares.</w:t>
            </w:r>
          </w:p>
        </w:tc>
      </w:tr>
      <w:tr>
        <w:trPr/>
        <w:tc>
          <w:tcPr>
            <w:tcW w:w="2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Nasdaq Global Market and Nasdaq Iceland Main Market</w:t>
            </w:r>
            <w:r>
              <w:rPr>
                <w:rFonts w:ascii="Times New Roman" w:hAnsi="Times New Roman"/>
                <w:color w:val="000000"/>
                <w:sz w:val="20"/>
              </w:rPr>
              <w:t xml:space="preserve"> </w:t>
            </w:r>
            <w:r>
              <w:rPr>
                <w:rFonts w:ascii="Times New Roman" w:hAnsi="Times New Roman"/>
                <w:b/>
                <w:color w:val="000000"/>
                <w:sz w:val="20"/>
              </w:rPr>
              <w:t>symbol for our ordinary shares</w:t>
            </w:r>
          </w:p>
        </w:tc>
        <w:tc>
          <w:tcPr>
            <w:tcW w:w="7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OCS</w:t>
            </w:r>
          </w:p>
        </w:tc>
      </w:tr>
    </w:tbl>
    <w:p>
      <w:pPr>
        <w:pStyle w:val="TextBody"/>
        <w:bidi w:val="0"/>
        <w:spacing w:before="0" w:after="0"/>
        <w:jc w:val="left"/>
        <w:rPr>
          <w:bdr w:val="single" w:sz="4" w:space="1" w:color="000000"/>
        </w:rPr>
      </w:pPr>
      <w:r>
        <w:rPr>
          <w:bdr w:val="single" w:sz="4" w:space="1" w:color="000000"/>
        </w:rPr>
        <w:t> </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number of ordinary shares to be outstanding after this offering in the table above is based on 57,984,438 ordinary shares outstanding as of December 31, 2025, and excludes:</w:t>
      </w:r>
    </w:p>
    <w:p>
      <w:pPr>
        <w:pStyle w:val="TextBody"/>
        <w:bidi w:val="0"/>
        <w:spacing w:before="0" w:after="200"/>
        <w:jc w:val="left"/>
        <w:rPr>
          <w:color w:val="000000"/>
          <w:bdr w:val="single" w:sz="4" w:space="1" w:color="000000"/>
        </w:rPr>
      </w:pPr>
      <w:r>
        <w:rPr>
          <w:color w:val="000000"/>
          <w:bdr w:val="single" w:sz="4" w:space="1" w:color="000000"/>
        </w:rPr>
        <w:t>•</w:t>
      </w:r>
    </w:p>
    <w:p>
      <w:pPr>
        <w:pStyle w:val="TextBody"/>
        <w:bidi w:val="0"/>
        <w:spacing w:before="0" w:after="20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5,163,946 ordinary shares issuable upon the exercise of options outstanding as of December 31, 2025 under our Stock Option and Incentive Plan Regulation 2023, or the 2023 Plan, at a weighted-average exercise price of $10.02 per share, inclusive of 216,998 earn-out options issuable upon exercise, subject to satisfaction of certain vesting conditions;</w:t>
      </w:r>
    </w:p>
    <w:p>
      <w:pPr>
        <w:pStyle w:val="TextBody"/>
        <w:bidi w:val="0"/>
        <w:spacing w:before="0" w:after="200"/>
        <w:jc w:val="left"/>
        <w:rPr>
          <w:color w:val="000000"/>
          <w:bdr w:val="single" w:sz="4" w:space="1" w:color="000000"/>
        </w:rPr>
      </w:pPr>
      <w:r>
        <w:rPr>
          <w:color w:val="000000"/>
          <w:bdr w:val="single" w:sz="4" w:space="1" w:color="000000"/>
        </w:rPr>
        <w:t>•</w:t>
      </w:r>
    </w:p>
    <w:p>
      <w:pPr>
        <w:pStyle w:val="TextBody"/>
        <w:bidi w:val="0"/>
        <w:spacing w:before="0" w:after="20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1,007,636 ordinary shares issuable upon the vesting of restricted stock units outstanding as of December 31, 2025 under the 2023 Plan;</w:t>
      </w:r>
    </w:p>
    <w:p>
      <w:pPr>
        <w:pStyle w:val="TextBody"/>
        <w:bidi w:val="0"/>
        <w:spacing w:before="0" w:after="200"/>
        <w:jc w:val="left"/>
        <w:rPr>
          <w:color w:val="000000"/>
          <w:bdr w:val="single" w:sz="4" w:space="1" w:color="000000"/>
        </w:rPr>
      </w:pPr>
      <w:r>
        <w:rPr>
          <w:color w:val="000000"/>
          <w:bdr w:val="single" w:sz="4" w:space="1" w:color="000000"/>
        </w:rPr>
        <w:t>•</w:t>
      </w:r>
    </w:p>
    <w:p>
      <w:pPr>
        <w:pStyle w:val="TextBody"/>
        <w:bidi w:val="0"/>
        <w:spacing w:before="0" w:after="20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4,263,561 ordinary shares reserved for future issuance under the 2023 Plan as of December 31, 2025; </w:t>
      </w:r>
    </w:p>
    <w:p>
      <w:pPr>
        <w:pStyle w:val="TextBody"/>
        <w:bidi w:val="0"/>
        <w:spacing w:before="0" w:after="200"/>
        <w:jc w:val="left"/>
        <w:rPr>
          <w:color w:val="000000"/>
          <w:bdr w:val="single" w:sz="4" w:space="1" w:color="000000"/>
        </w:rPr>
      </w:pPr>
      <w:r>
        <w:rPr>
          <w:color w:val="000000"/>
          <w:bdr w:val="single" w:sz="4" w:space="1" w:color="000000"/>
        </w:rPr>
        <w:t>•</w:t>
      </w:r>
    </w:p>
    <w:p>
      <w:pPr>
        <w:pStyle w:val="TextBody"/>
        <w:bidi w:val="0"/>
        <w:spacing w:before="0" w:after="20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948,549 earn-out shares which vested on February 13, 2026; </w:t>
      </w:r>
    </w:p>
    <w:p>
      <w:pPr>
        <w:pStyle w:val="TextBody"/>
        <w:bidi w:val="0"/>
        <w:spacing w:before="0" w:after="200"/>
        <w:jc w:val="left"/>
        <w:rPr>
          <w:color w:val="000000"/>
          <w:bdr w:val="single" w:sz="4" w:space="1" w:color="000000"/>
        </w:rPr>
      </w:pPr>
      <w:r>
        <w:rPr>
          <w:color w:val="000000"/>
          <w:bdr w:val="single" w:sz="4" w:space="1" w:color="000000"/>
        </w:rPr>
        <w:t>•</w:t>
      </w:r>
    </w:p>
    <w:p>
      <w:pPr>
        <w:pStyle w:val="TextBody"/>
        <w:bidi w:val="0"/>
        <w:spacing w:before="0" w:after="20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703,703 ordinary shares held in treasury as of December 31, 2025; and</w:t>
      </w:r>
    </w:p>
    <w:p>
      <w:pPr>
        <w:pStyle w:val="TextBody"/>
        <w:bidi w:val="0"/>
        <w:spacing w:before="0" w:after="200"/>
        <w:jc w:val="left"/>
        <w:rPr>
          <w:color w:val="000000"/>
          <w:bdr w:val="single" w:sz="4" w:space="1" w:color="000000"/>
        </w:rPr>
      </w:pPr>
      <w:r>
        <w:rPr>
          <w:color w:val="000000"/>
          <w:bdr w:val="single" w:sz="4" w:space="1" w:color="000000"/>
        </w:rPr>
        <w:t>•</w:t>
      </w:r>
    </w:p>
    <w:p>
      <w:pPr>
        <w:pStyle w:val="TextBody"/>
        <w:bidi w:val="0"/>
        <w:spacing w:before="0" w:after="20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2,104,906 ordinary shares issuable upon exercise of warrants outstanding as of December 31, 2025, at a weighted average exercise price of $11.57 per share.</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S-3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33" w:name="s_4_riskfactors"/>
      <w:bookmarkEnd w:id="33"/>
      <w:r>
        <w:rPr>
          <w:rFonts w:ascii="Times New Roman" w:hAnsi="Times New Roman"/>
          <w:caps/>
          <w:color w:val="000000"/>
          <w:sz w:val="20"/>
        </w:rPr>
        <w:t>RISK FACTORS</w:t>
      </w:r>
    </w:p>
    <w:p>
      <w:pPr>
        <w:pStyle w:val="TextBody"/>
        <w:bidi w:val="0"/>
        <w:spacing w:before="0" w:after="240"/>
        <w:jc w:val="both"/>
        <w:rPr>
          <w:rFonts w:ascii="Times New Roman" w:hAnsi="Times New Roman"/>
          <w:sz w:val="20"/>
        </w:rPr>
      </w:pPr>
      <w:r>
        <w:rPr>
          <w:rFonts w:ascii="Times New Roman" w:hAnsi="Times New Roman"/>
          <w:i/>
          <w:color w:val="000000"/>
          <w:sz w:val="20"/>
        </w:rPr>
        <w:t>An investment in our securities carries a significant degree of risk. Prior to making a decision about investing in our securities, you should carefully consider the specific factors discussed below, together with all of the other information appearing or incorporated by reference in this prospectus</w:t>
      </w:r>
      <w:r>
        <w:rPr>
          <w:rFonts w:ascii="Times New Roman" w:hAnsi="Times New Roman"/>
          <w:color w:val="000000"/>
          <w:sz w:val="20"/>
        </w:rPr>
        <w:t xml:space="preserve"> </w:t>
      </w:r>
      <w:r>
        <w:rPr>
          <w:rFonts w:ascii="Times New Roman" w:hAnsi="Times New Roman"/>
          <w:i/>
          <w:color w:val="000000"/>
          <w:sz w:val="20"/>
        </w:rPr>
        <w:t>supplement. See “Where You Can Find More Information” and “Incorporation by Reference.” You should also consider the risks, uncertainties and assumptions discussed under “Item 3.D-Risk Factors” of our most recent annual report on Form 20-F and reports on Form 6-K we file after the date of this prospectus</w:t>
      </w:r>
      <w:r>
        <w:rPr>
          <w:rFonts w:ascii="Times New Roman" w:hAnsi="Times New Roman"/>
          <w:color w:val="000000"/>
          <w:sz w:val="20"/>
        </w:rPr>
        <w:t xml:space="preserve"> </w:t>
      </w:r>
      <w:r>
        <w:rPr>
          <w:rFonts w:ascii="Times New Roman" w:hAnsi="Times New Roman"/>
          <w:i/>
          <w:color w:val="000000"/>
          <w:sz w:val="20"/>
        </w:rPr>
        <w:t>supplement, that are incorporated herein by reference, as may be amended, supplemented or superseded from time to time by other reports we file with the SEC in the future.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securities could decline, and you could lose part or all of your investment. Additional risks and uncertainties of which we are not presently aware or that we currently deem immaterial could also affect our business operations and financial condition. Please also carefully read the section in this prospectus supplement titled “Special Note Regarding Forward-Looking Statements.”</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Risks Related to This Offering</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will have broad discretion in the use of the net proceeds from this offering and may not use them effectively.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management will have broad discretion in the application of the net proceeds from this offering, including for any of the purposes described in the section titled “Use of Proceeds,” and you will be relying on the judgment of our management regarding the application of these proceeds. You will not have the opportunity, as part of your investment decision, to assess whether the net proceeds are being used effectively. Our management might not apply the net proceeds in ways that ultimately increase or maintain the value of your investment. If we do not invest or apply the net proceeds from this offering in ways that enhance stockholder value, we may fail to achieve expected financial results, which could cause our stock price to decline. In addition, our failure to effectively apply the net proceeds from this offering could have a material adverse effect on our business, results of operations, financial condition and prospects.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If you purchase our ordinary shares in this offering, you will incur immediate and substantial dilution in the net tangible book value of your ordinary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offering price per ordinary share in this offering may exceed the net tangible book value per ordinary share of our ordinary shares outstanding prior to this offering. The exercise of outstanding options and warrants would result in further dilution of your investment. See the section titled “Dilution” below for a more detailed illustration of the dilution you would incur if you participate in this offering. Because the sales of the ordinary shares offered hereby will be made directly into the market, the prices at which we sell these ordinary shares will vary and these variations may be significant. Purchasers of the ordinary shares we sell, as well as our existing shareholders, will experience significant dilution if we sell ordinary shares at prices significantly below the price at which they invested.</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You may experience future dilution as a result of future equity offerings.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order to raise additional capital, we expect to in the future offer additional ordinary shares or other securities convertible into or exchangeable for our ordinary shares. We cannot assure you that we will be able to sell ordinary shares or other securities in any other offering at a price per ordinary share that is equal to or greater than the price per ordinary share paid by investors in this offering, and investors purchasing ordinary shares or other securities in the future could have rights superior to existing shareholders. The price per ordinary share at which we sell additional ordinary shares or other securities convertible into or exchangeable for our ordinary shares in future transactions may be higher or lower than the price per ordinary share in this offering.</w:t>
      </w:r>
    </w:p>
    <w:p>
      <w:pPr>
        <w:pStyle w:val="TextBody"/>
        <w:bidi w:val="0"/>
        <w:jc w:val="center"/>
        <w:rPr>
          <w:rFonts w:ascii="Times New Roman" w:hAnsi="Times New Roman"/>
          <w:color w:val="000000"/>
          <w:sz w:val="20"/>
        </w:rPr>
      </w:pPr>
      <w:r>
        <w:rPr>
          <w:rFonts w:ascii="Times New Roman" w:hAnsi="Times New Roman"/>
          <w:color w:val="000000"/>
          <w:sz w:val="20"/>
        </w:rPr>
        <w:t>S-4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i/>
          <w:color w:val="000000"/>
          <w:sz w:val="20"/>
        </w:rPr>
      </w:pPr>
      <w:r>
        <w:rPr>
          <w:rFonts w:ascii="Times New Roman" w:hAnsi="Times New Roman"/>
          <w:b/>
          <w:i/>
          <w:color w:val="000000"/>
          <w:sz w:val="20"/>
        </w:rPr>
        <w:t>The actual number of ordinary shares we will sell under the Sales Agreement in this offering, at any one time or in total, is uncertain.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certain limitations in the Sales Agreement and compliance with applicable law, we have the discretion to deliver an issuance notice to Leerink Partners at any time throughout the term of the offering under this prospectus supplement. The number of ordinary shares that are sold by Leerink Partners after delivering an issuance notice will fluctuate based on the market price of the ordinary shares during the sales period and limits we set with Leerink Partners. Because the price per ordinary share of each ordinary share sold will fluctuate based on the market price of our ordinary shares during the sales period, it is not possible at this stage to predict the number of ordinary shares that will be ultimately sold or the gross proceeds to be raised in connection with those sales.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Future sales or issuances of our ordinary shares in the public markets, or the perception of such sales, could depress the trading price of our ordinary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sale of a substantial number of our ordinary shares or other equity-related securities in the public markets, or the perception that such sales could occur, could depress the market price of our ordinary shares and impair our ability to raise capital through the sale of additional equity securities. We may sell large quantities of our ordinary shares at any time pursuant to this prospectus supplement or in one or more separate offerings. We cannot predict the effect that future sales of ordinary shares or other equity-related securities would have on the market price of our ordinary shares.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The ordinary shares offered hereby will be sold in “at the market offerings” and investors who buy ordinary shares at different times will likely pay different prices.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Investors who purchase ordinary shares in this offering at different times will likely pay different prices, and so may experience different outcomes in their investment results. We will have discretion, subject to market demand, to vary the timing, prices, and numbers of ordinary shares sold, and there is no predetermined minimum or maximum sales price. Investors may experience a decline in the value of their ordinary shares as a result of ordinary share sales made at prices lower than the prices they paid.</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34" w:name="s_5_fls"/>
      <w:bookmarkEnd w:id="34"/>
      <w:r>
        <w:rPr>
          <w:rFonts w:ascii="Times New Roman" w:hAnsi="Times New Roman"/>
          <w:caps/>
          <w:color w:val="000000"/>
          <w:sz w:val="20"/>
        </w:rPr>
        <w:t>SPECIAL NOTE REGARDING FORWARD-LOOKING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prospectus supplement and the accompanying base prospectus, including the other documents and information incorporated by reference in this prospectus supplement and the base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of 1933, as amended, or the Securities Act, and Section 21E of the Exchange Act. Many of the forward-looking statements contained in this prospectus supplement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represent some, but not necessarily all, of the factors that could cause actual results to differ from historical results or those anticipated or predicted by our forward-looking statements: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ability to maintain the listing of our ordinary shares and public warrants on the Nasdaq Global Market and Nasdaq Iceland Main Market;</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timing and expected outcomes of clinical trials, preclinical studies, regulatory submissions and approvals, as well as commercial outcomes;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expected benefits of our business and scientific approach and technology;</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potential safety and efficacy of our product candidates;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successfully develop, advance and commercialize our pipeline of product candidates;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establish and maintain arrangements for the manufacture of our product candidates;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effectiveness and profitability of our collaborations and partnerships, our ability to maintain current collaborations and partnerships and enter into new collaborations and partnerships;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expectations related to future milestone and royalty payments and other economic terms under our collaborations and partnerships;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estimates regarding future revenue, expenses, capital requirements, financial condition, cash runway and need for additional financing;</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estimates of market opportunity for our product candidates;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effects of increased competition as well as innovations by new and existing competitors in our industry;</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strategic advantages and the impact those advantages may have on future financial and operational results;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expansion plans and opportunities;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operate and grow our business in a cost-effective manner;</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expectations regarding our ability to obtain and maintain intellectual property protection and not infringe on the rights of others;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impact of macroeconomic factors and other global events on our business;</w:t>
      </w:r>
    </w:p>
    <w:p>
      <w:pPr>
        <w:pStyle w:val="TextBody"/>
        <w:bidi w:val="0"/>
        <w:jc w:val="center"/>
        <w:rPr>
          <w:rFonts w:ascii="Times New Roman" w:hAnsi="Times New Roman"/>
          <w:color w:val="000000"/>
          <w:sz w:val="20"/>
        </w:rPr>
      </w:pPr>
      <w:r>
        <w:rPr>
          <w:rFonts w:ascii="Times New Roman" w:hAnsi="Times New Roman"/>
          <w:color w:val="000000"/>
          <w:sz w:val="20"/>
        </w:rPr>
        <w:t>S-6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color w:val="000000"/>
        </w:rPr>
      </w:pPr>
      <w:r>
        <w:rPr>
          <w:color w:val="000000"/>
        </w:rPr>
        <w: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changes in applicable governmental policies, laws or regulations and their impact on us;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outcome of any known and unknown litigation and regulatory proceedings;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use of proceeds, if any, from this offering.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jc w:val="center"/>
        <w:rPr>
          <w:rFonts w:ascii="Times New Roman" w:hAnsi="Times New Roman"/>
          <w:color w:val="000000"/>
          <w:sz w:val="20"/>
        </w:rPr>
      </w:pPr>
      <w:r>
        <w:rPr>
          <w:rFonts w:ascii="Times New Roman" w:hAnsi="Times New Roman"/>
          <w:color w:val="000000"/>
          <w:sz w:val="20"/>
        </w:rPr>
        <w:t>S-7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35" w:name="s_6_proceeds"/>
      <w:bookmarkEnd w:id="35"/>
      <w:r>
        <w:rPr>
          <w:rFonts w:ascii="Times New Roman" w:hAnsi="Times New Roman"/>
          <w:caps/>
          <w:color w:val="000000"/>
          <w:sz w:val="20"/>
        </w:rPr>
        <w:t>USE OF PROCEEDS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issue and sell ordinary shares having aggregate sales proceeds of up to $100,000,000 from time to time. Because there is no minimum offering price for the ordinary shares that we may offer from time to time, the actual total public offering amount, commissions and proceeds to us, if any, are not determinable at this time. There can be no assurance that we will sell any ordinary shares under or fully utilize the Sales Agreement with Leerink Partners as a source of financing.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currently intend to use any net proceeds from this offering, together with our existing cash, cash equivalents and short-term financial assets, for pipeline development, general corporate purposes and working capital.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amounts and timing of our actual expenditures will depend on numerous factors, including our development efforts with respect to our product candidates,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these uses, we intend to invest any net proceeds in short- and intermediate-term, interest-bearing obligations, investment-grade instruments, certificates of deposit or direct or guaranteed obligations.</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36" w:name="s_7_dilution"/>
      <w:bookmarkEnd w:id="36"/>
      <w:r>
        <w:rPr>
          <w:rFonts w:ascii="Times New Roman" w:hAnsi="Times New Roman"/>
          <w:caps/>
          <w:color w:val="000000"/>
          <w:sz w:val="20"/>
        </w:rPr>
        <w:t>DILUTION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invest in our ordinary shares, your interest will be diluted to the extent of the difference between the price per ordinary share of our ordinary shares you pay in this offering and the as adjusted net tangible book value per ordinary share of our ordinary shares immediately after this offering.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net tangible book value as of December 31, 2025 was CHF 182.8 million ($230.6 million), or CHF 3.15 ($3.98) per ordinary share. Net tangible book value per ordinary share represents the amount of our total assets, less our intangible assets and our total liabilities, divided by the number of ordinary shares outstanding as of December 31,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After giving effect to the sale of ordinary shares in the aggregate amount of $100 million pursuant to this prospectus supplement at an assumed offering price of $28.61 per ordinary share, the last reported sale price of our ordinary shares as reported by Nasdaq on March 2, 2026, and after deducting the sales commissions and estimated offering expenses payable by us, our as adjusted net tangible book value as of December 31, 2025, would have been CHF 258.5 million ($326.0 million), or CHF 4.20 ($5.30) per ordinary share. This represents an immediate increase in net tangible book value above the net tangible book value of CHF 1.05 ($1.32) per ordinary share to our existing shareholders and an immediate dilution in net tangible book value of CHF 18.48 ($23.31) per ordinary share to investors purchasing ordinary shares in this offering.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table illustrates this dilution on a per ordinary share basis. The as adjusted information is illustrative only and will adjust based on the actual price to the public, the actual number of ordinary shares sold and other terms of the offering determined at the time ordinary shares are sold pursuant to this prospectus supplement. The ordinary shares sold in this offering, if any, will be sold from time to time at various prices. </w:t>
      </w:r>
    </w:p>
    <w:tbl>
      <w:tblPr>
        <w:tblW w:w="8594" w:type="dxa"/>
        <w:jc w:val="left"/>
        <w:tblInd w:w="0" w:type="dxa"/>
        <w:tblLayout w:type="fixed"/>
        <w:tblCellMar>
          <w:top w:w="28" w:type="dxa"/>
          <w:left w:w="28" w:type="dxa"/>
          <w:bottom w:w="28" w:type="dxa"/>
          <w:right w:w="28" w:type="dxa"/>
        </w:tblCellMar>
      </w:tblPr>
      <w:tblGrid>
        <w:gridCol w:w="7169"/>
        <w:gridCol w:w="571"/>
        <w:gridCol w:w="854"/>
      </w:tblGrid>
      <w:tr>
        <w:trPr/>
        <w:tc>
          <w:tcPr>
            <w:tcW w:w="71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7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CHF</w:t>
            </w:r>
          </w:p>
        </w:tc>
        <w:tc>
          <w:tcPr>
            <w:tcW w:w="854"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USD</w:t>
            </w:r>
          </w:p>
        </w:tc>
      </w:tr>
      <w:tr>
        <w:trPr/>
        <w:tc>
          <w:tcPr>
            <w:tcW w:w="7169" w:type="dxa"/>
            <w:tcBorders/>
            <w:shd w:fill="C9F1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public offering price per ordinary share</w:t>
            </w:r>
          </w:p>
        </w:tc>
        <w:tc>
          <w:tcPr>
            <w:tcW w:w="571" w:type="dxa"/>
            <w:tcBorders/>
            <w:shd w:fill="C9F1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w:t>
            </w:r>
          </w:p>
        </w:tc>
        <w:tc>
          <w:tcPr>
            <w:tcW w:w="854" w:type="dxa"/>
            <w:tcBorders/>
            <w:shd w:fill="C9F1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r>
      <w:tr>
        <w:trPr/>
        <w:tc>
          <w:tcPr>
            <w:tcW w:w="71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tangible book value per ordinary share as of December 31, 2025</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854" w:type="dxa"/>
            <w:tcBorders/>
            <w:tcMar>
              <w:top w:w="0" w:type="dxa"/>
              <w:left w:w="0" w:type="dxa"/>
              <w:bottom w:w="0" w:type="dxa"/>
              <w:right w:w="0" w:type="dxa"/>
            </w:tcMar>
            <w:vAlign w:val="center"/>
          </w:tcPr>
          <w:p>
            <w:pPr>
              <w:pStyle w:val="TableContents"/>
              <w:bidi w:val="0"/>
              <w:spacing w:before="0" w:after="283"/>
              <w:ind w:left="0" w:right="0" w:firstLine="343"/>
              <w:jc w:val="right"/>
              <w:rPr>
                <w:rFonts w:ascii="Times New Roman" w:hAnsi="Times New Roman"/>
                <w:color w:val="000000"/>
                <w:sz w:val="20"/>
              </w:rPr>
            </w:pPr>
            <w:r>
              <w:rPr>
                <w:rFonts w:ascii="Times New Roman" w:hAnsi="Times New Roman"/>
                <w:color w:val="000000"/>
                <w:sz w:val="20"/>
              </w:rPr>
              <w:t>3.98</w:t>
            </w:r>
          </w:p>
        </w:tc>
      </w:tr>
      <w:tr>
        <w:trPr/>
        <w:tc>
          <w:tcPr>
            <w:tcW w:w="7169" w:type="dxa"/>
            <w:tcBorders/>
            <w:shd w:fill="C9F1FF" w:val="clear"/>
            <w:tcMar>
              <w:top w:w="0" w:type="dxa"/>
              <w:left w:w="0" w:type="dxa"/>
              <w:bottom w:w="0" w:type="dxa"/>
              <w:right w:w="0" w:type="dxa"/>
            </w:tcMar>
            <w:vAlign w:val="center"/>
          </w:tcPr>
          <w:p>
            <w:pPr>
              <w:pStyle w:val="TableContents"/>
              <w:bidi w:val="0"/>
              <w:spacing w:before="0" w:after="283"/>
              <w:ind w:left="0" w:right="0" w:firstLine="343"/>
              <w:jc w:val="left"/>
              <w:rPr>
                <w:rFonts w:ascii="Times New Roman" w:hAnsi="Times New Roman"/>
                <w:color w:val="000000"/>
                <w:sz w:val="20"/>
              </w:rPr>
            </w:pPr>
            <w:r>
              <w:rPr>
                <w:rFonts w:ascii="Times New Roman" w:hAnsi="Times New Roman"/>
                <w:color w:val="000000"/>
                <w:sz w:val="20"/>
              </w:rPr>
              <w:t>Increase in net tangible book value per ordinary share attributable to new investors</w:t>
            </w:r>
          </w:p>
        </w:tc>
        <w:tc>
          <w:tcPr>
            <w:tcW w:w="571" w:type="dxa"/>
            <w:tcBorders/>
            <w:shd w:fill="C9F1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854" w:type="dxa"/>
            <w:tcBorders/>
            <w:shd w:fill="C9F1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r>
      <w:tr>
        <w:trPr/>
        <w:tc>
          <w:tcPr>
            <w:tcW w:w="71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adjusted net tangible book value per share after this offering</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8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r>
      <w:tr>
        <w:trPr/>
        <w:tc>
          <w:tcPr>
            <w:tcW w:w="7169" w:type="dxa"/>
            <w:tcBorders/>
            <w:shd w:fill="C9F1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Dilution per ordinary share to investors</w:t>
            </w:r>
          </w:p>
        </w:tc>
        <w:tc>
          <w:tcPr>
            <w:tcW w:w="571" w:type="dxa"/>
            <w:tcBorders/>
            <w:shd w:fill="C9F1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854" w:type="dxa"/>
            <w:tcBorders/>
            <w:shd w:fill="C9F1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r>
    </w:tbl>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Swiss Franc amounts have been translated into U.S. dollars at the exchange rate in effect on December 31, 2025. Such U.S. dollar amounts are not necessarily indicative of the amounts of U.S. dollars that could actually have been purchased upon exchange of Swiss Francs on December 31, 2025 and have been provided solely for the convenience of the reader. The ordinary shares subject to the Sales Agreement are being sold from time to time at various prices. This information is supplied for illustrative purposes only and may differ based on the actual offering price and the actual number of ordinary shares offered.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foregoing table and calculations are based on 57,984,438 ordinary shares outstanding as of December 31, 2025 and excludes:</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5,163,946 ordinary shares issuable upon the exercise of options outstanding as of December 31, 2025 under our Stock Option and Incentive Plan Regulation 2023, or the 2023 Plan, at a weighted-average exercise price of $10.02 per share, inclusive of 216,998 earn-out options issuable upon exercise, subject to satisfaction of certain vesting conditions;</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1,007,636 ordinary shares issuable upon the vesting of restricted stock units outstanding as of December 31, 2025 under the 2023 Plan;</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4,263,561 ordinary shares reserved for future issuance under the 2023 Plan as of December 31, 2025; </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948,549 earn-out shares which vested on February 13, 2026; </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703,703 ordinary shares held in treasury as of December 31, 2025; and</w:t>
      </w:r>
    </w:p>
    <w:p>
      <w:pPr>
        <w:pStyle w:val="TextBody"/>
        <w:bidi w:val="0"/>
        <w:jc w:val="center"/>
        <w:rPr>
          <w:rFonts w:ascii="Times New Roman" w:hAnsi="Times New Roman"/>
          <w:color w:val="000000"/>
          <w:sz w:val="20"/>
        </w:rPr>
      </w:pPr>
      <w:r>
        <w:rPr>
          <w:rFonts w:ascii="Times New Roman" w:hAnsi="Times New Roman"/>
          <w:color w:val="000000"/>
          <w:sz w:val="20"/>
        </w:rPr>
        <w:t>S-9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2,104,906 ordinary shares issuable upon exercise of warrants outstanding as of December 31, 2025, at a weighted average exercise price of $11.57 per share.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that outstanding options and warrants are exercised or new options are issued under the 2023 Plan, investors purchasing our ordinary shares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shareholders.</w:t>
      </w:r>
    </w:p>
    <w:p>
      <w:pPr>
        <w:pStyle w:val="TextBody"/>
        <w:bidi w:val="0"/>
        <w:jc w:val="center"/>
        <w:rPr>
          <w:rFonts w:ascii="Times New Roman" w:hAnsi="Times New Roman"/>
          <w:color w:val="000000"/>
          <w:sz w:val="20"/>
        </w:rPr>
      </w:pPr>
      <w:r>
        <w:rPr>
          <w:rFonts w:ascii="Times New Roman" w:hAnsi="Times New Roman"/>
          <w:color w:val="000000"/>
          <w:sz w:val="20"/>
        </w:rPr>
        <w:t>S-10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37" w:name="s_8_distribution"/>
      <w:bookmarkEnd w:id="37"/>
      <w:r>
        <w:rPr>
          <w:rFonts w:ascii="Times New Roman" w:hAnsi="Times New Roman"/>
          <w:caps/>
          <w:color w:val="000000"/>
          <w:sz w:val="20"/>
        </w:rPr>
        <w:t>PLAN OF DISTRIBUTION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entered into an amended and restated Sales Agreement with Leerink Partners under which we may issue and sell shares of our ordinary shares having aggregate gross sales proceeds of up to $100,000,000 of our ordinary shares from time to time through or to Leerink Partners acting as our sales agent or principal.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Upon delivery of a placement notice and subject to the terms and conditions of the Sales Agreement, Leerink Partners may sell our ordinary shares by any method permitted by law and deemed to be an “at the market offering” as defined in Rule 415 promulgated under the Securities Act. We may instruct Leerink Partners not to sell our ordinary shares if the sales cannot be effected at or above a minimum price designated by us from time to time. We or Leerink Partners may suspend the offering of our ordinary shares under the Sales Agreement upon proper notice and subject to other conditions.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will pay Leerink Partners commissions, in cash, for its services in acting as agent in the sale of our ordinary shares. Leerink Partners will be entitled to compensation at a fixed commission rate equal to up to 3.0% of the gross proceeds from the sales of any ordinary shares sold pursuant to the Sales Agreement. Because there is no minimum offering amount required as a condition to close this offering, the actual total public offering amount, commissions and proceeds to us, if any, are not determinable at this time. Pursuant to the terms of the Sales Agreement, we have also agreed to reimburse Leerink Partners for certain specified expenses, including the fees and disbursements of its legal counsel and FINRA counsel fees in an amount not to exceed $55,000.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Additionally, pursuant to the terms of the Sales Agreement, we agreed to reimburse Leerink Partners for the reasonable and documented fees and costs of its legal counsel reasonably incurred in connection with Leerink Partners’ ongoing diligence arising from the transactions contemplated by the Sales Agreement in an amount not to exceed $25,000 per calendar quarter. We estimate that total expenses for the offering excluding compensation payable to Leerink Partners under the terms of the Sales Agreement will be approximately $1,500,000.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Settlement for sales of our ordinary shares will occur on the second trading day following the date on which any sales are made, or on some other date that is agreed upon by us and Leerink Partners in connection with a particular transaction, in return for payment of the net proceeds to us. Settlement for any securities offered under this prospectus supplement may occur on the first business day that is also a trading day following the date on which any sales were made in return for payment of the net proceeds to us. Sales of our ordinary shares as contemplated in this prospectus supplement will be settled through the facilities of The Depository Trust Company or by such other means as we and Leerink Partners may agree upon. There is no arrangement for funds to be received in an escrow, trust or similar arrangement.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Leerink Partners will use its commercially reasonable efforts, consistent with its normal sales and trading practices, to solicit offers to purchase the ordinary shares under the terms and subject to the conditions set forth in the Sales Agreement. In connection with the sale of the shares of ordinary shares on our behalf, Leerink Partners will be deemed to be an “underwriter” within the meaning of the Securities Act and the compensation of Leerink Partners will be deemed to be underwriting commissions or discounts. We have agreed to provide indemnification and contribution to Leerink Partners against certain civil liabilities, including liabilities under the Securities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Leerink Partners and/or its affiliates have provided, and may in the future provide, various investment banking and other financial services for us for which services they have received and, may in the future receive, customary fees. In the course of its business, Leerink Partners may actively trade our securities for its own account or for the accounts of customers, and, accordingly, Leerink Partners may at any time hold long or short positions in such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offering of our ordinary shares pursuant to Sales Agreement will terminate upon the earlier of (1) sale of all of our ordinary shares subject to this prospectus supplement or (2) the termination of the Sales Agreement as permitted therein. We and Leerink Partners may each terminate the Sales Agreement at any time upon prior written notice.</w:t>
      </w:r>
    </w:p>
    <w:p>
      <w:pPr>
        <w:pStyle w:val="TextBody"/>
        <w:bidi w:val="0"/>
        <w:jc w:val="center"/>
        <w:rPr>
          <w:rFonts w:ascii="Times New Roman" w:hAnsi="Times New Roman"/>
          <w:color w:val="000000"/>
          <w:sz w:val="20"/>
        </w:rPr>
      </w:pPr>
      <w:r>
        <w:rPr>
          <w:rFonts w:ascii="Times New Roman" w:hAnsi="Times New Roman"/>
          <w:color w:val="000000"/>
          <w:sz w:val="20"/>
        </w:rPr>
        <w:t>S-11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portion of the ordinary shares included in this prospectus supplement that are not previously sold or included in an active placement notice pursuant to the Sales Agreement are available for sale in other offerings pursuant to our registration statement, of which this prospectus supplement forms a part, and the accompanying base prospectus.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ordinary shares are listed and traded on The Nasdaq Global Market and The Nasdaq Iceland Main Market under the symbol “OCS.” The transfer agent and registrar of our ordinary shares is Continental Stock Transfer &amp; Trust Company.</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38" w:name="s_9_us_tax"/>
      <w:bookmarkEnd w:id="38"/>
      <w:r>
        <w:rPr>
          <w:rFonts w:ascii="Times New Roman" w:hAnsi="Times New Roman"/>
          <w:caps/>
          <w:color w:val="000000"/>
          <w:sz w:val="20"/>
        </w:rPr>
        <w:t>MATERIAL U.S. FEDERAL INCOME TAX CONSIDERATIONS FOR U.S. 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is a discussion of certain material U.S. federal income tax considerations generally applicable to the acquisition, ownership, and disposition of ordinary shares by a “U.S. Holder.” This discussion applies only to ordinary shares that are held by a U.S. Holder as “capital assets” within the meaning of Section 1221 of the Internal Revenue Code of 1986, as amended, or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any minimum tax provisions of the Code, the special tax accounting rules under Section 451(b) of the Code, the Medicare contribution tax on net investment income, or any tax consequences that may be relevant to U.S. Holders that are subject to special tax rules, including, without limitation: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banks or other financial institutions;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insurance companies;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mutual funds;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pension or retirement plans;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 corporations;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broker or dealers in securities or currencies;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traders in securities that elect mark-to-market treatment;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regulated investment companies;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real estate investment trusts;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trusts or estates;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tax-exempt organizations (including private foundations);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persons that hold ordinary shares as part of a “straddle,” “hedge,” “conversion,” “synthetic security,” “constructive sale,” or other integrated transaction for U.S. federal income tax purposes;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persons that have a functional currency other than the U.S. dollar;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certain U.S. expatriates or former long-term residents of the United States;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persons owning (directly, indirectly, or constructively) 5.0% (by vote or value) or more of our stock;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persons that acquired ordinary shares pursuant to an exercise of employee stock options or otherwise as compensation;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partnerships or other entities or arrangements treated as pass-through entities for U.S. federal income tax purposes and investors in such entities; </w:t>
      </w:r>
    </w:p>
    <w:p>
      <w:pPr>
        <w:pStyle w:val="TextBody"/>
        <w:bidi w:val="0"/>
        <w:spacing w:before="0" w:after="200"/>
        <w:jc w:val="both"/>
        <w:rPr>
          <w:color w:val="000000"/>
        </w:rPr>
      </w:pPr>
      <w:r>
        <w:rPr>
          <w:color w:val="000000"/>
        </w:rPr>
        <w:t>•</w:t>
      </w:r>
    </w:p>
    <w:p>
      <w:pPr>
        <w:pStyle w:val="TextBody"/>
        <w:bidi w:val="0"/>
        <w:spacing w:before="0" w:after="200"/>
        <w:jc w:val="both"/>
        <w:rPr>
          <w:color w:val="000000"/>
        </w:rPr>
      </w:pPr>
      <w:r>
        <w:rPr>
          <w:color w:val="000000"/>
        </w:rPr>
        <w:t>“</w:t>
      </w:r>
      <w:r>
        <w:rPr>
          <w:rFonts w:ascii="Times New Roman" w:hAnsi="Times New Roman"/>
          <w:color w:val="000000"/>
          <w:sz w:val="20"/>
        </w:rPr>
        <w:t xml:space="preserve">controlled foreign corporations” within the meaning of Section 957(a) of the Code; </w:t>
      </w:r>
    </w:p>
    <w:p>
      <w:pPr>
        <w:pStyle w:val="TextBody"/>
        <w:bidi w:val="0"/>
        <w:spacing w:before="0" w:after="200"/>
        <w:jc w:val="both"/>
        <w:rPr>
          <w:color w:val="000000"/>
        </w:rPr>
      </w:pPr>
      <w:r>
        <w:rPr>
          <w:color w:val="000000"/>
        </w:rPr>
        <w:t>•</w:t>
      </w:r>
    </w:p>
    <w:p>
      <w:pPr>
        <w:pStyle w:val="TextBody"/>
        <w:bidi w:val="0"/>
        <w:spacing w:before="0" w:after="200"/>
        <w:jc w:val="both"/>
        <w:rPr>
          <w:color w:val="000000"/>
        </w:rPr>
      </w:pPr>
      <w:r>
        <w:rPr>
          <w:color w:val="000000"/>
        </w:rPr>
        <w:t>“</w:t>
      </w:r>
      <w:r>
        <w:rPr>
          <w:rFonts w:ascii="Times New Roman" w:hAnsi="Times New Roman"/>
          <w:color w:val="000000"/>
          <w:sz w:val="20"/>
        </w:rPr>
        <w:t xml:space="preserve">passive foreign investment companies” within the meaning of Section 1297(a) of the Code; and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corporations that accumulate earnings to avoid U.S. federal income tax.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a partnership (including an entity or arrangement treated as a partnership for U.S. federal income tax purposes) holds ordinary shares, the tax treatment of a partner in such partnership generally will depend on the status of the </w:t>
      </w:r>
    </w:p>
    <w:p>
      <w:pPr>
        <w:pStyle w:val="TextBody"/>
        <w:bidi w:val="0"/>
        <w:jc w:val="center"/>
        <w:rPr>
          <w:rFonts w:ascii="Times New Roman" w:hAnsi="Times New Roman"/>
          <w:color w:val="000000"/>
          <w:sz w:val="20"/>
        </w:rPr>
      </w:pPr>
      <w:r>
        <w:rPr>
          <w:rFonts w:ascii="Times New Roman" w:hAnsi="Times New Roman"/>
          <w:color w:val="000000"/>
          <w:sz w:val="20"/>
        </w:rPr>
        <w:t>S-13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partner and the activities of the partnership and the partner. Partnerships holding ordinary shares should consult their tax advisors regarding the tax consequences in their particular circumstances.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purposes of this discussion, a “U.S. Holder” is a beneficial owner of ordinary shares, that is, for U.S. federal income tax purposes: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an individual who is a U.S. citizen or resident of the United States;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 corporation (including an entity treated as a corporation for U.S. federal income tax purposes) created or organized in or under the laws of the United States, any state thereof, or the District of Columbia;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an estate the income of which is subject to U.S. federal income taxation regardless of its source; or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(ii) that has in effect a valid election under applicable U.S. Treasury regulations to be treated as a United States person.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THIS DISCUSSION IS FOR GENERAL INFORMATIONAL PURPOSES ONLY AND IS NOT TAX ADVICE. U.S. HOLDERS SHOULD CONSULT THEIR TAX ADVISORS REGARDING THE TAX CONSEQUENCES OF THE ACQUISTION, OWNERSHIP, AND DISPOSITION OF ORDINARY SHARES IN THEIR PARTICULAR CIRCUMSTANCES. </w:t>
      </w:r>
    </w:p>
    <w:p>
      <w:pPr>
        <w:pStyle w:val="TextBody"/>
        <w:bidi w:val="0"/>
        <w:spacing w:before="0" w:after="200"/>
        <w:jc w:val="both"/>
        <w:rPr>
          <w:rFonts w:ascii="Times New Roman" w:hAnsi="Times New Roman"/>
          <w:sz w:val="20"/>
        </w:rPr>
      </w:pPr>
      <w:r>
        <w:rPr>
          <w:rFonts w:ascii="Times New Roman" w:hAnsi="Times New Roman"/>
          <w:i/>
          <w:color w:val="000000"/>
          <w:sz w:val="20"/>
        </w:rPr>
        <w:t>Distributions on Ordinary Shares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“passive foreign investment company,” or PFIC, rules discussed below under “—Passive Foreign Investment Company Rules,” distributions on ordinary shares generally will be taxable as dividends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ordinary shares and will be treated as described below under “—Sale or Other Taxable Disposition of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The amount of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w:t>
      </w:r>
    </w:p>
    <w:p>
      <w:pPr>
        <w:pStyle w:val="TextBody"/>
        <w:bidi w:val="0"/>
        <w:jc w:val="center"/>
        <w:rPr>
          <w:rFonts w:ascii="Times New Roman" w:hAnsi="Times New Roman"/>
          <w:color w:val="000000"/>
          <w:sz w:val="20"/>
        </w:rPr>
      </w:pPr>
      <w:r>
        <w:rPr>
          <w:rFonts w:ascii="Times New Roman" w:hAnsi="Times New Roman"/>
          <w:color w:val="000000"/>
          <w:sz w:val="20"/>
        </w:rPr>
        <w:t>S-14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Recently issued U.S. Treasury regulations may in some circumstances prohibit a U.S. Holder from claiming a foreign tax credit with respect to certain foreign taxes that are not creditable under applicable tax treaties. However, the IRS has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 </w:t>
      </w:r>
    </w:p>
    <w:p>
      <w:pPr>
        <w:pStyle w:val="TextBody"/>
        <w:bidi w:val="0"/>
        <w:spacing w:before="0" w:after="200"/>
        <w:jc w:val="both"/>
        <w:rPr>
          <w:rFonts w:ascii="Times New Roman" w:hAnsi="Times New Roman"/>
          <w:sz w:val="20"/>
        </w:rPr>
      </w:pPr>
      <w:r>
        <w:rPr>
          <w:rFonts w:ascii="Times New Roman" w:hAnsi="Times New Roman"/>
          <w:i/>
          <w:color w:val="000000"/>
          <w:sz w:val="20"/>
        </w:rPr>
        <w:t>Sale or Other Taxable Disposition of Ordinary Shares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the PFIC rules discussed below under “—Passive Foreign Investment Company Rules,”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 </w:t>
      </w:r>
    </w:p>
    <w:p>
      <w:pPr>
        <w:pStyle w:val="TextBody"/>
        <w:bidi w:val="0"/>
        <w:spacing w:before="0" w:after="200"/>
        <w:jc w:val="both"/>
        <w:rPr>
          <w:rFonts w:ascii="Times New Roman" w:hAnsi="Times New Roman"/>
          <w:sz w:val="20"/>
        </w:rPr>
      </w:pPr>
      <w:r>
        <w:rPr>
          <w:rFonts w:ascii="Times New Roman" w:hAnsi="Times New Roman"/>
          <w:i/>
          <w:color w:val="000000"/>
          <w:sz w:val="20"/>
        </w:rPr>
        <w:t>Passive Foreign Investment Company Rules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U.S. federal income tax treatment of U.S. Holders could be materially different from that described above if we are treated as a PFIC for U.S. federal income tax purposes. A non-U.S. corporation generally will be treated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Based on our analysis of our income, assets, activities, and market capitalization, we believe that we were not a PFIC for our taxable year ended December 31, 2025. The determination of whether a non-U.S. corporation is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The amount of passive income and passive assets we take into account for PFIC testing purposes depends, in part, on the size of our cash balance (taking into account the timing and manner in which such cash is used) and the interest rates applicable thereto. In addition, the total value of our assets for PFIC testing purposes may be determined in part by reference to our market capitalization from time to time, which may fluctuate considerably. As a result, there can be no assurance with respect to our status as a PFIC for any taxable year, and our U.S. counsel expresses no opinion with respect to our PFIC status for the taxable year ended December </w:t>
      </w:r>
    </w:p>
    <w:p>
      <w:pPr>
        <w:pStyle w:val="TextBody"/>
        <w:bidi w:val="0"/>
        <w:jc w:val="center"/>
        <w:rPr>
          <w:rFonts w:ascii="Times New Roman" w:hAnsi="Times New Roman"/>
          <w:color w:val="000000"/>
          <w:sz w:val="20"/>
        </w:rPr>
      </w:pPr>
      <w:r>
        <w:rPr>
          <w:rFonts w:ascii="Times New Roman" w:hAnsi="Times New Roman"/>
          <w:color w:val="000000"/>
          <w:sz w:val="20"/>
        </w:rPr>
        <w:t>S-15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31, 2025, the taxable year ending December 31, 2026, or for future taxable years. Even if we determine that we are not a PFIC for a taxable year, there can be no assurance that the IRS will agree with that conclusion and that the IRS would not successfully challenge our position. U.S. Holders of ordinary shares should be aware of the risk that we may become a PFIC and should review the section and consult their tax advisors concerning the application of the PFIC rules to the ordinary shares in their particular circumstances.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Although PFIC status is generally determined annually, if we are determined to be a PFIC for any taxable year (or portion thereof) that is included in the holding period of a U.S. Holder in its ordinary shares and the U.S. Holder did not make either a mark-to-market election or a qualified electing fund, or QEF, election, which are referred to collectively as the “PFIC Elections” for purposes of this discussion, for the first taxable year in which we are treated as a PFIC, and in which the U.S. Holder held (or was deemed to hold) ordinary shares, or the U.S.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Under these rules: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U.S. Holder’s gain or excess distribution will be allocated ratably over the U.S. Holder’s holding period in its ordinary shares;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amount allocated to other taxable years (or portions thereof) of the U.S. Holder and included in the U.S. Holder’s holding period will be taxed at the highest tax rate in effect for that year and applicable to the U.S. Holder; and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an additional tax equal to the interest charge generally applicable to underpayments of tax will be imposed on the U.S. Holder with respect to the tax attributable to each such other taxable year of the U.S. Holder. </w:t>
      </w:r>
    </w:p>
    <w:p>
      <w:pPr>
        <w:pStyle w:val="TextBody"/>
        <w:bidi w:val="0"/>
        <w:spacing w:before="0" w:after="200"/>
        <w:jc w:val="both"/>
        <w:rPr>
          <w:rFonts w:ascii="Times New Roman" w:hAnsi="Times New Roman"/>
          <w:sz w:val="20"/>
        </w:rPr>
      </w:pPr>
      <w:r>
        <w:rPr>
          <w:rFonts w:ascii="Times New Roman" w:hAnsi="Times New Roman"/>
          <w:i/>
          <w:color w:val="000000"/>
          <w:sz w:val="20"/>
        </w:rPr>
        <w:t>PFIC Elections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we are treated as a PFIC and ordinary shares constitute “marketable stock,” a U.S. Holder may avoid the adverse PFIC tax consequences discussed above if such U.S. Holder makes a mark-to-market election with respect to its ordinary shares for the first taxable year in which the U.S. Holder holds (or is deemed to hold)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mark-to-market election is available only for “marketable stock,” generally, stock that is regularly traded on a national securities exchange that is registered with the SEC,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pStyle w:val="TextBody"/>
        <w:bidi w:val="0"/>
        <w:jc w:val="center"/>
        <w:rPr>
          <w:rFonts w:ascii="Times New Roman" w:hAnsi="Times New Roman"/>
          <w:color w:val="000000"/>
          <w:sz w:val="20"/>
        </w:rPr>
      </w:pPr>
      <w:r>
        <w:rPr>
          <w:rFonts w:ascii="Times New Roman" w:hAnsi="Times New Roman"/>
          <w:color w:val="000000"/>
          <w:sz w:val="20"/>
        </w:rPr>
        <w:t>S-16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made, a mark-to-market election would be effective for the taxable year for which the election was made and for all subsequent taxable years unless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we are treated as a PFIC, a U.S. Holder may also avoid the adverse PFIC tax consequences discussed above with respect to ordinary shares if the U.S. Holder makes a valid QEF election for the first taxable year in which the U.S. Holder owns (or is treated as owning) ordinary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 U.S. Holder has made a QEF election with respect to ordinary shares, and the special tax and interest charge rules do not apply to such shares (because the QEF election was made in the U.S. Holder’s first taxable year in which the U.S. Holder owns (or is treated as owning) ordinary shares or a purging election was made, as described below), any gain recognized on the sale of ordinary shares will generally be taxable as capital gain and no interest charge will be imposed under the PFIC rules. A U.S. Holder that makes a QEF election with respect to ordinary shares is currently taxed on its pro rata share of our earnings and profits, whether or not distributed. In such case, a subsequent distribution of such earnings and profits that were previously included in income generally should not be taxable as a dividend to the U.S. Holder. The U.S. Holder’s tax basis in ordinary shares with respect to which a QEF election has been made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ordinary shares with respect to which a QEF election has been made. A U.S. Holder generally can make a separate election to defer the payment of taxes on undistributed income inclusions under the QEF election rules, but if deferred, any such taxes will be subject to an interest charge.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order to comply with the requirements of a QEF election with respect to ordinary shares, a U.S. Holder generally must receive a PFIC Annual Information Statement (as defined in Treasury Regulations Section 1.1295-1(g)) from us. If we are determined to be a PFIC for any taxable year, we will endeavor to make available to U.S. Holders a PFIC Annual Information Statement with respect to such taxable year. However, there is no assurance that we will have timely knowledge of our status as a PFIC in the future or that we will make available a PFIC Annual Information Statement. U.S. Holders are urged to consult their tax advisors regarding the availability and tax consequences of a QEF election with respect to ordinary shares in their particular circumstances.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ordinary shares solely for purposes of the PFIC rules. </w:t>
      </w:r>
    </w:p>
    <w:p>
      <w:pPr>
        <w:pStyle w:val="TextBody"/>
        <w:bidi w:val="0"/>
        <w:spacing w:before="0" w:after="200"/>
        <w:jc w:val="both"/>
        <w:rPr>
          <w:rFonts w:ascii="Times New Roman" w:hAnsi="Times New Roman"/>
          <w:sz w:val="20"/>
        </w:rPr>
      </w:pPr>
      <w:r>
        <w:rPr>
          <w:rFonts w:ascii="Times New Roman" w:hAnsi="Times New Roman"/>
          <w:i/>
          <w:color w:val="000000"/>
          <w:sz w:val="20"/>
        </w:rPr>
        <w:t>Related PFIC Rules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we are treated as a PFIC and, at any time, have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PFIC RULES ARE VERY COMPLEX. U.S. HOLDERS SHOULD CONSULT THEIR TAX ADVISORS REGARDING THE APPLICATION OF SUCH RULES IN THEIR PARTICULAR CIRCUMSTANCES. </w:t>
      </w:r>
    </w:p>
    <w:p>
      <w:pPr>
        <w:pStyle w:val="TextBody"/>
        <w:bidi w:val="0"/>
        <w:jc w:val="center"/>
        <w:rPr>
          <w:rFonts w:ascii="Times New Roman" w:hAnsi="Times New Roman"/>
          <w:color w:val="000000"/>
          <w:sz w:val="20"/>
        </w:rPr>
      </w:pPr>
      <w:r>
        <w:rPr>
          <w:rFonts w:ascii="Times New Roman" w:hAnsi="Times New Roman"/>
          <w:color w:val="000000"/>
          <w:sz w:val="20"/>
        </w:rPr>
        <w:t>S-17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i/>
          <w:color w:val="000000"/>
          <w:sz w:val="20"/>
        </w:rPr>
        <w:t>Information Reporting and Backup Withholding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U.S. Holders should consult their tax advisors regarding the information reporting requirements and the application of the backup withholding rules in their particular circumstances.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w:t>
      </w:r>
    </w:p>
    <w:p>
      <w:pPr>
        <w:pStyle w:val="TextBody"/>
        <w:bidi w:val="0"/>
        <w:jc w:val="center"/>
        <w:rPr>
          <w:rFonts w:ascii="Times New Roman" w:hAnsi="Times New Roman"/>
          <w:color w:val="000000"/>
          <w:sz w:val="20"/>
        </w:rPr>
      </w:pPr>
      <w:r>
        <w:rPr>
          <w:rFonts w:ascii="Times New Roman" w:hAnsi="Times New Roman"/>
          <w:color w:val="000000"/>
          <w:sz w:val="20"/>
        </w:rPr>
        <w:t>S-18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39" w:name="s_10_swisstax"/>
      <w:bookmarkEnd w:id="39"/>
      <w:r>
        <w:rPr>
          <w:rFonts w:ascii="Times New Roman" w:hAnsi="Times New Roman"/>
          <w:caps/>
          <w:color w:val="000000"/>
          <w:sz w:val="20"/>
        </w:rPr>
        <w:t>MATERIAL SWISS INCOME TAX IMPLICATIONS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Please see the section entitled “Item 10. Additional Information – E. Taxation - Material Swiss Tax Considerations” incorporated by reference from our Annual Report, as well as any amendments thereto reflected in our subsequent filings with the SEC.</w:t>
      </w:r>
    </w:p>
    <w:p>
      <w:pPr>
        <w:pStyle w:val="TextBody"/>
        <w:bidi w:val="0"/>
        <w:jc w:val="center"/>
        <w:rPr>
          <w:rFonts w:ascii="Times New Roman" w:hAnsi="Times New Roman"/>
          <w:color w:val="000000"/>
          <w:sz w:val="20"/>
        </w:rPr>
      </w:pPr>
      <w:r>
        <w:rPr>
          <w:rFonts w:ascii="Times New Roman" w:hAnsi="Times New Roman"/>
          <w:color w:val="000000"/>
          <w:sz w:val="20"/>
        </w:rPr>
        <w:t>S-19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0"/>
        </w:rPr>
      </w:pPr>
      <w:bookmarkStart w:id="40" w:name="s_11_dividend"/>
      <w:bookmarkEnd w:id="40"/>
      <w:r>
        <w:rPr>
          <w:rFonts w:ascii="Times New Roman" w:hAnsi="Times New Roman"/>
          <w:caps/>
          <w:color w:val="000000"/>
          <w:sz w:val="20"/>
        </w:rPr>
        <w:t>DIVIDEND POLICY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not paid any cash dividends on the Ordinary Shares to date and do not intend to pay cash dividends for the foreseeable future. Dividends may be paid only if we have sufficient distributable profit from previous years or sufficient free reserves to allow the distribution of a dividend. Swiss law requires that we retain at least 5% of our annual net profit as general reserves for so long as these reserves amount to less than 20% of our paid-in nominal share capital.</w:t>
      </w:r>
    </w:p>
    <w:p>
      <w:pPr>
        <w:pStyle w:val="Heading1"/>
        <w:bidi w:val="0"/>
        <w:spacing w:before="0" w:after="240"/>
        <w:jc w:val="center"/>
        <w:rPr>
          <w:rFonts w:ascii="Times New Roman" w:hAnsi="Times New Roman"/>
          <w:caps/>
          <w:color w:val="000000"/>
          <w:sz w:val="20"/>
        </w:rPr>
      </w:pPr>
      <w:bookmarkStart w:id="41" w:name="s_12_legalmatters"/>
      <w:bookmarkEnd w:id="41"/>
      <w:r>
        <w:rPr>
          <w:rFonts w:ascii="Times New Roman" w:hAnsi="Times New Roman"/>
          <w:caps/>
          <w:color w:val="000000"/>
          <w:sz w:val="20"/>
        </w:rPr>
        <w:t>LEGAL MATTERS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validity of the securities offered hereby on behalf of Oculis Holding AG and certain other matters of Swiss law will be passed upon for us by VISCHER AG, Basel, Switzerland. Certain matters of U.S. federal law will be passed upon for us by Cooley LLP, New York, New York. Leerink Partners LLC is being represented in connection with this offering by Davis Polk &amp; Wardwell LLP, New York, New York.</w:t>
      </w:r>
    </w:p>
    <w:p>
      <w:pPr>
        <w:pStyle w:val="Heading1"/>
        <w:bidi w:val="0"/>
        <w:spacing w:before="0" w:after="240"/>
        <w:jc w:val="center"/>
        <w:rPr>
          <w:rFonts w:ascii="Times New Roman" w:hAnsi="Times New Roman"/>
          <w:caps/>
          <w:color w:val="000000"/>
          <w:sz w:val="20"/>
        </w:rPr>
      </w:pPr>
      <w:bookmarkStart w:id="42" w:name="s_13_experts"/>
      <w:bookmarkEnd w:id="42"/>
      <w:r>
        <w:rPr>
          <w:rFonts w:ascii="Times New Roman" w:hAnsi="Times New Roman"/>
          <w:caps/>
          <w:color w:val="000000"/>
          <w:sz w:val="20"/>
        </w:rPr>
        <w:t>EXPERTS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20-F for the year ended December 31, 2025 have been so incorporated in reliance on the report of PricewaterhouseCoopers SA, an independent registered accounting firm, given on the authority of said firm as experts in auditing and accounting. PricewaterhouseCoopers SA is a member of EXPERTsuisse — Swiss Expert Association for Audit, Tax and Fiduciary.</w:t>
      </w:r>
    </w:p>
    <w:p>
      <w:pPr>
        <w:pStyle w:val="Heading1"/>
        <w:bidi w:val="0"/>
        <w:spacing w:before="0" w:after="240"/>
        <w:jc w:val="center"/>
        <w:rPr>
          <w:rFonts w:ascii="Times New Roman" w:hAnsi="Times New Roman"/>
          <w:caps/>
          <w:color w:val="000000"/>
          <w:sz w:val="20"/>
        </w:rPr>
      </w:pPr>
      <w:bookmarkStart w:id="43" w:name="s_14_more_info"/>
      <w:bookmarkEnd w:id="43"/>
      <w:r>
        <w:rPr>
          <w:rFonts w:ascii="Times New Roman" w:hAnsi="Times New Roman"/>
          <w:caps/>
          <w:color w:val="000000"/>
          <w:sz w:val="20"/>
        </w:rPr>
        <w:t>WHERE YOU CAN FIND MORE INFORMATION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We file annual reports on Form 20-F and current reports on Form 6-K and other information from time to time with the SEC in accordance with such requirements. Our SEC filings are available to the public on the internet at a website maintained by the SEC located at www.sec.gov. We also maintain a website at </w:t>
      </w:r>
      <w:r>
        <w:rPr>
          <w:rFonts w:ascii="Times New Roman" w:hAnsi="Times New Roman"/>
          <w:i/>
          <w:color w:val="000000"/>
          <w:sz w:val="20"/>
        </w:rPr>
        <w:t>www.oculis.com</w:t>
      </w:r>
      <w:r>
        <w:rPr>
          <w:rFonts w:ascii="Times New Roman" w:hAnsi="Times New Roman"/>
          <w:color w:val="000000"/>
          <w:sz w:val="20"/>
        </w:rPr>
        <w:t>. The information contained on, or that can be accessible through, our website is not a part of this prospectus supplement and the inclusion of our website address in this prospectus supplement is an inactive textual reference only.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prospectus supplement is part of a registration statement that we filed with the SEC and does not contain all of the information in the registration statement. You should review the information and exhibits in the registration statement for further information on us and the securities that we are offering. Statements in this prospectus supplement about these documents are summaries and each statement is qualified in all respects by reference to the document to which it refers. You should read the actual documents for a more complete description of the relevant matters.</w:t>
      </w:r>
    </w:p>
    <w:p>
      <w:pPr>
        <w:pStyle w:val="Heading1"/>
        <w:bidi w:val="0"/>
        <w:spacing w:before="0" w:after="240"/>
        <w:jc w:val="center"/>
        <w:rPr>
          <w:rFonts w:ascii="Times New Roman" w:hAnsi="Times New Roman"/>
          <w:caps/>
          <w:color w:val="000000"/>
          <w:sz w:val="20"/>
        </w:rPr>
      </w:pPr>
      <w:bookmarkStart w:id="44" w:name="s_15_incorporation_ref"/>
      <w:bookmarkEnd w:id="44"/>
      <w:r>
        <w:rPr>
          <w:rFonts w:ascii="Times New Roman" w:hAnsi="Times New Roman"/>
          <w:caps/>
          <w:color w:val="000000"/>
          <w:sz w:val="20"/>
        </w:rPr>
        <w:t>INCORPORATION BY REFERENCE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rather than filed, and, except as may be noted in any such Form 6-K, exhibits filed on such form that are related to such information), until the offering of the securities under the registration statement of which this prospectus supplement forms a part is terminated or completed:</w:t>
      </w:r>
    </w:p>
    <w:p>
      <w:pPr>
        <w:pStyle w:val="TextBody"/>
        <w:bidi w:val="0"/>
        <w:jc w:val="center"/>
        <w:rPr>
          <w:rFonts w:ascii="Times New Roman" w:hAnsi="Times New Roman"/>
          <w:color w:val="000000"/>
          <w:sz w:val="20"/>
        </w:rPr>
      </w:pPr>
      <w:r>
        <w:rPr>
          <w:rFonts w:ascii="Times New Roman" w:hAnsi="Times New Roman"/>
          <w:color w:val="000000"/>
          <w:sz w:val="20"/>
        </w:rPr>
        <w:t>S-20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color w:val="000000"/>
        </w:rPr>
      </w:pPr>
      <w:r>
        <w:rPr>
          <w:color w:val="000000"/>
        </w:rPr>
        <w:t>•</w:t>
      </w:r>
    </w:p>
    <w:p>
      <w:pPr>
        <w:pStyle w:val="TextBody"/>
        <w:bidi w:val="0"/>
        <w:spacing w:before="200" w:after="200"/>
        <w:jc w:val="both"/>
        <w:rPr/>
      </w:pPr>
      <w:r>
        <w:rPr>
          <w:rFonts w:ascii="Times New Roman" w:hAnsi="Times New Roman"/>
          <w:color w:val="000000"/>
          <w:sz w:val="20"/>
        </w:rPr>
        <w:t xml:space="preserve">the description of our ordinary shares contained in our Registration Statement on </w:t>
      </w:r>
      <w:hyperlink r:id="rId7">
        <w:r>
          <w:rPr>
            <w:rStyle w:val="InternetLink"/>
            <w:rFonts w:ascii="Times New Roman" w:hAnsi="Times New Roman"/>
            <w:color w:val="0000FF"/>
            <w:sz w:val="20"/>
            <w:u w:val="single"/>
          </w:rPr>
          <w:t>Form 8-A</w:t>
        </w:r>
      </w:hyperlink>
      <w:r>
        <w:rPr>
          <w:rFonts w:ascii="Times New Roman" w:hAnsi="Times New Roman"/>
          <w:color w:val="000000"/>
          <w:sz w:val="20"/>
        </w:rPr>
        <w:t>, filed with the SEC on March 1, 2023, including any amendments or reports filed for the purpose of updating the description; and</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Times New Roman" w:hAnsi="Times New Roman"/>
          <w:color w:val="000000"/>
          <w:sz w:val="20"/>
        </w:rPr>
        <w:t xml:space="preserve">our Annual Report on </w:t>
      </w:r>
      <w:hyperlink r:id="rId8">
        <w:r>
          <w:rPr>
            <w:rStyle w:val="InternetLink"/>
            <w:rFonts w:ascii="Times New Roman" w:hAnsi="Times New Roman"/>
            <w:color w:val="0000FF"/>
            <w:sz w:val="20"/>
            <w:u w:val="single"/>
          </w:rPr>
          <w:t>Form 20-F</w:t>
        </w:r>
      </w:hyperlink>
      <w:r>
        <w:rPr>
          <w:color w:val="000000"/>
        </w:rPr>
        <w:t xml:space="preserve"> </w:t>
      </w:r>
      <w:r>
        <w:rPr>
          <w:rFonts w:ascii="Times New Roman" w:hAnsi="Times New Roman"/>
          <w:color w:val="000000"/>
          <w:sz w:val="20"/>
        </w:rPr>
        <w:t>for the year ended December 31, 2025, filed with the SEC on March 4, 2026.</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You can obtain any of the filings incorporated by reference in this prospectus supplement through us or from the SEC through the SEC’s website at </w:t>
      </w:r>
      <w:r>
        <w:rPr>
          <w:rFonts w:ascii="Times New Roman" w:hAnsi="Times New Roman"/>
          <w:i/>
          <w:color w:val="000000"/>
          <w:sz w:val="20"/>
        </w:rPr>
        <w:t>www.sec.gov</w:t>
      </w:r>
      <w:r>
        <w:rPr>
          <w:rFonts w:ascii="Times New Roman" w:hAnsi="Times New Roman"/>
          <w:color w:val="000000"/>
          <w:sz w:val="20"/>
        </w:rPr>
        <w:t>. Our filings with the SEC, including our annual reports on Form 20-F and reports on Form 6-K and exhibits incorporated in and amendments to those reports, are also available free of charge on our website (</w:t>
      </w:r>
      <w:r>
        <w:rPr>
          <w:rFonts w:ascii="Times New Roman" w:hAnsi="Times New Roman"/>
          <w:i/>
          <w:color w:val="000000"/>
          <w:sz w:val="20"/>
        </w:rPr>
        <w:t>www.oculis.com</w:t>
      </w:r>
      <w:r>
        <w:rPr>
          <w:rFonts w:ascii="Times New Roman" w:hAnsi="Times New Roman"/>
          <w:color w:val="000000"/>
          <w:sz w:val="20"/>
        </w:rPr>
        <w:t>) as soon as reasonably practicable after they are filed with, or furnished to, the SEC. The reference to our website is an inactive textual reference only, and information contained therein or connected thereto is not incorporated into this prospectus supplement or the registration statement of which it forms a part. We will provide to each person, including any beneficial owner, to whom this prospectus supplement is delivered, a copy of any or all the reports or documents incorporated by reference in this prospectus supplement at no cost, upon written or oral request to us at the following address and telephone number:</w:t>
      </w:r>
    </w:p>
    <w:p>
      <w:pPr>
        <w:pStyle w:val="TextBody"/>
        <w:bidi w:val="0"/>
        <w:jc w:val="center"/>
        <w:rPr>
          <w:rFonts w:ascii="Times New Roman" w:hAnsi="Times New Roman"/>
          <w:color w:val="000000"/>
          <w:sz w:val="20"/>
        </w:rPr>
      </w:pPr>
      <w:r>
        <w:rPr>
          <w:rFonts w:ascii="Times New Roman" w:hAnsi="Times New Roman"/>
          <w:color w:val="000000"/>
          <w:sz w:val="20"/>
        </w:rPr>
        <w:t>Oculis Holding AG</w:t>
        <w:br/>
        <w:t>Bahnhofstrasse 20</w:t>
        <w:br/>
        <w:t>CH-6300</w:t>
        <w:br/>
        <w:t>Zug, Switzerland</w:t>
        <w:br/>
        <w:t>Attn: Investor Relations</w:t>
        <w:br/>
        <w:t>+41 41 711 39 60</w:t>
      </w:r>
    </w:p>
    <w:p>
      <w:pPr>
        <w:pStyle w:val="TextBody"/>
        <w:bidi w:val="0"/>
        <w:spacing w:before="240" w:after="24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3362325" cy="619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3362325" cy="619125"/>
                    </a:xfrm>
                    <a:prstGeom prst="rect">
                      <a:avLst/>
                    </a:prstGeom>
                  </pic:spPr>
                </pic:pic>
              </a:graphicData>
            </a:graphic>
          </wp:inline>
        </w:drawing>
      </w:r>
    </w:p>
    <w:p>
      <w:pPr>
        <w:pStyle w:val="TextBody"/>
        <w:bidi w:val="0"/>
        <w:spacing w:before="240" w:after="240"/>
        <w:jc w:val="center"/>
        <w:rPr>
          <w:rFonts w:ascii="Times New Roman" w:hAnsi="Times New Roman"/>
          <w:b/>
          <w:color w:val="000000"/>
          <w:sz w:val="44"/>
        </w:rPr>
      </w:pPr>
      <w:r>
        <w:rPr>
          <w:rFonts w:ascii="Times New Roman" w:hAnsi="Times New Roman"/>
          <w:b/>
          <w:color w:val="000000"/>
          <w:sz w:val="44"/>
        </w:rPr>
        <w:t>Oculis Holding AG</w:t>
      </w:r>
    </w:p>
    <w:p>
      <w:pPr>
        <w:pStyle w:val="TextBody"/>
        <w:bidi w:val="0"/>
        <w:jc w:val="center"/>
        <w:rPr>
          <w:rFonts w:ascii="Times New Roman" w:hAnsi="Times New Roman"/>
          <w:b/>
          <w:color w:val="000000"/>
          <w:sz w:val="28"/>
        </w:rPr>
      </w:pPr>
      <w:r>
        <w:rPr>
          <w:rFonts w:ascii="Times New Roman" w:hAnsi="Times New Roman"/>
          <w:b/>
          <w:color w:val="000000"/>
          <w:sz w:val="28"/>
        </w:rPr>
        <w:t>Up to $100,000,000</w:t>
      </w:r>
    </w:p>
    <w:p>
      <w:pPr>
        <w:pStyle w:val="TextBody"/>
        <w:bidi w:val="0"/>
        <w:jc w:val="center"/>
        <w:rPr>
          <w:rFonts w:ascii="Times New Roman" w:hAnsi="Times New Roman"/>
          <w:b/>
          <w:color w:val="000000"/>
          <w:sz w:val="28"/>
        </w:rPr>
      </w:pPr>
      <w:r>
        <w:rPr>
          <w:rFonts w:ascii="Times New Roman" w:hAnsi="Times New Roman"/>
          <w:b/>
          <w:color w:val="000000"/>
          <w:sz w:val="28"/>
        </w:rPr>
        <w:t>Ordinary Shares</w:t>
      </w:r>
    </w:p>
    <w:p>
      <w:pPr>
        <w:pStyle w:val="TextBody"/>
        <w:bidi w:val="0"/>
        <w:spacing w:before="240" w:after="240"/>
        <w:jc w:val="left"/>
        <w:rPr/>
      </w:pPr>
      <w:r>
        <w:rPr/>
        <w:t> </w:t>
      </w:r>
    </w:p>
    <w:p>
      <w:pPr>
        <w:pStyle w:val="TextBody"/>
        <w:pBdr>
          <w:bottom w:val="single" w:sz="4" w:space="1" w:color="000000"/>
        </w:pBdr>
        <w:bidi w:val="0"/>
        <w:spacing w:before="0" w:after="24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 SUPPLEMENT</w:t>
      </w:r>
    </w:p>
    <w:p>
      <w:pPr>
        <w:pStyle w:val="TextBody"/>
        <w:pBdr>
          <w:bottom w:val="single" w:sz="4" w:space="1" w:color="000000"/>
        </w:pBdr>
        <w:bidi w:val="0"/>
        <w:spacing w:before="0" w:after="24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Leerink Partners</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March 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PART II</w:t>
        <w:br/>
        <w:t>INFORMATION NOT REQUIRED IN PROSPECTUS</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Item 8. Indemnification of Board of Directors and Executive Committee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Swiss corporate law, an indemnification by the corporation of a director or member of the executive committee in relation to potential personal liability is not effective to the extent the director or member of the executive committee intentionally or grossly negligently violated his or her corporate duties towards the corporation. Furthermore, the general meeting of shareholders may discharge the directors and members of the executive committee from liability for their conduct to the extent the respective facts are known to shareholders. Such discharge is effective only with respect to claims of the company and of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Articles of Association provide for indemnification of the existing and former members of the board of directors or the executive committee against liabilities arising in connection with the performance of their duties in such capacity. In addition, under general principles of Swiss employment law, an employer may be required to indemnify an employee against losses and expenses incurred by such employee in the proper execution of his or her duties under the employment agreement with the employer.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entered into indemnification agreements with each of the members of our board of directors and executive officers, the form of which has been filed as an exhibit to our annual report on Form 20-F filed with the Securities and Exchange Commission.</w:t>
      </w:r>
    </w:p>
    <w:p>
      <w:pPr>
        <w:pStyle w:val="Heading2"/>
        <w:bidi w:val="0"/>
        <w:spacing w:before="0" w:after="240"/>
        <w:jc w:val="both"/>
        <w:rPr>
          <w:rFonts w:ascii="Times New Roman" w:hAnsi="Times New Roman"/>
          <w:color w:val="000000"/>
          <w:sz w:val="20"/>
        </w:rPr>
      </w:pPr>
      <w:bookmarkStart w:id="45" w:name="exhibits"/>
      <w:bookmarkEnd w:id="45"/>
      <w:r>
        <w:rPr>
          <w:rFonts w:ascii="Times New Roman" w:hAnsi="Times New Roman"/>
          <w:color w:val="000000"/>
          <w:sz w:val="20"/>
        </w:rPr>
        <w:t>Item 9. Exhibits</w:t>
      </w:r>
    </w:p>
    <w:tbl>
      <w:tblPr>
        <w:tblW w:w="10205" w:type="dxa"/>
        <w:jc w:val="left"/>
        <w:tblInd w:w="0" w:type="dxa"/>
        <w:tblLayout w:type="fixed"/>
        <w:tblCellMar>
          <w:top w:w="28" w:type="dxa"/>
          <w:left w:w="28" w:type="dxa"/>
          <w:bottom w:w="28" w:type="dxa"/>
          <w:right w:w="28" w:type="dxa"/>
        </w:tblCellMar>
      </w:tblPr>
      <w:tblGrid>
        <w:gridCol w:w="1074"/>
        <w:gridCol w:w="4923"/>
        <w:gridCol w:w="511"/>
        <w:gridCol w:w="769"/>
        <w:gridCol w:w="1059"/>
        <w:gridCol w:w="778"/>
        <w:gridCol w:w="1091"/>
      </w:tblGrid>
      <w:tr>
        <w:trPr/>
        <w:tc>
          <w:tcPr>
            <w:tcW w:w="1074" w:type="dxa"/>
            <w:tcBorders/>
            <w:shd w:fill="FFFFFF" w:val="clear"/>
            <w:vAlign w:val="center"/>
          </w:tcPr>
          <w:p>
            <w:pPr>
              <w:pStyle w:val="TableContents"/>
              <w:bidi w:val="0"/>
              <w:spacing w:before="0" w:after="283"/>
              <w:jc w:val="left"/>
              <w:rPr>
                <w:sz w:val="4"/>
                <w:szCs w:val="4"/>
              </w:rPr>
            </w:pPr>
            <w:r>
              <w:rPr>
                <w:sz w:val="4"/>
                <w:szCs w:val="4"/>
              </w:rPr>
            </w:r>
          </w:p>
        </w:tc>
        <w:tc>
          <w:tcPr>
            <w:tcW w:w="4923"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769" w:type="dxa"/>
            <w:tcBorders/>
            <w:shd w:fill="FFFFFF" w:val="clear"/>
            <w:vAlign w:val="center"/>
          </w:tcPr>
          <w:p>
            <w:pPr>
              <w:pStyle w:val="TableContents"/>
              <w:bidi w:val="0"/>
              <w:spacing w:before="0" w:after="283"/>
              <w:jc w:val="left"/>
              <w:rPr>
                <w:sz w:val="4"/>
                <w:szCs w:val="4"/>
              </w:rPr>
            </w:pPr>
            <w:r>
              <w:rPr>
                <w:sz w:val="4"/>
                <w:szCs w:val="4"/>
              </w:rPr>
            </w:r>
          </w:p>
        </w:tc>
        <w:tc>
          <w:tcPr>
            <w:tcW w:w="1059" w:type="dxa"/>
            <w:tcBorders/>
            <w:shd w:fill="FFFFFF" w:val="clear"/>
            <w:vAlign w:val="center"/>
          </w:tcPr>
          <w:p>
            <w:pPr>
              <w:pStyle w:val="TableContents"/>
              <w:bidi w:val="0"/>
              <w:spacing w:before="0" w:after="283"/>
              <w:jc w:val="left"/>
              <w:rPr>
                <w:sz w:val="4"/>
                <w:szCs w:val="4"/>
              </w:rPr>
            </w:pPr>
            <w:r>
              <w:rPr>
                <w:sz w:val="4"/>
                <w:szCs w:val="4"/>
              </w:rPr>
            </w:r>
          </w:p>
        </w:tc>
        <w:tc>
          <w:tcPr>
            <w:tcW w:w="778" w:type="dxa"/>
            <w:tcBorders/>
            <w:shd w:fill="FFFFFF" w:val="clear"/>
            <w:vAlign w:val="center"/>
          </w:tcPr>
          <w:p>
            <w:pPr>
              <w:pStyle w:val="TableContents"/>
              <w:bidi w:val="0"/>
              <w:spacing w:before="0" w:after="283"/>
              <w:jc w:val="left"/>
              <w:rPr>
                <w:sz w:val="4"/>
                <w:szCs w:val="4"/>
              </w:rPr>
            </w:pPr>
            <w:r>
              <w:rPr>
                <w:sz w:val="4"/>
                <w:szCs w:val="4"/>
              </w:rPr>
            </w:r>
          </w:p>
        </w:tc>
        <w:tc>
          <w:tcPr>
            <w:tcW w:w="1091" w:type="dxa"/>
            <w:tcBorders/>
            <w:shd w:fill="FFFFFF" w:val="clear"/>
            <w:vAlign w:val="center"/>
          </w:tcPr>
          <w:p>
            <w:pPr>
              <w:pStyle w:val="TableContents"/>
              <w:bidi w:val="0"/>
              <w:spacing w:before="0" w:after="283"/>
              <w:jc w:val="left"/>
              <w:rPr>
                <w:sz w:val="4"/>
                <w:szCs w:val="4"/>
              </w:rPr>
            </w:pPr>
            <w:r>
              <w:rPr>
                <w:sz w:val="4"/>
                <w:szCs w:val="4"/>
              </w:rPr>
            </w:r>
          </w:p>
        </w:tc>
      </w:tr>
      <w:tr>
        <w:trPr/>
        <w:tc>
          <w:tcPr>
            <w:tcW w:w="10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08" w:type="dxa"/>
            <w:gridSpan w:val="5"/>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1074"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4923"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51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69"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059"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77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09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1074"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1.1*</w:t>
            </w:r>
          </w:p>
        </w:tc>
        <w:tc>
          <w:tcPr>
            <w:tcW w:w="4923"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Form of Underwriting Agreement.</w:t>
            </w:r>
          </w:p>
        </w:tc>
        <w:tc>
          <w:tcPr>
            <w:tcW w:w="511" w:type="dxa"/>
            <w:tcBorders/>
            <w:tcMar>
              <w:top w:w="0" w:type="dxa"/>
              <w:left w:w="0" w:type="dxa"/>
              <w:bottom w:w="0" w:type="dxa"/>
              <w:right w:w="0" w:type="dxa"/>
            </w:tcMar>
            <w:vAlign w:val="center"/>
          </w:tcPr>
          <w:p>
            <w:pPr>
              <w:pStyle w:val="TableContents"/>
              <w:bidi w:val="0"/>
              <w:spacing w:before="100" w:after="100"/>
              <w:jc w:val="left"/>
              <w:rPr/>
            </w:pPr>
            <w:r>
              <w:rPr/>
              <w:t> </w:t>
            </w:r>
          </w:p>
        </w:tc>
        <w:tc>
          <w:tcPr>
            <w:tcW w:w="769"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59" w:type="dxa"/>
            <w:tcBorders/>
            <w:tcMar>
              <w:top w:w="0" w:type="dxa"/>
              <w:left w:w="0" w:type="dxa"/>
              <w:bottom w:w="0" w:type="dxa"/>
              <w:right w:w="0" w:type="dxa"/>
            </w:tcMar>
            <w:vAlign w:val="center"/>
          </w:tcPr>
          <w:p>
            <w:pPr>
              <w:pStyle w:val="TableContents"/>
              <w:bidi w:val="0"/>
              <w:spacing w:before="100" w:after="100"/>
              <w:jc w:val="left"/>
              <w:rPr/>
            </w:pPr>
            <w:r>
              <w:rPr/>
              <w:t> </w:t>
            </w:r>
          </w:p>
        </w:tc>
        <w:tc>
          <w:tcPr>
            <w:tcW w:w="778"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91" w:type="dxa"/>
            <w:tcBorders/>
            <w:tcMar>
              <w:top w:w="0" w:type="dxa"/>
              <w:left w:w="0" w:type="dxa"/>
              <w:bottom w:w="0" w:type="dxa"/>
              <w:right w:w="0" w:type="dxa"/>
            </w:tcMar>
            <w:vAlign w:val="center"/>
          </w:tcPr>
          <w:p>
            <w:pPr>
              <w:pStyle w:val="TableContents"/>
              <w:bidi w:val="0"/>
              <w:spacing w:before="100" w:after="100"/>
              <w:jc w:val="center"/>
              <w:rPr/>
            </w:pPr>
            <w:r>
              <w:rPr/>
              <w:t> </w:t>
            </w:r>
          </w:p>
        </w:tc>
      </w:tr>
      <w:tr>
        <w:trPr/>
        <w:tc>
          <w:tcPr>
            <w:tcW w:w="1074"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4.1</w:t>
            </w:r>
          </w:p>
        </w:tc>
        <w:tc>
          <w:tcPr>
            <w:tcW w:w="4923" w:type="dxa"/>
            <w:tcBorders/>
            <w:tcMar>
              <w:top w:w="0" w:type="dxa"/>
              <w:left w:w="0" w:type="dxa"/>
              <w:bottom w:w="0" w:type="dxa"/>
              <w:right w:w="0" w:type="dxa"/>
            </w:tcMar>
            <w:vAlign w:val="center"/>
          </w:tcPr>
          <w:p>
            <w:pPr>
              <w:pStyle w:val="TableContents"/>
              <w:bidi w:val="0"/>
              <w:spacing w:before="100" w:after="100"/>
              <w:jc w:val="left"/>
              <w:rPr/>
            </w:pPr>
            <w:hyperlink r:id="rId10">
              <w:r>
                <w:rPr>
                  <w:rStyle w:val="InternetLink"/>
                  <w:rFonts w:ascii="Times New Roman" w:hAnsi="Times New Roman"/>
                  <w:color w:val="0000FF"/>
                  <w:sz w:val="18"/>
                  <w:u w:val="single"/>
                </w:rPr>
                <w:t>Amended and Restated Articles of Association of the Company.</w:t>
              </w:r>
            </w:hyperlink>
          </w:p>
        </w:tc>
        <w:tc>
          <w:tcPr>
            <w:tcW w:w="511"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20-F</w:t>
            </w:r>
          </w:p>
        </w:tc>
        <w:tc>
          <w:tcPr>
            <w:tcW w:w="769"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001-41636</w:t>
            </w:r>
          </w:p>
        </w:tc>
        <w:tc>
          <w:tcPr>
            <w:tcW w:w="1059"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1.1</w:t>
            </w:r>
          </w:p>
        </w:tc>
        <w:tc>
          <w:tcPr>
            <w:tcW w:w="778"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03/04/2026</w:t>
            </w:r>
          </w:p>
        </w:tc>
        <w:tc>
          <w:tcPr>
            <w:tcW w:w="1091" w:type="dxa"/>
            <w:tcBorders/>
            <w:tcMar>
              <w:top w:w="0" w:type="dxa"/>
              <w:left w:w="0" w:type="dxa"/>
              <w:bottom w:w="0" w:type="dxa"/>
              <w:right w:w="0" w:type="dxa"/>
            </w:tcMar>
            <w:vAlign w:val="center"/>
          </w:tcPr>
          <w:p>
            <w:pPr>
              <w:pStyle w:val="TableContents"/>
              <w:bidi w:val="0"/>
              <w:spacing w:before="100" w:after="100"/>
              <w:jc w:val="center"/>
              <w:rPr/>
            </w:pPr>
            <w:r>
              <w:rPr/>
              <w:t> </w:t>
            </w:r>
          </w:p>
        </w:tc>
      </w:tr>
      <w:tr>
        <w:trPr/>
        <w:tc>
          <w:tcPr>
            <w:tcW w:w="1074"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4.2</w:t>
            </w:r>
          </w:p>
        </w:tc>
        <w:tc>
          <w:tcPr>
            <w:tcW w:w="4923" w:type="dxa"/>
            <w:tcBorders/>
            <w:tcMar>
              <w:top w:w="0" w:type="dxa"/>
              <w:left w:w="0" w:type="dxa"/>
              <w:bottom w:w="0" w:type="dxa"/>
              <w:right w:w="0" w:type="dxa"/>
            </w:tcMar>
            <w:vAlign w:val="center"/>
          </w:tcPr>
          <w:p>
            <w:pPr>
              <w:pStyle w:val="TableContents"/>
              <w:bidi w:val="0"/>
              <w:spacing w:before="100" w:after="100"/>
              <w:jc w:val="left"/>
              <w:rPr/>
            </w:pPr>
            <w:hyperlink w:anchor="ocs-ex4_2.htm">
              <w:r>
                <w:rPr>
                  <w:rStyle w:val="InternetLink"/>
                  <w:rFonts w:ascii="Times New Roman" w:hAnsi="Times New Roman"/>
                  <w:color w:val="0000FF"/>
                  <w:sz w:val="18"/>
                  <w:u w:val="single"/>
                </w:rPr>
                <w:t>Form of Indenture between the Registrant and one or more trustees to be named.</w:t>
              </w:r>
            </w:hyperlink>
            <w:hyperlink w:anchor="ocs-ex4_2.htm">
              <w:r>
                <w:rPr>
                  <w:rStyle w:val="InternetLink"/>
                  <w:rFonts w:ascii="Times New Roman" w:hAnsi="Times New Roman"/>
                  <w:color w:val="0000FF"/>
                  <w:sz w:val="18"/>
                </w:rPr>
                <w:t xml:space="preserve"> </w:t>
              </w:r>
            </w:hyperlink>
          </w:p>
        </w:tc>
        <w:tc>
          <w:tcPr>
            <w:tcW w:w="511" w:type="dxa"/>
            <w:tcBorders/>
            <w:tcMar>
              <w:top w:w="0" w:type="dxa"/>
              <w:left w:w="0" w:type="dxa"/>
              <w:bottom w:w="0" w:type="dxa"/>
              <w:right w:w="0" w:type="dxa"/>
            </w:tcMar>
            <w:vAlign w:val="center"/>
          </w:tcPr>
          <w:p>
            <w:pPr>
              <w:pStyle w:val="TableContents"/>
              <w:bidi w:val="0"/>
              <w:spacing w:before="100" w:after="100"/>
              <w:jc w:val="left"/>
              <w:rPr/>
            </w:pPr>
            <w:r>
              <w:rPr/>
              <w:t> </w:t>
            </w:r>
          </w:p>
        </w:tc>
        <w:tc>
          <w:tcPr>
            <w:tcW w:w="769"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59" w:type="dxa"/>
            <w:tcBorders/>
            <w:tcMar>
              <w:top w:w="0" w:type="dxa"/>
              <w:left w:w="0" w:type="dxa"/>
              <w:bottom w:w="0" w:type="dxa"/>
              <w:right w:w="0" w:type="dxa"/>
            </w:tcMar>
            <w:vAlign w:val="center"/>
          </w:tcPr>
          <w:p>
            <w:pPr>
              <w:pStyle w:val="TableContents"/>
              <w:bidi w:val="0"/>
              <w:spacing w:before="100" w:after="100"/>
              <w:jc w:val="left"/>
              <w:rPr/>
            </w:pPr>
            <w:r>
              <w:rPr/>
              <w:t> </w:t>
            </w:r>
          </w:p>
        </w:tc>
        <w:tc>
          <w:tcPr>
            <w:tcW w:w="778"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91" w:type="dxa"/>
            <w:tcBorders/>
            <w:tcMar>
              <w:top w:w="0" w:type="dxa"/>
              <w:left w:w="0" w:type="dxa"/>
              <w:bottom w:w="0" w:type="dxa"/>
              <w:right w:w="0" w:type="dxa"/>
            </w:tcMar>
            <w:vAlign w:val="center"/>
          </w:tcPr>
          <w:p>
            <w:pPr>
              <w:pStyle w:val="TableContents"/>
              <w:bidi w:val="0"/>
              <w:spacing w:before="100" w:after="100"/>
              <w:jc w:val="center"/>
              <w:rPr>
                <w:rFonts w:ascii="Times New Roman" w:hAnsi="Times New Roman"/>
                <w:color w:val="000000"/>
                <w:sz w:val="18"/>
              </w:rPr>
            </w:pPr>
            <w:r>
              <w:rPr>
                <w:rFonts w:ascii="Times New Roman" w:hAnsi="Times New Roman"/>
                <w:color w:val="000000"/>
                <w:sz w:val="18"/>
              </w:rPr>
              <w:t>X</w:t>
            </w:r>
          </w:p>
        </w:tc>
      </w:tr>
      <w:tr>
        <w:trPr/>
        <w:tc>
          <w:tcPr>
            <w:tcW w:w="1074"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4.3*</w:t>
            </w:r>
          </w:p>
        </w:tc>
        <w:tc>
          <w:tcPr>
            <w:tcW w:w="4923"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Form of Debt Securities.</w:t>
            </w:r>
          </w:p>
        </w:tc>
        <w:tc>
          <w:tcPr>
            <w:tcW w:w="511" w:type="dxa"/>
            <w:tcBorders/>
            <w:tcMar>
              <w:top w:w="0" w:type="dxa"/>
              <w:left w:w="0" w:type="dxa"/>
              <w:bottom w:w="0" w:type="dxa"/>
              <w:right w:w="0" w:type="dxa"/>
            </w:tcMar>
            <w:vAlign w:val="center"/>
          </w:tcPr>
          <w:p>
            <w:pPr>
              <w:pStyle w:val="TableContents"/>
              <w:bidi w:val="0"/>
              <w:spacing w:before="100" w:after="100"/>
              <w:jc w:val="left"/>
              <w:rPr/>
            </w:pPr>
            <w:r>
              <w:rPr/>
              <w:t> </w:t>
            </w:r>
          </w:p>
        </w:tc>
        <w:tc>
          <w:tcPr>
            <w:tcW w:w="769"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59" w:type="dxa"/>
            <w:tcBorders/>
            <w:tcMar>
              <w:top w:w="0" w:type="dxa"/>
              <w:left w:w="0" w:type="dxa"/>
              <w:bottom w:w="0" w:type="dxa"/>
              <w:right w:w="0" w:type="dxa"/>
            </w:tcMar>
            <w:vAlign w:val="center"/>
          </w:tcPr>
          <w:p>
            <w:pPr>
              <w:pStyle w:val="TableContents"/>
              <w:bidi w:val="0"/>
              <w:spacing w:before="100" w:after="100"/>
              <w:jc w:val="left"/>
              <w:rPr/>
            </w:pPr>
            <w:r>
              <w:rPr/>
              <w:t> </w:t>
            </w:r>
          </w:p>
        </w:tc>
        <w:tc>
          <w:tcPr>
            <w:tcW w:w="778"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91" w:type="dxa"/>
            <w:tcBorders/>
            <w:tcMar>
              <w:top w:w="0" w:type="dxa"/>
              <w:left w:w="0" w:type="dxa"/>
              <w:bottom w:w="0" w:type="dxa"/>
              <w:right w:w="0" w:type="dxa"/>
            </w:tcMar>
            <w:vAlign w:val="center"/>
          </w:tcPr>
          <w:p>
            <w:pPr>
              <w:pStyle w:val="TableContents"/>
              <w:bidi w:val="0"/>
              <w:spacing w:before="100" w:after="100"/>
              <w:jc w:val="center"/>
              <w:rPr/>
            </w:pPr>
            <w:r>
              <w:rPr/>
              <w:t> </w:t>
            </w:r>
          </w:p>
        </w:tc>
      </w:tr>
      <w:tr>
        <w:trPr/>
        <w:tc>
          <w:tcPr>
            <w:tcW w:w="1074"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4.4*</w:t>
            </w:r>
          </w:p>
        </w:tc>
        <w:tc>
          <w:tcPr>
            <w:tcW w:w="4923"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Form of Warrant Agreement.</w:t>
            </w:r>
          </w:p>
        </w:tc>
        <w:tc>
          <w:tcPr>
            <w:tcW w:w="511" w:type="dxa"/>
            <w:tcBorders/>
            <w:tcMar>
              <w:top w:w="0" w:type="dxa"/>
              <w:left w:w="0" w:type="dxa"/>
              <w:bottom w:w="0" w:type="dxa"/>
              <w:right w:w="0" w:type="dxa"/>
            </w:tcMar>
            <w:vAlign w:val="center"/>
          </w:tcPr>
          <w:p>
            <w:pPr>
              <w:pStyle w:val="TableContents"/>
              <w:bidi w:val="0"/>
              <w:spacing w:before="100" w:after="100"/>
              <w:jc w:val="left"/>
              <w:rPr/>
            </w:pPr>
            <w:r>
              <w:rPr/>
              <w:t> </w:t>
            </w:r>
          </w:p>
        </w:tc>
        <w:tc>
          <w:tcPr>
            <w:tcW w:w="769"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59" w:type="dxa"/>
            <w:tcBorders/>
            <w:tcMar>
              <w:top w:w="0" w:type="dxa"/>
              <w:left w:w="0" w:type="dxa"/>
              <w:bottom w:w="0" w:type="dxa"/>
              <w:right w:w="0" w:type="dxa"/>
            </w:tcMar>
            <w:vAlign w:val="center"/>
          </w:tcPr>
          <w:p>
            <w:pPr>
              <w:pStyle w:val="TableContents"/>
              <w:bidi w:val="0"/>
              <w:spacing w:before="100" w:after="100"/>
              <w:jc w:val="left"/>
              <w:rPr/>
            </w:pPr>
            <w:r>
              <w:rPr/>
              <w:t> </w:t>
            </w:r>
          </w:p>
        </w:tc>
        <w:tc>
          <w:tcPr>
            <w:tcW w:w="778"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91" w:type="dxa"/>
            <w:tcBorders/>
            <w:tcMar>
              <w:top w:w="0" w:type="dxa"/>
              <w:left w:w="0" w:type="dxa"/>
              <w:bottom w:w="0" w:type="dxa"/>
              <w:right w:w="0" w:type="dxa"/>
            </w:tcMar>
            <w:vAlign w:val="center"/>
          </w:tcPr>
          <w:p>
            <w:pPr>
              <w:pStyle w:val="TableContents"/>
              <w:bidi w:val="0"/>
              <w:spacing w:before="100" w:after="100"/>
              <w:jc w:val="center"/>
              <w:rPr/>
            </w:pPr>
            <w:r>
              <w:rPr/>
              <w:t> </w:t>
            </w:r>
          </w:p>
        </w:tc>
      </w:tr>
      <w:tr>
        <w:trPr/>
        <w:tc>
          <w:tcPr>
            <w:tcW w:w="1074"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4.5*</w:t>
            </w:r>
          </w:p>
        </w:tc>
        <w:tc>
          <w:tcPr>
            <w:tcW w:w="4923"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Form of Unit Agreement.</w:t>
            </w:r>
          </w:p>
        </w:tc>
        <w:tc>
          <w:tcPr>
            <w:tcW w:w="511" w:type="dxa"/>
            <w:tcBorders/>
            <w:tcMar>
              <w:top w:w="0" w:type="dxa"/>
              <w:left w:w="0" w:type="dxa"/>
              <w:bottom w:w="0" w:type="dxa"/>
              <w:right w:w="0" w:type="dxa"/>
            </w:tcMar>
            <w:vAlign w:val="center"/>
          </w:tcPr>
          <w:p>
            <w:pPr>
              <w:pStyle w:val="TableContents"/>
              <w:bidi w:val="0"/>
              <w:spacing w:before="100" w:after="100"/>
              <w:jc w:val="left"/>
              <w:rPr/>
            </w:pPr>
            <w:r>
              <w:rPr/>
              <w:t> </w:t>
            </w:r>
          </w:p>
        </w:tc>
        <w:tc>
          <w:tcPr>
            <w:tcW w:w="769"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59" w:type="dxa"/>
            <w:tcBorders/>
            <w:tcMar>
              <w:top w:w="0" w:type="dxa"/>
              <w:left w:w="0" w:type="dxa"/>
              <w:bottom w:w="0" w:type="dxa"/>
              <w:right w:w="0" w:type="dxa"/>
            </w:tcMar>
            <w:vAlign w:val="center"/>
          </w:tcPr>
          <w:p>
            <w:pPr>
              <w:pStyle w:val="TableContents"/>
              <w:bidi w:val="0"/>
              <w:spacing w:before="100" w:after="100"/>
              <w:jc w:val="left"/>
              <w:rPr/>
            </w:pPr>
            <w:r>
              <w:rPr/>
              <w:t> </w:t>
            </w:r>
          </w:p>
        </w:tc>
        <w:tc>
          <w:tcPr>
            <w:tcW w:w="778"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91" w:type="dxa"/>
            <w:tcBorders/>
            <w:tcMar>
              <w:top w:w="0" w:type="dxa"/>
              <w:left w:w="0" w:type="dxa"/>
              <w:bottom w:w="0" w:type="dxa"/>
              <w:right w:w="0" w:type="dxa"/>
            </w:tcMar>
            <w:vAlign w:val="center"/>
          </w:tcPr>
          <w:p>
            <w:pPr>
              <w:pStyle w:val="TableContents"/>
              <w:bidi w:val="0"/>
              <w:spacing w:before="100" w:after="100"/>
              <w:jc w:val="center"/>
              <w:rPr/>
            </w:pPr>
            <w:r>
              <w:rPr/>
              <w:t> </w:t>
            </w:r>
          </w:p>
        </w:tc>
      </w:tr>
      <w:tr>
        <w:trPr/>
        <w:tc>
          <w:tcPr>
            <w:tcW w:w="1074"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5.1</w:t>
            </w:r>
          </w:p>
        </w:tc>
        <w:tc>
          <w:tcPr>
            <w:tcW w:w="4923" w:type="dxa"/>
            <w:tcBorders/>
            <w:tcMar>
              <w:top w:w="0" w:type="dxa"/>
              <w:left w:w="0" w:type="dxa"/>
              <w:bottom w:w="0" w:type="dxa"/>
              <w:right w:w="0" w:type="dxa"/>
            </w:tcMar>
            <w:vAlign w:val="center"/>
          </w:tcPr>
          <w:p>
            <w:pPr>
              <w:pStyle w:val="TableContents"/>
              <w:bidi w:val="0"/>
              <w:spacing w:before="100" w:after="100"/>
              <w:jc w:val="left"/>
              <w:rPr/>
            </w:pPr>
            <w:hyperlink w:anchor="ocs-ex5_1.htm">
              <w:r>
                <w:rPr>
                  <w:rStyle w:val="InternetLink"/>
                  <w:rFonts w:ascii="Times New Roman" w:hAnsi="Times New Roman"/>
                  <w:color w:val="0000FF"/>
                  <w:sz w:val="18"/>
                  <w:u w:val="single"/>
                </w:rPr>
                <w:t>Opinion of VISCHER AG.</w:t>
              </w:r>
            </w:hyperlink>
            <w:hyperlink w:anchor="ocs-ex5_1.htm">
              <w:r>
                <w:rPr>
                  <w:rStyle w:val="InternetLink"/>
                  <w:rFonts w:ascii="Times New Roman" w:hAnsi="Times New Roman"/>
                  <w:color w:val="0000FF"/>
                  <w:sz w:val="18"/>
                </w:rPr>
                <w:t xml:space="preserve"> </w:t>
              </w:r>
            </w:hyperlink>
          </w:p>
        </w:tc>
        <w:tc>
          <w:tcPr>
            <w:tcW w:w="511" w:type="dxa"/>
            <w:tcBorders/>
            <w:tcMar>
              <w:top w:w="0" w:type="dxa"/>
              <w:left w:w="0" w:type="dxa"/>
              <w:bottom w:w="0" w:type="dxa"/>
              <w:right w:w="0" w:type="dxa"/>
            </w:tcMar>
            <w:vAlign w:val="center"/>
          </w:tcPr>
          <w:p>
            <w:pPr>
              <w:pStyle w:val="TableContents"/>
              <w:bidi w:val="0"/>
              <w:spacing w:before="100" w:after="100"/>
              <w:jc w:val="left"/>
              <w:rPr/>
            </w:pPr>
            <w:r>
              <w:rPr/>
              <w:t> </w:t>
            </w:r>
          </w:p>
        </w:tc>
        <w:tc>
          <w:tcPr>
            <w:tcW w:w="769"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59" w:type="dxa"/>
            <w:tcBorders/>
            <w:tcMar>
              <w:top w:w="0" w:type="dxa"/>
              <w:left w:w="0" w:type="dxa"/>
              <w:bottom w:w="0" w:type="dxa"/>
              <w:right w:w="0" w:type="dxa"/>
            </w:tcMar>
            <w:vAlign w:val="center"/>
          </w:tcPr>
          <w:p>
            <w:pPr>
              <w:pStyle w:val="TableContents"/>
              <w:bidi w:val="0"/>
              <w:spacing w:before="100" w:after="100"/>
              <w:jc w:val="left"/>
              <w:rPr/>
            </w:pPr>
            <w:r>
              <w:rPr/>
              <w:t> </w:t>
            </w:r>
          </w:p>
        </w:tc>
        <w:tc>
          <w:tcPr>
            <w:tcW w:w="778"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91" w:type="dxa"/>
            <w:tcBorders/>
            <w:tcMar>
              <w:top w:w="0" w:type="dxa"/>
              <w:left w:w="0" w:type="dxa"/>
              <w:bottom w:w="0" w:type="dxa"/>
              <w:right w:w="0" w:type="dxa"/>
            </w:tcMar>
            <w:vAlign w:val="center"/>
          </w:tcPr>
          <w:p>
            <w:pPr>
              <w:pStyle w:val="TableContents"/>
              <w:bidi w:val="0"/>
              <w:spacing w:before="100" w:after="100"/>
              <w:jc w:val="center"/>
              <w:rPr>
                <w:rFonts w:ascii="Times New Roman" w:hAnsi="Times New Roman"/>
                <w:color w:val="000000"/>
                <w:sz w:val="18"/>
              </w:rPr>
            </w:pPr>
            <w:r>
              <w:rPr>
                <w:rFonts w:ascii="Times New Roman" w:hAnsi="Times New Roman"/>
                <w:color w:val="000000"/>
                <w:sz w:val="18"/>
              </w:rPr>
              <w:t>X</w:t>
            </w:r>
          </w:p>
        </w:tc>
      </w:tr>
      <w:tr>
        <w:trPr/>
        <w:tc>
          <w:tcPr>
            <w:tcW w:w="1074"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5.2</w:t>
            </w:r>
          </w:p>
        </w:tc>
        <w:tc>
          <w:tcPr>
            <w:tcW w:w="4923" w:type="dxa"/>
            <w:tcBorders/>
            <w:tcMar>
              <w:top w:w="0" w:type="dxa"/>
              <w:left w:w="0" w:type="dxa"/>
              <w:bottom w:w="0" w:type="dxa"/>
              <w:right w:w="0" w:type="dxa"/>
            </w:tcMar>
            <w:vAlign w:val="center"/>
          </w:tcPr>
          <w:p>
            <w:pPr>
              <w:pStyle w:val="TableContents"/>
              <w:bidi w:val="0"/>
              <w:spacing w:before="100" w:after="100"/>
              <w:jc w:val="left"/>
              <w:rPr/>
            </w:pPr>
            <w:hyperlink w:anchor="ocs-ex5_2.htm">
              <w:r>
                <w:rPr>
                  <w:rStyle w:val="InternetLink"/>
                  <w:rFonts w:ascii="Times New Roman" w:hAnsi="Times New Roman"/>
                  <w:color w:val="0000FF"/>
                  <w:sz w:val="18"/>
                  <w:u w:val="single"/>
                </w:rPr>
                <w:t>Opinion of Cooley LLP.</w:t>
              </w:r>
            </w:hyperlink>
            <w:hyperlink w:anchor="ocs-ex5_2.htm">
              <w:r>
                <w:rPr>
                  <w:rStyle w:val="InternetLink"/>
                  <w:rFonts w:ascii="Times New Roman" w:hAnsi="Times New Roman"/>
                  <w:color w:val="0000FF"/>
                  <w:sz w:val="18"/>
                </w:rPr>
                <w:t xml:space="preserve"> </w:t>
              </w:r>
            </w:hyperlink>
          </w:p>
        </w:tc>
        <w:tc>
          <w:tcPr>
            <w:tcW w:w="511" w:type="dxa"/>
            <w:tcBorders/>
            <w:tcMar>
              <w:top w:w="0" w:type="dxa"/>
              <w:left w:w="0" w:type="dxa"/>
              <w:bottom w:w="0" w:type="dxa"/>
              <w:right w:w="0" w:type="dxa"/>
            </w:tcMar>
            <w:vAlign w:val="center"/>
          </w:tcPr>
          <w:p>
            <w:pPr>
              <w:pStyle w:val="TableContents"/>
              <w:bidi w:val="0"/>
              <w:spacing w:before="100" w:after="100"/>
              <w:jc w:val="left"/>
              <w:rPr/>
            </w:pPr>
            <w:r>
              <w:rPr/>
              <w:t> </w:t>
            </w:r>
          </w:p>
        </w:tc>
        <w:tc>
          <w:tcPr>
            <w:tcW w:w="769"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59" w:type="dxa"/>
            <w:tcBorders/>
            <w:tcMar>
              <w:top w:w="0" w:type="dxa"/>
              <w:left w:w="0" w:type="dxa"/>
              <w:bottom w:w="0" w:type="dxa"/>
              <w:right w:w="0" w:type="dxa"/>
            </w:tcMar>
            <w:vAlign w:val="center"/>
          </w:tcPr>
          <w:p>
            <w:pPr>
              <w:pStyle w:val="TableContents"/>
              <w:bidi w:val="0"/>
              <w:spacing w:before="100" w:after="100"/>
              <w:jc w:val="left"/>
              <w:rPr/>
            </w:pPr>
            <w:r>
              <w:rPr/>
              <w:t> </w:t>
            </w:r>
          </w:p>
        </w:tc>
        <w:tc>
          <w:tcPr>
            <w:tcW w:w="778"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91" w:type="dxa"/>
            <w:tcBorders/>
            <w:tcMar>
              <w:top w:w="0" w:type="dxa"/>
              <w:left w:w="0" w:type="dxa"/>
              <w:bottom w:w="0" w:type="dxa"/>
              <w:right w:w="0" w:type="dxa"/>
            </w:tcMar>
            <w:vAlign w:val="center"/>
          </w:tcPr>
          <w:p>
            <w:pPr>
              <w:pStyle w:val="TableContents"/>
              <w:bidi w:val="0"/>
              <w:spacing w:before="100" w:after="100"/>
              <w:jc w:val="center"/>
              <w:rPr>
                <w:rFonts w:ascii="Times New Roman" w:hAnsi="Times New Roman"/>
                <w:color w:val="000000"/>
                <w:sz w:val="18"/>
              </w:rPr>
            </w:pPr>
            <w:r>
              <w:rPr>
                <w:rFonts w:ascii="Times New Roman" w:hAnsi="Times New Roman"/>
                <w:color w:val="000000"/>
                <w:sz w:val="18"/>
              </w:rPr>
              <w:t>X</w:t>
            </w:r>
          </w:p>
        </w:tc>
      </w:tr>
      <w:tr>
        <w:trPr/>
        <w:tc>
          <w:tcPr>
            <w:tcW w:w="1074"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23.1</w:t>
            </w:r>
          </w:p>
        </w:tc>
        <w:tc>
          <w:tcPr>
            <w:tcW w:w="4923" w:type="dxa"/>
            <w:tcBorders/>
            <w:tcMar>
              <w:top w:w="0" w:type="dxa"/>
              <w:left w:w="0" w:type="dxa"/>
              <w:bottom w:w="0" w:type="dxa"/>
              <w:right w:w="0" w:type="dxa"/>
            </w:tcMar>
            <w:vAlign w:val="center"/>
          </w:tcPr>
          <w:p>
            <w:pPr>
              <w:pStyle w:val="TableContents"/>
              <w:bidi w:val="0"/>
              <w:spacing w:before="100" w:after="100"/>
              <w:jc w:val="left"/>
              <w:rPr/>
            </w:pPr>
            <w:hyperlink w:anchor="ocs-ex23_1.htm">
              <w:r>
                <w:rPr>
                  <w:rStyle w:val="InternetLink"/>
                  <w:rFonts w:ascii="Times New Roman" w:hAnsi="Times New Roman"/>
                  <w:color w:val="0000FF"/>
                  <w:sz w:val="18"/>
                  <w:u w:val="single"/>
                </w:rPr>
                <w:t>Consent of PricewaterhouseCoopers SA, Independent Registered Public Accounting Firm.</w:t>
              </w:r>
            </w:hyperlink>
            <w:hyperlink w:anchor="ocs-ex23_1.htm">
              <w:r>
                <w:rPr>
                  <w:rStyle w:val="InternetLink"/>
                  <w:rFonts w:ascii="Times New Roman" w:hAnsi="Times New Roman"/>
                  <w:color w:val="0000FF"/>
                  <w:sz w:val="18"/>
                </w:rPr>
                <w:t xml:space="preserve"> </w:t>
              </w:r>
            </w:hyperlink>
          </w:p>
        </w:tc>
        <w:tc>
          <w:tcPr>
            <w:tcW w:w="511" w:type="dxa"/>
            <w:tcBorders/>
            <w:tcMar>
              <w:top w:w="0" w:type="dxa"/>
              <w:left w:w="0" w:type="dxa"/>
              <w:bottom w:w="0" w:type="dxa"/>
              <w:right w:w="0" w:type="dxa"/>
            </w:tcMar>
            <w:vAlign w:val="center"/>
          </w:tcPr>
          <w:p>
            <w:pPr>
              <w:pStyle w:val="TableContents"/>
              <w:bidi w:val="0"/>
              <w:spacing w:before="100" w:after="100"/>
              <w:jc w:val="left"/>
              <w:rPr/>
            </w:pPr>
            <w:r>
              <w:rPr/>
              <w:t> </w:t>
            </w:r>
          </w:p>
        </w:tc>
        <w:tc>
          <w:tcPr>
            <w:tcW w:w="769"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59" w:type="dxa"/>
            <w:tcBorders/>
            <w:tcMar>
              <w:top w:w="0" w:type="dxa"/>
              <w:left w:w="0" w:type="dxa"/>
              <w:bottom w:w="0" w:type="dxa"/>
              <w:right w:w="0" w:type="dxa"/>
            </w:tcMar>
            <w:vAlign w:val="center"/>
          </w:tcPr>
          <w:p>
            <w:pPr>
              <w:pStyle w:val="TableContents"/>
              <w:bidi w:val="0"/>
              <w:spacing w:before="100" w:after="100"/>
              <w:jc w:val="left"/>
              <w:rPr/>
            </w:pPr>
            <w:r>
              <w:rPr/>
              <w:t> </w:t>
            </w:r>
          </w:p>
        </w:tc>
        <w:tc>
          <w:tcPr>
            <w:tcW w:w="778"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91" w:type="dxa"/>
            <w:tcBorders/>
            <w:tcMar>
              <w:top w:w="0" w:type="dxa"/>
              <w:left w:w="0" w:type="dxa"/>
              <w:bottom w:w="0" w:type="dxa"/>
              <w:right w:w="0" w:type="dxa"/>
            </w:tcMar>
            <w:vAlign w:val="center"/>
          </w:tcPr>
          <w:p>
            <w:pPr>
              <w:pStyle w:val="TableContents"/>
              <w:bidi w:val="0"/>
              <w:spacing w:before="100" w:after="100"/>
              <w:jc w:val="center"/>
              <w:rPr>
                <w:rFonts w:ascii="Times New Roman" w:hAnsi="Times New Roman"/>
                <w:color w:val="000000"/>
                <w:sz w:val="18"/>
              </w:rPr>
            </w:pPr>
            <w:r>
              <w:rPr>
                <w:rFonts w:ascii="Times New Roman" w:hAnsi="Times New Roman"/>
                <w:color w:val="000000"/>
                <w:sz w:val="18"/>
              </w:rPr>
              <w:t>X</w:t>
            </w:r>
          </w:p>
        </w:tc>
      </w:tr>
      <w:tr>
        <w:trPr/>
        <w:tc>
          <w:tcPr>
            <w:tcW w:w="1074"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23.2</w:t>
            </w:r>
          </w:p>
        </w:tc>
        <w:tc>
          <w:tcPr>
            <w:tcW w:w="4923"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 xml:space="preserve">Consent of VISCHER AG (included in Exhibit 5.1). </w:t>
            </w:r>
          </w:p>
        </w:tc>
        <w:tc>
          <w:tcPr>
            <w:tcW w:w="511" w:type="dxa"/>
            <w:tcBorders/>
            <w:tcMar>
              <w:top w:w="0" w:type="dxa"/>
              <w:left w:w="0" w:type="dxa"/>
              <w:bottom w:w="0" w:type="dxa"/>
              <w:right w:w="0" w:type="dxa"/>
            </w:tcMar>
            <w:vAlign w:val="center"/>
          </w:tcPr>
          <w:p>
            <w:pPr>
              <w:pStyle w:val="TableContents"/>
              <w:bidi w:val="0"/>
              <w:spacing w:before="100" w:after="100"/>
              <w:jc w:val="left"/>
              <w:rPr/>
            </w:pPr>
            <w:r>
              <w:rPr/>
              <w:t> </w:t>
            </w:r>
          </w:p>
        </w:tc>
        <w:tc>
          <w:tcPr>
            <w:tcW w:w="769"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59" w:type="dxa"/>
            <w:tcBorders/>
            <w:tcMar>
              <w:top w:w="0" w:type="dxa"/>
              <w:left w:w="0" w:type="dxa"/>
              <w:bottom w:w="0" w:type="dxa"/>
              <w:right w:w="0" w:type="dxa"/>
            </w:tcMar>
            <w:vAlign w:val="center"/>
          </w:tcPr>
          <w:p>
            <w:pPr>
              <w:pStyle w:val="TableContents"/>
              <w:bidi w:val="0"/>
              <w:spacing w:before="100" w:after="100"/>
              <w:jc w:val="left"/>
              <w:rPr/>
            </w:pPr>
            <w:r>
              <w:rPr/>
              <w:t> </w:t>
            </w:r>
          </w:p>
        </w:tc>
        <w:tc>
          <w:tcPr>
            <w:tcW w:w="778"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91" w:type="dxa"/>
            <w:tcBorders/>
            <w:tcMar>
              <w:top w:w="0" w:type="dxa"/>
              <w:left w:w="0" w:type="dxa"/>
              <w:bottom w:w="0" w:type="dxa"/>
              <w:right w:w="0" w:type="dxa"/>
            </w:tcMar>
            <w:vAlign w:val="center"/>
          </w:tcPr>
          <w:p>
            <w:pPr>
              <w:pStyle w:val="TableContents"/>
              <w:bidi w:val="0"/>
              <w:spacing w:before="100" w:after="100"/>
              <w:jc w:val="center"/>
              <w:rPr>
                <w:rFonts w:ascii="Times New Roman" w:hAnsi="Times New Roman"/>
                <w:color w:val="000000"/>
                <w:sz w:val="18"/>
              </w:rPr>
            </w:pPr>
            <w:r>
              <w:rPr>
                <w:rFonts w:ascii="Times New Roman" w:hAnsi="Times New Roman"/>
                <w:color w:val="000000"/>
                <w:sz w:val="18"/>
              </w:rPr>
              <w:t>X</w:t>
            </w:r>
          </w:p>
        </w:tc>
      </w:tr>
      <w:tr>
        <w:trPr/>
        <w:tc>
          <w:tcPr>
            <w:tcW w:w="1074"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23.3</w:t>
            </w:r>
          </w:p>
        </w:tc>
        <w:tc>
          <w:tcPr>
            <w:tcW w:w="4923"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 xml:space="preserve">Consent of Cooley LLP (included in Exhibit 5.2). </w:t>
            </w:r>
          </w:p>
        </w:tc>
        <w:tc>
          <w:tcPr>
            <w:tcW w:w="511" w:type="dxa"/>
            <w:tcBorders/>
            <w:tcMar>
              <w:top w:w="0" w:type="dxa"/>
              <w:left w:w="0" w:type="dxa"/>
              <w:bottom w:w="0" w:type="dxa"/>
              <w:right w:w="0" w:type="dxa"/>
            </w:tcMar>
            <w:vAlign w:val="center"/>
          </w:tcPr>
          <w:p>
            <w:pPr>
              <w:pStyle w:val="TableContents"/>
              <w:bidi w:val="0"/>
              <w:spacing w:before="100" w:after="100"/>
              <w:jc w:val="left"/>
              <w:rPr/>
            </w:pPr>
            <w:r>
              <w:rPr/>
              <w:t> </w:t>
            </w:r>
          </w:p>
        </w:tc>
        <w:tc>
          <w:tcPr>
            <w:tcW w:w="769"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59" w:type="dxa"/>
            <w:tcBorders/>
            <w:tcMar>
              <w:top w:w="0" w:type="dxa"/>
              <w:left w:w="0" w:type="dxa"/>
              <w:bottom w:w="0" w:type="dxa"/>
              <w:right w:w="0" w:type="dxa"/>
            </w:tcMar>
            <w:vAlign w:val="center"/>
          </w:tcPr>
          <w:p>
            <w:pPr>
              <w:pStyle w:val="TableContents"/>
              <w:bidi w:val="0"/>
              <w:spacing w:before="100" w:after="100"/>
              <w:jc w:val="left"/>
              <w:rPr/>
            </w:pPr>
            <w:r>
              <w:rPr/>
              <w:t> </w:t>
            </w:r>
          </w:p>
        </w:tc>
        <w:tc>
          <w:tcPr>
            <w:tcW w:w="778"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91" w:type="dxa"/>
            <w:tcBorders/>
            <w:tcMar>
              <w:top w:w="0" w:type="dxa"/>
              <w:left w:w="0" w:type="dxa"/>
              <w:bottom w:w="0" w:type="dxa"/>
              <w:right w:w="0" w:type="dxa"/>
            </w:tcMar>
            <w:vAlign w:val="center"/>
          </w:tcPr>
          <w:p>
            <w:pPr>
              <w:pStyle w:val="TableContents"/>
              <w:bidi w:val="0"/>
              <w:spacing w:before="100" w:after="100"/>
              <w:jc w:val="center"/>
              <w:rPr>
                <w:rFonts w:ascii="Times New Roman" w:hAnsi="Times New Roman"/>
                <w:color w:val="000000"/>
                <w:sz w:val="18"/>
              </w:rPr>
            </w:pPr>
            <w:r>
              <w:rPr>
                <w:rFonts w:ascii="Times New Roman" w:hAnsi="Times New Roman"/>
                <w:color w:val="000000"/>
                <w:sz w:val="18"/>
              </w:rPr>
              <w:t>X</w:t>
            </w:r>
          </w:p>
        </w:tc>
      </w:tr>
      <w:tr>
        <w:trPr/>
        <w:tc>
          <w:tcPr>
            <w:tcW w:w="1074"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24.1</w:t>
            </w:r>
          </w:p>
        </w:tc>
        <w:tc>
          <w:tcPr>
            <w:tcW w:w="4923"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 xml:space="preserve">Powers of Attorney (included on signature page to the registration statement). </w:t>
            </w:r>
          </w:p>
        </w:tc>
        <w:tc>
          <w:tcPr>
            <w:tcW w:w="511" w:type="dxa"/>
            <w:tcBorders/>
            <w:tcMar>
              <w:top w:w="0" w:type="dxa"/>
              <w:left w:w="0" w:type="dxa"/>
              <w:bottom w:w="0" w:type="dxa"/>
              <w:right w:w="0" w:type="dxa"/>
            </w:tcMar>
            <w:vAlign w:val="center"/>
          </w:tcPr>
          <w:p>
            <w:pPr>
              <w:pStyle w:val="TableContents"/>
              <w:bidi w:val="0"/>
              <w:spacing w:before="100" w:after="100"/>
              <w:jc w:val="left"/>
              <w:rPr/>
            </w:pPr>
            <w:r>
              <w:rPr/>
              <w:t> </w:t>
            </w:r>
          </w:p>
        </w:tc>
        <w:tc>
          <w:tcPr>
            <w:tcW w:w="769"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59" w:type="dxa"/>
            <w:tcBorders/>
            <w:tcMar>
              <w:top w:w="0" w:type="dxa"/>
              <w:left w:w="0" w:type="dxa"/>
              <w:bottom w:w="0" w:type="dxa"/>
              <w:right w:w="0" w:type="dxa"/>
            </w:tcMar>
            <w:vAlign w:val="center"/>
          </w:tcPr>
          <w:p>
            <w:pPr>
              <w:pStyle w:val="TableContents"/>
              <w:bidi w:val="0"/>
              <w:spacing w:before="100" w:after="100"/>
              <w:jc w:val="left"/>
              <w:rPr/>
            </w:pPr>
            <w:r>
              <w:rPr/>
              <w:t> </w:t>
            </w:r>
          </w:p>
        </w:tc>
        <w:tc>
          <w:tcPr>
            <w:tcW w:w="778" w:type="dxa"/>
            <w:tcBorders/>
            <w:tcMar>
              <w:top w:w="0" w:type="dxa"/>
              <w:left w:w="0" w:type="dxa"/>
              <w:bottom w:w="0" w:type="dxa"/>
              <w:right w:w="0" w:type="dxa"/>
            </w:tcMar>
            <w:vAlign w:val="center"/>
          </w:tcPr>
          <w:p>
            <w:pPr>
              <w:pStyle w:val="TableContents"/>
              <w:bidi w:val="0"/>
              <w:spacing w:before="100" w:after="100"/>
              <w:jc w:val="left"/>
              <w:rPr/>
            </w:pPr>
            <w:r>
              <w:rPr/>
              <w:t> </w:t>
            </w:r>
          </w:p>
        </w:tc>
        <w:tc>
          <w:tcPr>
            <w:tcW w:w="1091" w:type="dxa"/>
            <w:tcBorders/>
            <w:tcMar>
              <w:top w:w="0" w:type="dxa"/>
              <w:left w:w="0" w:type="dxa"/>
              <w:bottom w:w="0" w:type="dxa"/>
              <w:right w:w="0" w:type="dxa"/>
            </w:tcMar>
            <w:vAlign w:val="center"/>
          </w:tcPr>
          <w:p>
            <w:pPr>
              <w:pStyle w:val="TableContents"/>
              <w:bidi w:val="0"/>
              <w:spacing w:before="100" w:after="100"/>
              <w:jc w:val="center"/>
              <w:rPr>
                <w:rFonts w:ascii="Times New Roman" w:hAnsi="Times New Roman"/>
                <w:color w:val="000000"/>
                <w:sz w:val="18"/>
              </w:rPr>
            </w:pPr>
            <w:r>
              <w:rPr>
                <w:rFonts w:ascii="Times New Roman" w:hAnsi="Times New Roman"/>
                <w:color w:val="000000"/>
                <w:sz w:val="18"/>
              </w:rPr>
              <w:t>X</w:t>
            </w:r>
          </w:p>
        </w:tc>
      </w:tr>
    </w:tbl>
    <w:p>
      <w:pPr>
        <w:pStyle w:val="TextBody"/>
        <w:bidi w:val="0"/>
        <w:jc w:val="center"/>
        <w:rPr>
          <w:rFonts w:ascii="Times New Roman" w:hAnsi="Times New Roman"/>
          <w:color w:val="000000"/>
          <w:sz w:val="20"/>
        </w:rPr>
      </w:pPr>
      <w:r>
        <w:rPr>
          <w:rFonts w:ascii="Times New Roman" w:hAnsi="Times New Roman"/>
          <w:color w:val="000000"/>
          <w:sz w:val="20"/>
        </w:rPr>
        <w:t>II-1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832" w:type="dxa"/>
        <w:jc w:val="left"/>
        <w:tblInd w:w="0" w:type="dxa"/>
        <w:tblLayout w:type="fixed"/>
        <w:tblCellMar>
          <w:top w:w="28" w:type="dxa"/>
          <w:left w:w="28" w:type="dxa"/>
          <w:bottom w:w="28" w:type="dxa"/>
          <w:right w:w="28" w:type="dxa"/>
        </w:tblCellMar>
      </w:tblPr>
      <w:tblGrid>
        <w:gridCol w:w="1276"/>
        <w:gridCol w:w="3961"/>
        <w:gridCol w:w="511"/>
        <w:gridCol w:w="676"/>
        <w:gridCol w:w="1261"/>
        <w:gridCol w:w="916"/>
        <w:gridCol w:w="1231"/>
      </w:tblGrid>
      <w:tr>
        <w:trPr/>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396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95" w:type="dxa"/>
            <w:gridSpan w:val="5"/>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127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396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51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7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26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91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23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1276"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25.1**</w:t>
            </w:r>
          </w:p>
        </w:tc>
        <w:tc>
          <w:tcPr>
            <w:tcW w:w="3961"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Statement of Eligibility of Trustee under the Indenture.</w:t>
            </w:r>
          </w:p>
        </w:tc>
        <w:tc>
          <w:tcPr>
            <w:tcW w:w="511" w:type="dxa"/>
            <w:tcBorders/>
            <w:tcMar>
              <w:top w:w="0" w:type="dxa"/>
              <w:left w:w="0" w:type="dxa"/>
              <w:bottom w:w="0" w:type="dxa"/>
              <w:right w:w="0" w:type="dxa"/>
            </w:tcMar>
            <w:vAlign w:val="center"/>
          </w:tcPr>
          <w:p>
            <w:pPr>
              <w:pStyle w:val="TableContents"/>
              <w:bidi w:val="0"/>
              <w:spacing w:before="100" w:after="100"/>
              <w:jc w:val="left"/>
              <w:rPr/>
            </w:pPr>
            <w:r>
              <w:rPr/>
              <w:t> </w:t>
            </w:r>
          </w:p>
        </w:tc>
        <w:tc>
          <w:tcPr>
            <w:tcW w:w="676" w:type="dxa"/>
            <w:tcBorders/>
            <w:tcMar>
              <w:top w:w="0" w:type="dxa"/>
              <w:left w:w="0" w:type="dxa"/>
              <w:bottom w:w="0" w:type="dxa"/>
              <w:right w:w="0" w:type="dxa"/>
            </w:tcMar>
            <w:vAlign w:val="center"/>
          </w:tcPr>
          <w:p>
            <w:pPr>
              <w:pStyle w:val="TableContents"/>
              <w:bidi w:val="0"/>
              <w:spacing w:before="100" w:after="100"/>
              <w:jc w:val="left"/>
              <w:rPr/>
            </w:pPr>
            <w:r>
              <w:rPr/>
              <w:t> </w:t>
            </w:r>
          </w:p>
        </w:tc>
        <w:tc>
          <w:tcPr>
            <w:tcW w:w="1261" w:type="dxa"/>
            <w:tcBorders/>
            <w:tcMar>
              <w:top w:w="0" w:type="dxa"/>
              <w:left w:w="0" w:type="dxa"/>
              <w:bottom w:w="0" w:type="dxa"/>
              <w:right w:w="0" w:type="dxa"/>
            </w:tcMar>
            <w:vAlign w:val="center"/>
          </w:tcPr>
          <w:p>
            <w:pPr>
              <w:pStyle w:val="TableContents"/>
              <w:bidi w:val="0"/>
              <w:spacing w:before="100" w:after="100"/>
              <w:jc w:val="left"/>
              <w:rPr/>
            </w:pPr>
            <w:r>
              <w:rPr/>
              <w:t> </w:t>
            </w:r>
          </w:p>
        </w:tc>
        <w:tc>
          <w:tcPr>
            <w:tcW w:w="916" w:type="dxa"/>
            <w:tcBorders/>
            <w:tcMar>
              <w:top w:w="0" w:type="dxa"/>
              <w:left w:w="0" w:type="dxa"/>
              <w:bottom w:w="0" w:type="dxa"/>
              <w:right w:w="0" w:type="dxa"/>
            </w:tcMar>
            <w:vAlign w:val="center"/>
          </w:tcPr>
          <w:p>
            <w:pPr>
              <w:pStyle w:val="TableContents"/>
              <w:bidi w:val="0"/>
              <w:spacing w:before="100" w:after="100"/>
              <w:jc w:val="left"/>
              <w:rPr/>
            </w:pPr>
            <w:r>
              <w:rPr/>
              <w:t> </w:t>
            </w:r>
          </w:p>
        </w:tc>
        <w:tc>
          <w:tcPr>
            <w:tcW w:w="1231" w:type="dxa"/>
            <w:tcBorders/>
            <w:tcMar>
              <w:top w:w="0" w:type="dxa"/>
              <w:left w:w="0" w:type="dxa"/>
              <w:bottom w:w="0" w:type="dxa"/>
              <w:right w:w="0" w:type="dxa"/>
            </w:tcMar>
            <w:vAlign w:val="center"/>
          </w:tcPr>
          <w:p>
            <w:pPr>
              <w:pStyle w:val="TableContents"/>
              <w:bidi w:val="0"/>
              <w:spacing w:before="100" w:after="100"/>
              <w:jc w:val="center"/>
              <w:rPr/>
            </w:pPr>
            <w:r>
              <w:rPr/>
              <w:t> </w:t>
            </w:r>
          </w:p>
        </w:tc>
      </w:tr>
      <w:tr>
        <w:trPr/>
        <w:tc>
          <w:tcPr>
            <w:tcW w:w="1276" w:type="dxa"/>
            <w:tcBorders/>
            <w:tcMar>
              <w:top w:w="0" w:type="dxa"/>
              <w:left w:w="0" w:type="dxa"/>
              <w:bottom w:w="0" w:type="dxa"/>
              <w:right w:w="0" w:type="dxa"/>
            </w:tcMar>
            <w:vAlign w:val="center"/>
          </w:tcPr>
          <w:p>
            <w:pPr>
              <w:pStyle w:val="TableContents"/>
              <w:bidi w:val="0"/>
              <w:spacing w:before="100" w:after="100"/>
              <w:jc w:val="left"/>
              <w:rPr>
                <w:rFonts w:ascii="Times New Roman" w:hAnsi="Times New Roman"/>
                <w:color w:val="000000"/>
                <w:sz w:val="18"/>
              </w:rPr>
            </w:pPr>
            <w:r>
              <w:rPr>
                <w:rFonts w:ascii="Times New Roman" w:hAnsi="Times New Roman"/>
                <w:color w:val="000000"/>
                <w:sz w:val="18"/>
              </w:rPr>
              <w:t>107</w:t>
            </w:r>
          </w:p>
        </w:tc>
        <w:tc>
          <w:tcPr>
            <w:tcW w:w="3961" w:type="dxa"/>
            <w:tcBorders/>
            <w:tcMar>
              <w:top w:w="0" w:type="dxa"/>
              <w:left w:w="0" w:type="dxa"/>
              <w:bottom w:w="0" w:type="dxa"/>
              <w:right w:w="0" w:type="dxa"/>
            </w:tcMar>
            <w:vAlign w:val="center"/>
          </w:tcPr>
          <w:p>
            <w:pPr>
              <w:pStyle w:val="TableContents"/>
              <w:bidi w:val="0"/>
              <w:spacing w:before="100" w:after="100"/>
              <w:jc w:val="left"/>
              <w:rPr/>
            </w:pPr>
            <w:hyperlink w:anchor="ocs-exfiling_fees.htm">
              <w:r>
                <w:rPr>
                  <w:rStyle w:val="InternetLink"/>
                  <w:rFonts w:ascii="Times New Roman" w:hAnsi="Times New Roman"/>
                  <w:color w:val="0000FF"/>
                  <w:sz w:val="18"/>
                  <w:u w:val="single"/>
                </w:rPr>
                <w:t>Filing Fee Exhibit.</w:t>
              </w:r>
            </w:hyperlink>
          </w:p>
        </w:tc>
        <w:tc>
          <w:tcPr>
            <w:tcW w:w="511" w:type="dxa"/>
            <w:tcBorders/>
            <w:tcMar>
              <w:top w:w="0" w:type="dxa"/>
              <w:left w:w="0" w:type="dxa"/>
              <w:bottom w:w="0" w:type="dxa"/>
              <w:right w:w="0" w:type="dxa"/>
            </w:tcMar>
            <w:vAlign w:val="center"/>
          </w:tcPr>
          <w:p>
            <w:pPr>
              <w:pStyle w:val="TableContents"/>
              <w:bidi w:val="0"/>
              <w:spacing w:before="100" w:after="100"/>
              <w:jc w:val="left"/>
              <w:rPr/>
            </w:pPr>
            <w:r>
              <w:rPr/>
              <w:t> </w:t>
            </w:r>
          </w:p>
        </w:tc>
        <w:tc>
          <w:tcPr>
            <w:tcW w:w="676" w:type="dxa"/>
            <w:tcBorders/>
            <w:tcMar>
              <w:top w:w="0" w:type="dxa"/>
              <w:left w:w="0" w:type="dxa"/>
              <w:bottom w:w="0" w:type="dxa"/>
              <w:right w:w="0" w:type="dxa"/>
            </w:tcMar>
            <w:vAlign w:val="center"/>
          </w:tcPr>
          <w:p>
            <w:pPr>
              <w:pStyle w:val="TableContents"/>
              <w:bidi w:val="0"/>
              <w:spacing w:before="100" w:after="100"/>
              <w:jc w:val="left"/>
              <w:rPr/>
            </w:pPr>
            <w:r>
              <w:rPr/>
              <w:t> </w:t>
            </w:r>
          </w:p>
        </w:tc>
        <w:tc>
          <w:tcPr>
            <w:tcW w:w="1261" w:type="dxa"/>
            <w:tcBorders/>
            <w:tcMar>
              <w:top w:w="0" w:type="dxa"/>
              <w:left w:w="0" w:type="dxa"/>
              <w:bottom w:w="0" w:type="dxa"/>
              <w:right w:w="0" w:type="dxa"/>
            </w:tcMar>
            <w:vAlign w:val="center"/>
          </w:tcPr>
          <w:p>
            <w:pPr>
              <w:pStyle w:val="TableContents"/>
              <w:bidi w:val="0"/>
              <w:spacing w:before="100" w:after="100"/>
              <w:jc w:val="left"/>
              <w:rPr/>
            </w:pPr>
            <w:r>
              <w:rPr/>
              <w:t> </w:t>
            </w:r>
          </w:p>
        </w:tc>
        <w:tc>
          <w:tcPr>
            <w:tcW w:w="916" w:type="dxa"/>
            <w:tcBorders/>
            <w:tcMar>
              <w:top w:w="0" w:type="dxa"/>
              <w:left w:w="0" w:type="dxa"/>
              <w:bottom w:w="0" w:type="dxa"/>
              <w:right w:w="0" w:type="dxa"/>
            </w:tcMar>
            <w:vAlign w:val="center"/>
          </w:tcPr>
          <w:p>
            <w:pPr>
              <w:pStyle w:val="TableContents"/>
              <w:bidi w:val="0"/>
              <w:spacing w:before="100" w:after="100"/>
              <w:jc w:val="left"/>
              <w:rPr/>
            </w:pPr>
            <w:r>
              <w:rPr/>
              <w:t> </w:t>
            </w:r>
          </w:p>
        </w:tc>
        <w:tc>
          <w:tcPr>
            <w:tcW w:w="1231" w:type="dxa"/>
            <w:tcBorders/>
            <w:tcMar>
              <w:top w:w="0" w:type="dxa"/>
              <w:left w:w="0" w:type="dxa"/>
              <w:bottom w:w="0" w:type="dxa"/>
              <w:right w:w="0" w:type="dxa"/>
            </w:tcMar>
            <w:vAlign w:val="center"/>
          </w:tcPr>
          <w:p>
            <w:pPr>
              <w:pStyle w:val="TableContents"/>
              <w:bidi w:val="0"/>
              <w:spacing w:before="100" w:after="100"/>
              <w:jc w:val="center"/>
              <w:rPr>
                <w:rFonts w:ascii="Times New Roman" w:hAnsi="Times New Roman"/>
                <w:color w:val="000000"/>
                <w:sz w:val="18"/>
              </w:rPr>
            </w:pPr>
            <w:r>
              <w:rPr>
                <w:rFonts w:ascii="Times New Roman" w:hAnsi="Times New Roman"/>
                <w:color w:val="000000"/>
                <w:sz w:val="18"/>
              </w:rPr>
              <w:t>X</w:t>
            </w:r>
          </w:p>
        </w:tc>
      </w:tr>
    </w:tbl>
    <w:p>
      <w:pPr>
        <w:pStyle w:val="Heading2"/>
        <w:pBdr>
          <w:bottom w:val="single" w:sz="4" w:space="1" w:color="000000"/>
        </w:pBdr>
        <w:bidi w:val="0"/>
        <w:spacing w:before="0" w:after="120"/>
        <w:jc w:val="left"/>
        <w:rPr/>
      </w:pPr>
      <w:r>
        <w:rPr/>
        <w:t>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 To be subsequently filed, if applicable, by an amendment to this registration statement or by a Report on Form 6-K.</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 To be filed, if applicable, in accordance with the requirements of Section 305(b)(2) of the Trust Indenture Act of 1939 and Rule 5b-3 thereunder.</w:t>
      </w:r>
    </w:p>
    <w:p>
      <w:pPr>
        <w:pStyle w:val="Heading2"/>
        <w:bidi w:val="0"/>
        <w:spacing w:before="0" w:after="240"/>
        <w:jc w:val="both"/>
        <w:rPr>
          <w:rFonts w:ascii="Times New Roman" w:hAnsi="Times New Roman"/>
          <w:color w:val="000000"/>
          <w:sz w:val="20"/>
        </w:rPr>
      </w:pPr>
      <w:r>
        <w:rPr>
          <w:rFonts w:ascii="Times New Roman" w:hAnsi="Times New Roman"/>
          <w:color w:val="000000"/>
          <w:sz w:val="20"/>
        </w:rPr>
        <w:t>Item 10. Undertakings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 To include any prospectus required by Section 10(a)(3) of the Securities Act of 1933;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the registration statement or any material change to such information in the registration statement; provided, however, that paragraphs (a)(1)(i), (a)(1)(ii) and (a)(1)(iii) of this section do not apply if the registration statement is on Form F-3 and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w:t>
      </w:r>
    </w:p>
    <w:p>
      <w:pPr>
        <w:pStyle w:val="TextBody"/>
        <w:bidi w:val="0"/>
        <w:jc w:val="center"/>
        <w:rPr>
          <w:rFonts w:ascii="Times New Roman" w:hAnsi="Times New Roman"/>
          <w:color w:val="000000"/>
          <w:sz w:val="20"/>
        </w:rPr>
      </w:pPr>
      <w:r>
        <w:rPr>
          <w:rFonts w:ascii="Times New Roman" w:hAnsi="Times New Roman"/>
          <w:color w:val="000000"/>
          <w:sz w:val="20"/>
        </w:rPr>
        <w:t>II-2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statements on Form F-3,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(5) That, for the purpose of determining liability under the Securities Act of 1933 to any purchaser: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 If the registrant is relying on Rule 430B: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color w:val="000000"/>
          <w:sz w:val="20"/>
        </w:rPr>
        <w:t>Provided, however,</w:t>
      </w:r>
      <w:r>
        <w:rPr>
          <w:rFonts w:ascii="Times New Roman" w:hAnsi="Times New Roman"/>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(6)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 Any preliminary prospectus or prospectus of the undersigned registrant relating to the offering required to be filed pursuant to Rule 424;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 Any free writing prospectus relating to the offering prepared by or on behalf of the undersigned registrant or used or referred to by the undersigned registrant;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(iv) Any other communication that is an offer in the offering made by the undersigned registrant to the purchaser.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(b) The undersigned registrant hereby undertakes that, for purposes of determining any liability under the Securities Act of 1933, each filing of the registrant’s annual report pursuant to Section 13(a) or Section 15(d) </w:t>
      </w:r>
    </w:p>
    <w:p>
      <w:pPr>
        <w:pStyle w:val="TextBody"/>
        <w:bidi w:val="0"/>
        <w:jc w:val="center"/>
        <w:rPr>
          <w:rFonts w:ascii="Times New Roman" w:hAnsi="Times New Roman"/>
          <w:color w:val="000000"/>
          <w:sz w:val="20"/>
        </w:rPr>
      </w:pPr>
      <w:r>
        <w:rPr>
          <w:rFonts w:ascii="Times New Roman" w:hAnsi="Times New Roman"/>
          <w:color w:val="000000"/>
          <w:sz w:val="20"/>
        </w:rPr>
        <w:t>II-3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 To file an application for the purpose of determining the eligibility of the trustee to act under subsection (a) of Section 310 of the Trust Indenture Act of 1939, or the Act, in accordance with the rules and regulations prescribed by the Commission under Section 305(b)(2) of the Act.</w:t>
      </w:r>
    </w:p>
    <w:p>
      <w:pPr>
        <w:pStyle w:val="TextBody"/>
        <w:bidi w:val="0"/>
        <w:jc w:val="center"/>
        <w:rPr>
          <w:rFonts w:ascii="Times New Roman" w:hAnsi="Times New Roman"/>
          <w:color w:val="000000"/>
          <w:sz w:val="20"/>
        </w:rPr>
      </w:pPr>
      <w:r>
        <w:rPr>
          <w:rFonts w:ascii="Times New Roman" w:hAnsi="Times New Roman"/>
          <w:color w:val="000000"/>
          <w:sz w:val="20"/>
        </w:rPr>
        <w:t>II-4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Lausanne, Switzerland, on March 4, 2026.</w:t>
      </w:r>
    </w:p>
    <w:p>
      <w:pPr>
        <w:pStyle w:val="TextBody"/>
        <w:bidi w:val="0"/>
        <w:jc w:val="left"/>
        <w:rPr>
          <w:rFonts w:ascii="Times New Roman" w:hAnsi="Times New Roman"/>
          <w:b/>
          <w:color w:val="000000"/>
          <w:sz w:val="20"/>
        </w:rPr>
      </w:pPr>
      <w:r>
        <w:rPr>
          <w:rFonts w:ascii="Times New Roman" w:hAnsi="Times New Roman"/>
          <w:b/>
          <w:color w:val="000000"/>
          <w:sz w:val="20"/>
        </w:rPr>
        <w:t>OCULIS HOLDING AG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Riad Sherif </w:t>
      </w:r>
    </w:p>
    <w:p>
      <w:pPr>
        <w:pStyle w:val="TextBody"/>
        <w:bidi w:val="0"/>
        <w:jc w:val="left"/>
        <w:rPr>
          <w:rFonts w:ascii="Times New Roman" w:hAnsi="Times New Roman"/>
          <w:color w:val="000000"/>
          <w:sz w:val="20"/>
        </w:rPr>
      </w:pPr>
      <w:r>
        <w:rPr>
          <w:rFonts w:ascii="Times New Roman" w:hAnsi="Times New Roman"/>
          <w:color w:val="000000"/>
          <w:sz w:val="20"/>
        </w:rPr>
        <w:t>Riad Sherif</w:t>
      </w:r>
    </w:p>
    <w:p>
      <w:pPr>
        <w:pStyle w:val="TextBody"/>
        <w:bidi w:val="0"/>
        <w:jc w:val="left"/>
        <w:rPr>
          <w:rFonts w:ascii="Times New Roman" w:hAnsi="Times New Roman"/>
          <w:color w:val="000000"/>
          <w:sz w:val="20"/>
        </w:rPr>
      </w:pPr>
      <w:r>
        <w:rPr>
          <w:rFonts w:ascii="Times New Roman" w:hAnsi="Times New Roman"/>
          <w:color w:val="000000"/>
          <w:sz w:val="20"/>
        </w:rPr>
        <w:t>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II-5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KNOW ALL PERSONS BY THESE PRESENTS, that each person whose signature appears below hereby constitutes and appoints Riad Sherif and Sylvia Cheung, and each of them acting individually,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Pursuant to the requirements of the Securities Act of 1933, this registration statement has been signed by the following persons in the capacities and on the dates indicated: </w:t>
      </w:r>
    </w:p>
    <w:tbl>
      <w:tblPr>
        <w:tblW w:w="8120" w:type="dxa"/>
        <w:jc w:val="left"/>
        <w:tblInd w:w="0" w:type="dxa"/>
        <w:tblLayout w:type="fixed"/>
        <w:tblCellMar>
          <w:top w:w="28" w:type="dxa"/>
          <w:left w:w="28" w:type="dxa"/>
          <w:bottom w:w="28" w:type="dxa"/>
          <w:right w:w="28" w:type="dxa"/>
        </w:tblCellMar>
      </w:tblPr>
      <w:tblGrid>
        <w:gridCol w:w="2431"/>
        <w:gridCol w:w="286"/>
        <w:gridCol w:w="3921"/>
        <w:gridCol w:w="146"/>
        <w:gridCol w:w="1336"/>
      </w:tblGrid>
      <w:tr>
        <w:trPr/>
        <w:tc>
          <w:tcPr>
            <w:tcW w:w="24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Riad Sherif</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Riad Sherif</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921" w:type="dxa"/>
            <w:tcBorders/>
            <w:tcMar>
              <w:top w:w="0" w:type="dxa"/>
              <w:left w:w="0" w:type="dxa"/>
              <w:bottom w:w="0" w:type="dxa"/>
              <w:right w:w="0" w:type="dxa"/>
            </w:tcMar>
            <w:vAlign w:val="center"/>
          </w:tcPr>
          <w:p>
            <w:pPr>
              <w:pStyle w:val="TableContents"/>
              <w:bidi w:val="0"/>
              <w:ind w:left="0" w:right="0" w:firstLine="20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ind w:left="0" w:right="0" w:firstLine="200"/>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Sylvia Cheung</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Sylvia Cheung</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921" w:type="dxa"/>
            <w:tcBorders/>
            <w:tcMar>
              <w:top w:w="0" w:type="dxa"/>
              <w:left w:w="0" w:type="dxa"/>
              <w:bottom w:w="0" w:type="dxa"/>
              <w:right w:w="0" w:type="dxa"/>
            </w:tcMar>
            <w:vAlign w:val="center"/>
          </w:tcPr>
          <w:p>
            <w:pPr>
              <w:pStyle w:val="TableContents"/>
              <w:bidi w:val="0"/>
              <w:ind w:left="0" w:right="0" w:firstLine="20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ind w:left="0" w:right="0" w:firstLine="200"/>
              <w:jc w:val="left"/>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Anthony Rosenberg</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Anthony Rosenberg</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9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Executive Chairman of the Board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Arshad M. Khanani, M.D.</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Arshad M. Khanani, M.D.</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9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Christina Ackermann</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Christina Ackermann</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9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Geraldine O’Keeffe</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Geraldine O’Keeffe</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9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4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II-6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513" w:type="dxa"/>
        <w:jc w:val="left"/>
        <w:tblInd w:w="0" w:type="dxa"/>
        <w:tblLayout w:type="fixed"/>
        <w:tblCellMar>
          <w:top w:w="28" w:type="dxa"/>
          <w:left w:w="28" w:type="dxa"/>
          <w:bottom w:w="28" w:type="dxa"/>
          <w:right w:w="28" w:type="dxa"/>
        </w:tblCellMar>
      </w:tblPr>
      <w:tblGrid>
        <w:gridCol w:w="1816"/>
        <w:gridCol w:w="286"/>
        <w:gridCol w:w="966"/>
        <w:gridCol w:w="109"/>
        <w:gridCol w:w="1336"/>
      </w:tblGrid>
      <w:tr>
        <w:trPr/>
        <w:tc>
          <w:tcPr>
            <w:tcW w:w="18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Lionel Carnot</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Lionel Carnot</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9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1816"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Martijn Kleijwegt</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Martijn Kleijwegt</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9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Robert K. Warner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Robert K. Warner</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9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SIGNATURE OF AUTHORIZED REPRESENTATIVE IN THE UNITED STATES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requirements of the Securities Act of 1933, as amended, the undersigned has signed this registration statement, solely in the capacity as the duly authorized representative of the Registrant, in Boston, Massachusetts, on March 4, 2026.</w:t>
      </w:r>
    </w:p>
    <w:p>
      <w:pPr>
        <w:pStyle w:val="TextBody"/>
        <w:bidi w:val="0"/>
        <w:jc w:val="left"/>
        <w:rPr>
          <w:rFonts w:ascii="Times New Roman" w:hAnsi="Times New Roman"/>
          <w:b/>
          <w:color w:val="000000"/>
          <w:sz w:val="20"/>
        </w:rPr>
      </w:pPr>
      <w:r>
        <w:rPr>
          <w:rFonts w:ascii="Times New Roman" w:hAnsi="Times New Roman"/>
          <w:b/>
          <w:color w:val="000000"/>
          <w:sz w:val="20"/>
        </w:rPr>
        <w:t>OCULIS US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Sylvia Cheung </w:t>
      </w:r>
    </w:p>
    <w:p>
      <w:pPr>
        <w:pStyle w:val="TextBody"/>
        <w:bidi w:val="0"/>
        <w:jc w:val="left"/>
        <w:rPr>
          <w:rFonts w:ascii="Times New Roman" w:hAnsi="Times New Roman"/>
          <w:color w:val="000000"/>
          <w:sz w:val="20"/>
        </w:rPr>
      </w:pPr>
      <w:r>
        <w:rPr>
          <w:rFonts w:ascii="Times New Roman" w:hAnsi="Times New Roman"/>
          <w:color w:val="000000"/>
          <w:sz w:val="20"/>
        </w:rPr>
        <w:t>Sylvia Cheung</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II-8</w:t>
      </w:r>
    </w:p>
    <w:p>
      <w:pPr>
        <w:pStyle w:val="HorizontalLine"/>
        <w:pBdr>
          <w:bottom w:val="double" w:sz="2" w:space="0" w:color="808080"/>
        </w:pBdr>
        <w:bidi w:val="0"/>
        <w:spacing w:before="0" w:after="283"/>
        <w:jc w:val="left"/>
        <w:rPr/>
      </w:pPr>
      <w:r>
        <w:rPr/>
      </w:r>
    </w:p>
    <w:p>
      <w:pPr>
        <w:pStyle w:val="TextBody"/>
        <w:bidi w:val="0"/>
        <w:jc w:val="left"/>
        <w:rPr/>
      </w:pPr>
      <w:bookmarkStart w:id="46" w:name="ocs-ex4_2.htm"/>
      <w:bookmarkStart w:id="47" w:name="ksocsex4_2"/>
      <w:bookmarkEnd w:id="46"/>
      <w:bookmarkEnd w:id="47"/>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4.2</w:t>
      </w:r>
    </w:p>
    <w:p>
      <w:pPr>
        <w:pStyle w:val="TextBody"/>
        <w:bidi w:val="0"/>
        <w:jc w:val="left"/>
        <w:rPr>
          <w:rFonts w:ascii="Times New Roman" w:hAnsi="Times New Roman"/>
          <w:b/>
          <w:color w:val="000000"/>
          <w:sz w:val="2"/>
        </w:rPr>
      </w:pPr>
      <w:r>
        <w:rPr>
          <w:rFonts w:ascii="Times New Roman" w:hAnsi="Times New Roman"/>
          <w:b/>
          <w:color w:val="000000"/>
          <w:sz w:val="2"/>
        </w:rPr>
        <w:t>20</w:t>
      </w:r>
    </w:p>
    <w:p>
      <w:pPr>
        <w:pStyle w:val="TextBody"/>
        <w:bidi w:val="0"/>
        <w:jc w:val="center"/>
        <w:rPr>
          <w:rFonts w:ascii="Times New Roman" w:hAnsi="Times New Roman"/>
          <w:b/>
          <w:caps/>
          <w:color w:val="000000"/>
          <w:sz w:val="20"/>
        </w:rPr>
      </w:pPr>
      <w:r>
        <w:rPr>
          <w:rFonts w:ascii="Times New Roman" w:hAnsi="Times New Roman"/>
          <w:b/>
          <w:caps/>
          <w:color w:val="000000"/>
          <w:sz w:val="20"/>
        </w:rPr>
        <w:t>Oculis HOLDING AG</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Issuer</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AND</w:t>
      </w:r>
    </w:p>
    <w:p>
      <w:pPr>
        <w:pStyle w:val="TextBody"/>
        <w:bidi w:val="0"/>
        <w:jc w:val="center"/>
        <w:rPr>
          <w:rFonts w:ascii="Times New Roman" w:hAnsi="Times New Roman"/>
          <w:b/>
          <w:color w:val="000000"/>
          <w:sz w:val="20"/>
        </w:rPr>
      </w:pPr>
      <w:r>
        <w:rPr>
          <w:rFonts w:ascii="Times New Roman" w:hAnsi="Times New Roman"/>
          <w:b/>
          <w:color w:val="000000"/>
          <w:sz w:val="20"/>
        </w:rPr>
        <w:t>[TRUSTEE],</w:t>
      </w:r>
    </w:p>
    <w:p>
      <w:pPr>
        <w:pStyle w:val="TextBody"/>
        <w:bidi w:val="0"/>
        <w:spacing w:before="0" w:after="480"/>
        <w:jc w:val="center"/>
        <w:rPr>
          <w:rFonts w:ascii="Times New Roman" w:hAnsi="Times New Roman"/>
          <w:b/>
          <w:color w:val="000000"/>
          <w:sz w:val="20"/>
        </w:rPr>
      </w:pPr>
      <w:r>
        <w:rPr>
          <w:rFonts w:ascii="Times New Roman" w:hAnsi="Times New Roman"/>
          <w:b/>
          <w:color w:val="000000"/>
          <w:sz w:val="20"/>
        </w:rPr>
        <w:t>Trustee</w:t>
      </w:r>
    </w:p>
    <w:p>
      <w:pPr>
        <w:pStyle w:val="TextBody"/>
        <w:bidi w:val="0"/>
        <w:spacing w:before="0" w:after="480"/>
        <w:jc w:val="center"/>
        <w:rPr>
          <w:rFonts w:ascii="Times New Roman" w:hAnsi="Times New Roman"/>
          <w:b/>
          <w:color w:val="000000"/>
          <w:sz w:val="20"/>
        </w:rPr>
      </w:pPr>
      <w:r>
        <w:rPr>
          <w:rFonts w:ascii="Times New Roman" w:hAnsi="Times New Roman"/>
          <w:b/>
          <w:color w:val="000000"/>
          <w:sz w:val="20"/>
        </w:rPr>
        <w:t>_______________</w:t>
      </w:r>
    </w:p>
    <w:p>
      <w:pPr>
        <w:pStyle w:val="TextBody"/>
        <w:bidi w:val="0"/>
        <w:spacing w:before="0" w:after="480"/>
        <w:jc w:val="center"/>
        <w:rPr>
          <w:rFonts w:ascii="Times New Roman" w:hAnsi="Times New Roman"/>
          <w:b/>
          <w:color w:val="000000"/>
          <w:sz w:val="20"/>
        </w:rPr>
      </w:pPr>
      <w:r>
        <w:rPr>
          <w:rFonts w:ascii="Times New Roman" w:hAnsi="Times New Roman"/>
          <w:b/>
          <w:color w:val="000000"/>
          <w:sz w:val="20"/>
        </w:rPr>
        <w:t>FORM OF INDENTURE</w:t>
      </w:r>
    </w:p>
    <w:p>
      <w:pPr>
        <w:pStyle w:val="TextBody"/>
        <w:bidi w:val="0"/>
        <w:spacing w:before="0" w:after="480"/>
        <w:jc w:val="center"/>
        <w:rPr>
          <w:rFonts w:ascii="Times New Roman" w:hAnsi="Times New Roman"/>
          <w:b/>
          <w:color w:val="000000"/>
          <w:sz w:val="20"/>
        </w:rPr>
      </w:pPr>
      <w:r>
        <w:rPr>
          <w:rFonts w:ascii="Times New Roman" w:hAnsi="Times New Roman"/>
          <w:b/>
          <w:color w:val="000000"/>
          <w:sz w:val="20"/>
        </w:rPr>
        <w:t>Dated as of ____________________, 20__</w:t>
      </w:r>
    </w:p>
    <w:p>
      <w:pPr>
        <w:pStyle w:val="TextBody"/>
        <w:bidi w:val="0"/>
        <w:spacing w:before="0" w:after="480"/>
        <w:jc w:val="center"/>
        <w:rPr>
          <w:rFonts w:ascii="Times New Roman" w:hAnsi="Times New Roman"/>
          <w:b/>
          <w:color w:val="000000"/>
          <w:sz w:val="20"/>
        </w:rPr>
      </w:pPr>
      <w:r>
        <w:rPr>
          <w:rFonts w:ascii="Times New Roman" w:hAnsi="Times New Roman"/>
          <w:b/>
          <w:color w:val="000000"/>
          <w:sz w:val="20"/>
        </w:rPr>
        <w:t>_______________</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Debt Securities</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Table of Contents</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Page</w:t>
      </w:r>
    </w:p>
    <w:tbl>
      <w:tblPr>
        <w:tblW w:w="10205" w:type="dxa"/>
        <w:jc w:val="left"/>
        <w:tblInd w:w="0" w:type="dxa"/>
        <w:tblLayout w:type="fixed"/>
        <w:tblCellMar>
          <w:top w:w="28" w:type="dxa"/>
          <w:left w:w="28" w:type="dxa"/>
          <w:bottom w:w="28" w:type="dxa"/>
          <w:right w:w="28" w:type="dxa"/>
        </w:tblCellMar>
      </w:tblPr>
      <w:tblGrid>
        <w:gridCol w:w="7684"/>
        <w:gridCol w:w="2521"/>
      </w:tblGrid>
      <w:tr>
        <w:trPr/>
        <w:tc>
          <w:tcPr>
            <w:tcW w:w="768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aps/>
                <w:color w:val="000000"/>
                <w:sz w:val="20"/>
              </w:rPr>
            </w:pPr>
            <w:bookmarkStart w:id="48" w:name="mptableofcontents"/>
            <w:bookmarkEnd w:id="48"/>
            <w:r>
              <w:rPr>
                <w:rFonts w:ascii="Times New Roman" w:hAnsi="Times New Roman"/>
                <w:caps/>
                <w:color w:val="000000"/>
                <w:sz w:val="20"/>
              </w:rPr>
              <w:t>Article 1 DEFINITIONS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0"/>
              </w:rPr>
            </w:pPr>
            <w:r>
              <w:rPr>
                <w:rFonts w:ascii="Times New Roman" w:hAnsi="Times New Roman"/>
                <w:caps/>
                <w:color w:val="000000"/>
                <w:sz w:val="20"/>
              </w:rPr>
              <w:t>1</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1.01 Definitions of Terms.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1</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aps/>
                <w:color w:val="000000"/>
                <w:sz w:val="20"/>
              </w:rPr>
            </w:pPr>
            <w:r>
              <w:rPr>
                <w:rFonts w:ascii="Times New Roman" w:hAnsi="Times New Roman"/>
                <w:caps/>
                <w:color w:val="000000"/>
                <w:sz w:val="20"/>
              </w:rPr>
              <w:t>Article 2 ISSUE, DESCRIPTION, TERMS, EXECUTION, REGISTRATION AND EXCHANGE OF SECURITIES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0"/>
              </w:rPr>
            </w:pPr>
            <w:r>
              <w:rPr>
                <w:rFonts w:ascii="Times New Roman" w:hAnsi="Times New Roman"/>
                <w:caps/>
                <w:color w:val="000000"/>
                <w:sz w:val="20"/>
              </w:rPr>
              <w:t>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2.01 Designation and Terms of Securities.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2.02 Form of Securities and Trustee’s Certificate.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6</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2.03 Denominations: Provisions for Payment.</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6</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2.04 Execution and Authentications.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7</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2.05 Registration of Transfer and Exchange.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8</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2.06 Temporary Securities.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9</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2.07 Mutilated, Destroyed, Lost or Stolen Securities.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9</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2.08 Cancellation.</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10</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2.09 Benefits of Indenture.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10</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2.10 Authenticating Agent.</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10</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2.11 Global Securities.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10</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2.12 CUSIP Numbers.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11</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aps/>
                <w:color w:val="000000"/>
                <w:sz w:val="20"/>
              </w:rPr>
            </w:pPr>
            <w:r>
              <w:rPr>
                <w:rFonts w:ascii="Times New Roman" w:hAnsi="Times New Roman"/>
                <w:caps/>
                <w:color w:val="000000"/>
                <w:sz w:val="20"/>
              </w:rPr>
              <w:t>Article 3 REDEMPTION OF SECURITIES AND SINKING FUND PROVISIONS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0"/>
              </w:rPr>
            </w:pPr>
            <w:r>
              <w:rPr>
                <w:rFonts w:ascii="Times New Roman" w:hAnsi="Times New Roman"/>
                <w:caps/>
                <w:color w:val="000000"/>
                <w:sz w:val="20"/>
              </w:rPr>
              <w:t>11</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3.01 Redemption.</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11</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3.02 Notice of Redemption.</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11</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3.03 Payment Upon Redemption.</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12</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3.04 Sinking Fund.</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3.05 Satisfaction of Sinking Fund Payments with Securities.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3.06 Redemption of Securities for Sinking Fund.</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13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aps/>
                <w:color w:val="000000"/>
                <w:sz w:val="20"/>
              </w:rPr>
            </w:pPr>
            <w:r>
              <w:rPr>
                <w:rFonts w:ascii="Times New Roman" w:hAnsi="Times New Roman"/>
                <w:caps/>
                <w:color w:val="000000"/>
                <w:sz w:val="20"/>
              </w:rPr>
              <w:t>Article 4 COVENANTS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0"/>
              </w:rPr>
            </w:pPr>
            <w:r>
              <w:rPr>
                <w:rFonts w:ascii="Times New Roman" w:hAnsi="Times New Roman"/>
                <w:caps/>
                <w:color w:val="000000"/>
                <w:sz w:val="20"/>
              </w:rPr>
              <w:t>13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4.01 Payment of Principal, Premium and Interest.</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4.02 Maintenance of Office or Agency.</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4.03 Paying Agents.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4.04 Appointment to Fill Vacancy in Office of Trustee.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15</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aps/>
                <w:color w:val="000000"/>
                <w:sz w:val="20"/>
              </w:rPr>
            </w:pPr>
            <w:r>
              <w:rPr>
                <w:rFonts w:ascii="Times New Roman" w:hAnsi="Times New Roman"/>
                <w:caps/>
                <w:color w:val="000000"/>
                <w:sz w:val="20"/>
              </w:rPr>
              <w:t>Article 5 SECURITYHOLDERS’ LISTS AND REPORTS BY THE COMPANY AND THE TRUSTEE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0"/>
              </w:rPr>
            </w:pPr>
            <w:r>
              <w:rPr>
                <w:rFonts w:ascii="Times New Roman" w:hAnsi="Times New Roman"/>
                <w:caps/>
                <w:color w:val="000000"/>
                <w:sz w:val="20"/>
              </w:rPr>
              <w:t>15</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5.01 Company to Furnish Trustee Names and Addresses of Securityholders.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15</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5.02 Preservation Of Information; Communications With Securityholders.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15</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5.03 Reports by the Company.</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15</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5.04 Reports by the Trustee.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16</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aps/>
                <w:color w:val="000000"/>
                <w:sz w:val="20"/>
              </w:rPr>
            </w:pPr>
            <w:r>
              <w:rPr>
                <w:rFonts w:ascii="Times New Roman" w:hAnsi="Times New Roman"/>
                <w:caps/>
                <w:color w:val="000000"/>
                <w:sz w:val="20"/>
              </w:rPr>
              <w:t>Article 6 REMEDIES OF THE TRUSTEE AND SECURITYHOLDERS ON EVENT OF DEFAULT</w:t>
            </w:r>
          </w:p>
        </w:tc>
        <w:tc>
          <w:tcPr>
            <w:tcW w:w="252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aps/>
                <w:color w:val="000000"/>
                <w:sz w:val="20"/>
              </w:rPr>
            </w:pPr>
            <w:r>
              <w:rPr>
                <w:rFonts w:ascii="Times New Roman" w:hAnsi="Times New Roman"/>
                <w:caps/>
                <w:color w:val="000000"/>
                <w:sz w:val="20"/>
              </w:rPr>
              <w:t>16</w:t>
            </w:r>
          </w:p>
        </w:tc>
      </w:tr>
    </w:tbl>
    <w:tbl>
      <w:tblPr>
        <w:tblW w:w="638" w:type="dxa"/>
        <w:jc w:val="left"/>
        <w:tblInd w:w="0" w:type="dxa"/>
        <w:tblLayout w:type="fixed"/>
        <w:tblCellMar>
          <w:top w:w="28" w:type="dxa"/>
          <w:left w:w="28" w:type="dxa"/>
          <w:bottom w:w="28" w:type="dxa"/>
          <w:right w:w="28" w:type="dxa"/>
        </w:tblCellMar>
      </w:tblPr>
      <w:tblGrid>
        <w:gridCol w:w="161"/>
        <w:gridCol w:w="28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Table of Contents</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Page</w:t>
      </w:r>
    </w:p>
    <w:tbl>
      <w:tblPr>
        <w:tblW w:w="10205" w:type="dxa"/>
        <w:jc w:val="left"/>
        <w:tblInd w:w="0" w:type="dxa"/>
        <w:tblLayout w:type="fixed"/>
        <w:tblCellMar>
          <w:top w:w="28" w:type="dxa"/>
          <w:left w:w="28" w:type="dxa"/>
          <w:bottom w:w="28" w:type="dxa"/>
          <w:right w:w="28" w:type="dxa"/>
        </w:tblCellMar>
      </w:tblPr>
      <w:tblGrid>
        <w:gridCol w:w="7684"/>
        <w:gridCol w:w="2521"/>
      </w:tblGrid>
      <w:tr>
        <w:trPr/>
        <w:tc>
          <w:tcPr>
            <w:tcW w:w="768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6.01 Events of Default.</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16</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6.02 Collection of Indebtedness and Suits for Enforcement by Trustee.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17</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6.03 Application of Moneys Collected.</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18</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6.04 Limitation on Suits.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19</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6.05 Rights and Remedies Cumulative; Delay or Omission Not Waiver.</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19</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6.06 Control by Securityholders.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19</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6.07 Undertaking to Pay Costs.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20</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aps/>
                <w:color w:val="000000"/>
                <w:sz w:val="20"/>
              </w:rPr>
            </w:pPr>
            <w:r>
              <w:rPr>
                <w:rFonts w:ascii="Times New Roman" w:hAnsi="Times New Roman"/>
                <w:caps/>
                <w:color w:val="000000"/>
                <w:sz w:val="20"/>
              </w:rPr>
              <w:t>Article 7 CONCERNING THE TRUSTEE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0"/>
              </w:rPr>
            </w:pPr>
            <w:r>
              <w:rPr>
                <w:rFonts w:ascii="Times New Roman" w:hAnsi="Times New Roman"/>
                <w:caps/>
                <w:color w:val="000000"/>
                <w:sz w:val="20"/>
              </w:rPr>
              <w:t>20</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7.01 Certain Duties and Responsibilities of Trustee.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20</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7.02 Certain Rights of Trustee.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21</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7.03 Trustee Not Responsible for Recitals or Issuance or Securities.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7.04 May Hold Securities.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7.05 Moneys Held in Trust.</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7.06 Compensation and Reimbursement.</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7.07 Reliance on Officer’s Certificate.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7.08 Disqualification; Conflicting Interests.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7.09 Corporate Trustee Required; Eligibility.</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7.10 Resignation and Removal; Appointment of Successor.</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7.11 Acceptance of Appointment By Successor.</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25</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7.12 Merger, Conversion, Consolidation or Succession to Business.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26</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7.13 Preferential Collection of Claims Against the Company.</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26</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7.14 Notice of Default.</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aps/>
                <w:color w:val="000000"/>
                <w:sz w:val="20"/>
              </w:rPr>
            </w:pPr>
            <w:r>
              <w:rPr>
                <w:rFonts w:ascii="Times New Roman" w:hAnsi="Times New Roman"/>
                <w:caps/>
                <w:color w:val="000000"/>
                <w:sz w:val="20"/>
              </w:rPr>
              <w:t>Article 8 CONCERNING THE SECURITYHOLDERS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0"/>
              </w:rPr>
            </w:pPr>
            <w:r>
              <w:rPr>
                <w:rFonts w:ascii="Times New Roman" w:hAnsi="Times New Roman"/>
                <w:caps/>
                <w:color w:val="000000"/>
                <w:sz w:val="20"/>
              </w:rPr>
              <w:t>27</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8.01 Evidence of Action by Securityholders.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27</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8.02 Proof of Execution by Securityholders.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27</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8.03 Who May be Deemed Owners.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27</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8.04 Certain Securities Owned by Company Disregarded.</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28</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8.05 Actions Binding on Future Securityholders.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28</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aps/>
                <w:color w:val="000000"/>
                <w:sz w:val="20"/>
              </w:rPr>
            </w:pPr>
            <w:r>
              <w:rPr>
                <w:rFonts w:ascii="Times New Roman" w:hAnsi="Times New Roman"/>
                <w:caps/>
                <w:color w:val="000000"/>
                <w:sz w:val="20"/>
              </w:rPr>
              <w:t>Article 9 SUPPLEMENTAL INDENTURES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0"/>
              </w:rPr>
            </w:pPr>
            <w:r>
              <w:rPr>
                <w:rFonts w:ascii="Times New Roman" w:hAnsi="Times New Roman"/>
                <w:caps/>
                <w:color w:val="000000"/>
                <w:sz w:val="20"/>
              </w:rPr>
              <w:t>28</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9.01 Supplemental Indentures Without the Consent of Securityholders.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28</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9.02 Supplemental Indentures With Consent of Securityholders.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29</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9.03 Effect of Supplemental Indentures.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29</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9.04 Securities Affected by Supplemental Indentures.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30</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9.05 Execution of Supplemental Indentures.</w:t>
            </w:r>
          </w:p>
        </w:tc>
        <w:tc>
          <w:tcPr>
            <w:tcW w:w="252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30</w:t>
            </w:r>
          </w:p>
        </w:tc>
      </w:tr>
    </w:tbl>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Table of Contents</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Page</w:t>
      </w:r>
    </w:p>
    <w:tbl>
      <w:tblPr>
        <w:tblW w:w="10205" w:type="dxa"/>
        <w:jc w:val="left"/>
        <w:tblInd w:w="0" w:type="dxa"/>
        <w:tblLayout w:type="fixed"/>
        <w:tblCellMar>
          <w:top w:w="28" w:type="dxa"/>
          <w:left w:w="28" w:type="dxa"/>
          <w:bottom w:w="28" w:type="dxa"/>
          <w:right w:w="28" w:type="dxa"/>
        </w:tblCellMar>
      </w:tblPr>
      <w:tblGrid>
        <w:gridCol w:w="7684"/>
        <w:gridCol w:w="2521"/>
      </w:tblGrid>
      <w:tr>
        <w:trPr/>
        <w:tc>
          <w:tcPr>
            <w:tcW w:w="768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aps/>
                <w:color w:val="000000"/>
                <w:sz w:val="20"/>
              </w:rPr>
            </w:pPr>
            <w:r>
              <w:rPr>
                <w:rFonts w:ascii="Times New Roman" w:hAnsi="Times New Roman"/>
                <w:caps/>
                <w:color w:val="000000"/>
                <w:sz w:val="20"/>
              </w:rPr>
              <w:t>Article 10 SUCCESSOR ENTITY</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0"/>
              </w:rPr>
            </w:pPr>
            <w:r>
              <w:rPr>
                <w:rFonts w:ascii="Times New Roman" w:hAnsi="Times New Roman"/>
                <w:caps/>
                <w:color w:val="000000"/>
                <w:sz w:val="20"/>
              </w:rPr>
              <w:t>30</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10.01 Company May Consolidate, Etc.</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30</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10.02 Successor Entity Substituted.</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31</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aps/>
                <w:color w:val="000000"/>
                <w:sz w:val="20"/>
              </w:rPr>
            </w:pPr>
            <w:r>
              <w:rPr>
                <w:rFonts w:ascii="Times New Roman" w:hAnsi="Times New Roman"/>
                <w:caps/>
                <w:color w:val="000000"/>
                <w:sz w:val="20"/>
              </w:rPr>
              <w:t>Article 11 SATISFACTION AND DISCHARGE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0"/>
              </w:rPr>
            </w:pPr>
            <w:r>
              <w:rPr>
                <w:rFonts w:ascii="Times New Roman" w:hAnsi="Times New Roman"/>
                <w:caps/>
                <w:color w:val="000000"/>
                <w:sz w:val="20"/>
              </w:rPr>
              <w:t>31</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11.01 Satisfaction and Discharge of Indenture.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31</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11.02 Discharge of Obligations.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31</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11.03 Deposited Moneys to be Held in Trust.</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32</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11.04 Payment of Moneys Held by Paying Agents.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32</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11.05 Repayment to Company.</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32</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aps/>
                <w:color w:val="000000"/>
                <w:sz w:val="20"/>
              </w:rPr>
            </w:pPr>
            <w:r>
              <w:rPr>
                <w:rFonts w:ascii="Times New Roman" w:hAnsi="Times New Roman"/>
                <w:caps/>
                <w:color w:val="000000"/>
                <w:sz w:val="20"/>
              </w:rPr>
              <w:t>Article 12 IMMUNITY OF INCORPORATORS, SHAREHOLDERS, OFFICERS AND DIRECTORS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0"/>
              </w:rPr>
            </w:pPr>
            <w:r>
              <w:rPr>
                <w:rFonts w:ascii="Times New Roman" w:hAnsi="Times New Roman"/>
                <w:caps/>
                <w:color w:val="000000"/>
                <w:sz w:val="20"/>
              </w:rPr>
              <w:t>32</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12.01 No Recourse.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32</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aps/>
                <w:color w:val="000000"/>
                <w:sz w:val="20"/>
              </w:rPr>
            </w:pPr>
            <w:r>
              <w:rPr>
                <w:rFonts w:ascii="Times New Roman" w:hAnsi="Times New Roman"/>
                <w:caps/>
                <w:color w:val="000000"/>
                <w:sz w:val="20"/>
              </w:rPr>
              <w:t>Article 13 MISCELLANEOUS PROVISIONS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aps/>
                <w:color w:val="000000"/>
                <w:sz w:val="20"/>
              </w:rPr>
            </w:pPr>
            <w:r>
              <w:rPr>
                <w:rFonts w:ascii="Times New Roman" w:hAnsi="Times New Roman"/>
                <w:caps/>
                <w:color w:val="000000"/>
                <w:sz w:val="20"/>
              </w:rPr>
              <w:t>33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13.01 Effect on Successors and Assigns.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13.02 Actions by Successor.</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13.03 Surrender of Company Powers.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13.04 Notices.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13.05 Governing Law; Jury Trial Waiver.</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13.06 Treatment of Securities as Debt.</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13.07 Withholding Taxes.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33</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13.08 Certificates and Opinions as to Conditions Precedent.</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13.09 Payments on Business Days.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13.10 Conflict with Trust Indenture Act.</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13.11 Counterparts.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13.12 Separability.</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13.13 Compliance Certificates.</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34</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13.14 U.S.A Patriot Act.</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35</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13.15 Force Majeure.</w:t>
            </w:r>
          </w:p>
        </w:tc>
        <w:tc>
          <w:tcPr>
            <w:tcW w:w="2521"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right"/>
              <w:rPr>
                <w:rFonts w:ascii="Times New Roman" w:hAnsi="Times New Roman"/>
                <w:color w:val="000000"/>
                <w:sz w:val="20"/>
              </w:rPr>
            </w:pPr>
            <w:r>
              <w:rPr>
                <w:rFonts w:ascii="Times New Roman" w:hAnsi="Times New Roman"/>
                <w:color w:val="000000"/>
                <w:sz w:val="20"/>
              </w:rPr>
              <w:t>35</w:t>
            </w:r>
          </w:p>
        </w:tc>
      </w:tr>
      <w:tr>
        <w:trPr/>
        <w:tc>
          <w:tcPr>
            <w:tcW w:w="7684" w:type="dxa"/>
            <w:tcBorders/>
            <w:shd w:fill="FFFFFF" w:val="clear"/>
            <w:tcMar>
              <w:top w:w="0" w:type="dxa"/>
              <w:left w:w="0" w:type="dxa"/>
              <w:bottom w:w="0" w:type="dxa"/>
              <w:right w:w="0" w:type="dxa"/>
            </w:tcMar>
            <w:vAlign w:val="center"/>
          </w:tcPr>
          <w:p>
            <w:pPr>
              <w:pStyle w:val="TableContents"/>
              <w:bidi w:val="0"/>
              <w:spacing w:before="0" w:after="120"/>
              <w:ind w:left="0" w:right="0" w:firstLine="2160"/>
              <w:jc w:val="left"/>
              <w:rPr>
                <w:rFonts w:ascii="Times New Roman" w:hAnsi="Times New Roman"/>
                <w:color w:val="000000"/>
                <w:sz w:val="20"/>
              </w:rPr>
            </w:pPr>
            <w:r>
              <w:rPr>
                <w:rFonts w:ascii="Times New Roman" w:hAnsi="Times New Roman"/>
                <w:color w:val="000000"/>
                <w:sz w:val="20"/>
              </w:rPr>
              <w:t>Section 13.16 Table of Contents; Headings.</w:t>
            </w:r>
          </w:p>
        </w:tc>
        <w:tc>
          <w:tcPr>
            <w:tcW w:w="252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35</w:t>
            </w:r>
          </w:p>
        </w:tc>
      </w:tr>
    </w:tbl>
    <w:tbl>
      <w:tblPr>
        <w:tblW w:w="758" w:type="dxa"/>
        <w:jc w:val="left"/>
        <w:tblInd w:w="0" w:type="dxa"/>
        <w:tblLayout w:type="fixed"/>
        <w:tblCellMar>
          <w:top w:w="28" w:type="dxa"/>
          <w:left w:w="28" w:type="dxa"/>
          <w:bottom w:w="28" w:type="dxa"/>
          <w:right w:w="28" w:type="dxa"/>
        </w:tblCellMar>
      </w:tblPr>
      <w:tblGrid>
        <w:gridCol w:w="161"/>
        <w:gridCol w:w="40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aps/>
          <w:color w:val="000000"/>
          <w:sz w:val="20"/>
        </w:rPr>
      </w:pPr>
      <w:r>
        <w:rPr>
          <w:rFonts w:ascii="Times New Roman" w:hAnsi="Times New Roman"/>
          <w:b/>
          <w:caps/>
          <w:color w:val="000000"/>
          <w:sz w:val="20"/>
        </w:rPr>
        <w:t>INDENTURE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Indenture, dated as of ________________, 20__, among </w:t>
      </w:r>
      <w:r>
        <w:rPr>
          <w:rFonts w:ascii="Times New Roman" w:hAnsi="Times New Roman"/>
          <w:b/>
          <w:color w:val="000000"/>
          <w:sz w:val="20"/>
        </w:rPr>
        <w:t>Oculis Holding AG</w:t>
      </w:r>
      <w:r>
        <w:rPr>
          <w:rFonts w:ascii="Times New Roman" w:hAnsi="Times New Roman"/>
          <w:color w:val="000000"/>
          <w:sz w:val="20"/>
        </w:rPr>
        <w:t>, a corporation (</w:t>
      </w:r>
      <w:r>
        <w:rPr>
          <w:rFonts w:ascii="Times New Roman" w:hAnsi="Times New Roman"/>
          <w:i/>
          <w:color w:val="000000"/>
          <w:sz w:val="20"/>
        </w:rPr>
        <w:t>Aktiengesellschaft</w:t>
      </w:r>
      <w:r>
        <w:rPr>
          <w:rFonts w:ascii="Times New Roman" w:hAnsi="Times New Roman"/>
          <w:color w:val="000000"/>
          <w:sz w:val="20"/>
        </w:rPr>
        <w:t>) organized under the laws of Switzerland (the “</w:t>
      </w:r>
      <w:r>
        <w:rPr>
          <w:rFonts w:ascii="Times New Roman" w:hAnsi="Times New Roman"/>
          <w:b/>
          <w:i/>
          <w:color w:val="000000"/>
          <w:sz w:val="20"/>
        </w:rPr>
        <w:t>Company</w:t>
      </w:r>
      <w:r>
        <w:rPr>
          <w:rFonts w:ascii="Times New Roman" w:hAnsi="Times New Roman"/>
          <w:color w:val="000000"/>
          <w:sz w:val="20"/>
        </w:rPr>
        <w:t>”), and [</w:t>
      </w:r>
      <w:r>
        <w:rPr>
          <w:rFonts w:ascii="Times New Roman" w:hAnsi="Times New Roman"/>
          <w:b/>
          <w:color w:val="000000"/>
          <w:sz w:val="20"/>
        </w:rPr>
        <w:t>Trustee</w:t>
      </w:r>
      <w:r>
        <w:rPr>
          <w:rFonts w:ascii="Times New Roman" w:hAnsi="Times New Roman"/>
          <w:color w:val="000000"/>
          <w:sz w:val="20"/>
        </w:rPr>
        <w:t>], as trustee (the “</w:t>
      </w:r>
      <w:r>
        <w:rPr>
          <w:rFonts w:ascii="Times New Roman" w:hAnsi="Times New Roman"/>
          <w:b/>
          <w:i/>
          <w:color w:val="000000"/>
          <w:sz w:val="20"/>
        </w:rPr>
        <w:t>Trustee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smallCaps/>
          <w:color w:val="000000"/>
          <w:sz w:val="20"/>
        </w:rPr>
        <w:t>Whereas</w:t>
      </w:r>
      <w:r>
        <w:rPr>
          <w:rFonts w:ascii="Times New Roman" w:hAnsi="Times New Roman"/>
          <w:color w:val="000000"/>
          <w:sz w:val="20"/>
        </w:rPr>
        <w:t>, for its lawful corporate purposes, the Company has duly authorized the execution and delivery of this Indenture to provide for the issuance of debt securities (hereinafter referred to as the “</w:t>
      </w:r>
      <w:r>
        <w:rPr>
          <w:rFonts w:ascii="Times New Roman" w:hAnsi="Times New Roman"/>
          <w:b/>
          <w:i/>
          <w:color w:val="000000"/>
          <w:sz w:val="20"/>
        </w:rPr>
        <w:t>Securities</w:t>
      </w:r>
      <w:r>
        <w:rPr>
          <w:rFonts w:ascii="Times New Roman" w:hAnsi="Times New Roman"/>
          <w:color w:val="000000"/>
          <w:sz w:val="20"/>
        </w:rPr>
        <w:t xml:space="preserve">”),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0" w:after="240"/>
        <w:jc w:val="both"/>
        <w:rPr>
          <w:rFonts w:ascii="Times New Roman" w:hAnsi="Times New Roman"/>
          <w:sz w:val="20"/>
        </w:rPr>
      </w:pPr>
      <w:r>
        <w:rPr>
          <w:rFonts w:ascii="Times New Roman" w:hAnsi="Times New Roman"/>
          <w:b/>
          <w:smallCaps/>
          <w:color w:val="000000"/>
          <w:sz w:val="20"/>
        </w:rPr>
        <w:t>Whereas</w:t>
      </w:r>
      <w:r>
        <w:rPr>
          <w:rFonts w:ascii="Times New Roman" w:hAnsi="Times New Roman"/>
          <w:color w:val="000000"/>
          <w:sz w:val="20"/>
        </w:rPr>
        <w:t xml:space="preserve">, to provide the terms and conditions upon which the Securities are to be authenticated, issued and delivered, the Company has duly authorized the execution of this Indenture; and </w:t>
      </w:r>
    </w:p>
    <w:p>
      <w:pPr>
        <w:pStyle w:val="TextBody"/>
        <w:bidi w:val="0"/>
        <w:spacing w:before="0" w:after="240"/>
        <w:jc w:val="both"/>
        <w:rPr>
          <w:rFonts w:ascii="Times New Roman" w:hAnsi="Times New Roman"/>
          <w:sz w:val="20"/>
        </w:rPr>
      </w:pPr>
      <w:r>
        <w:rPr>
          <w:rFonts w:ascii="Times New Roman" w:hAnsi="Times New Roman"/>
          <w:b/>
          <w:smallCaps/>
          <w:color w:val="000000"/>
          <w:sz w:val="20"/>
        </w:rPr>
        <w:t>Whereas</w:t>
      </w:r>
      <w:r>
        <w:rPr>
          <w:rFonts w:ascii="Times New Roman" w:hAnsi="Times New Roman"/>
          <w:color w:val="000000"/>
          <w:sz w:val="20"/>
        </w:rPr>
        <w:t>, all things necessary to make this Indenture a valid agreement of the Company, in accordance with its terms, have been done.</w:t>
      </w:r>
    </w:p>
    <w:p>
      <w:pPr>
        <w:pStyle w:val="TextBody"/>
        <w:bidi w:val="0"/>
        <w:spacing w:before="0" w:after="240"/>
        <w:jc w:val="both"/>
        <w:rPr>
          <w:rFonts w:ascii="Times New Roman" w:hAnsi="Times New Roman"/>
          <w:sz w:val="20"/>
        </w:rPr>
      </w:pPr>
      <w:r>
        <w:rPr>
          <w:rFonts w:ascii="Times New Roman" w:hAnsi="Times New Roman"/>
          <w:b/>
          <w:smallCaps/>
          <w:color w:val="000000"/>
          <w:sz w:val="20"/>
        </w:rPr>
        <w:t>Now, Therefore</w:t>
      </w:r>
      <w:r>
        <w:rPr>
          <w:rFonts w:ascii="Times New Roman" w:hAnsi="Times New Roman"/>
          <w:color w:val="000000"/>
          <w:sz w:val="20"/>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1</w:t>
      </w:r>
      <w:r>
        <w:rPr>
          <w:rFonts w:ascii="Times New Roman" w:hAnsi="Times New Roman"/>
          <w:color w:val="000000"/>
          <w:sz w:val="20"/>
        </w:rPr>
        <w:br/>
        <w:br/>
      </w:r>
      <w:r>
        <w:rPr>
          <w:rFonts w:ascii="Times New Roman" w:hAnsi="Times New Roman"/>
          <w:b/>
          <w:color w:val="000000"/>
          <w:sz w:val="20"/>
        </w:rPr>
        <w:t>DEFINITIONS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1.01 Definitions of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240"/>
        <w:jc w:val="both"/>
        <w:rPr/>
      </w:pPr>
      <w:r>
        <w:rPr>
          <w:color w:val="000000"/>
        </w:rPr>
        <w:t>“</w:t>
      </w:r>
      <w:r>
        <w:rPr>
          <w:rFonts w:ascii="Times New Roman" w:hAnsi="Times New Roman"/>
          <w:b/>
          <w:i/>
          <w:color w:val="000000"/>
          <w:sz w:val="20"/>
        </w:rPr>
        <w:t>Authenticating Agent</w:t>
      </w:r>
      <w:r>
        <w:rPr>
          <w:rFonts w:ascii="Times New Roman" w:hAnsi="Times New Roman"/>
          <w:color w:val="000000"/>
          <w:sz w:val="20"/>
        </w:rPr>
        <w:t>” means the Trustee or an authenticating agent with respect to all or any of the series of Securities appointed by the Trustee pursuant to Section 2.10.</w:t>
      </w:r>
    </w:p>
    <w:p>
      <w:pPr>
        <w:pStyle w:val="TextBody"/>
        <w:bidi w:val="0"/>
        <w:spacing w:before="0" w:after="240"/>
        <w:jc w:val="both"/>
        <w:rPr/>
      </w:pPr>
      <w:r>
        <w:rPr>
          <w:color w:val="000000"/>
        </w:rPr>
        <w:t>“</w:t>
      </w:r>
      <w:r>
        <w:rPr>
          <w:rFonts w:ascii="Times New Roman" w:hAnsi="Times New Roman"/>
          <w:b/>
          <w:i/>
          <w:color w:val="000000"/>
          <w:sz w:val="20"/>
        </w:rPr>
        <w:t>Bankruptcy Law</w:t>
      </w:r>
      <w:r>
        <w:rPr>
          <w:rFonts w:ascii="Times New Roman" w:hAnsi="Times New Roman"/>
          <w:color w:val="000000"/>
          <w:sz w:val="20"/>
        </w:rPr>
        <w:t>” means the Swiss Federal Debt Enforcement and Bankruptcy Law of April 11, 1889.</w:t>
      </w:r>
    </w:p>
    <w:p>
      <w:pPr>
        <w:pStyle w:val="TextBody"/>
        <w:bidi w:val="0"/>
        <w:spacing w:before="0" w:after="240"/>
        <w:jc w:val="both"/>
        <w:rPr/>
      </w:pPr>
      <w:r>
        <w:rPr>
          <w:color w:val="000000"/>
        </w:rPr>
        <w:t>“</w:t>
      </w:r>
      <w:r>
        <w:rPr>
          <w:rFonts w:ascii="Times New Roman" w:hAnsi="Times New Roman"/>
          <w:b/>
          <w:i/>
          <w:color w:val="000000"/>
          <w:sz w:val="20"/>
        </w:rPr>
        <w:t>Board of Directors</w:t>
      </w:r>
      <w:r>
        <w:rPr>
          <w:rFonts w:ascii="Times New Roman" w:hAnsi="Times New Roman"/>
          <w:color w:val="000000"/>
          <w:sz w:val="20"/>
        </w:rPr>
        <w:t>” means the Board of Directors (or the functional equivalent thereof) of the Company or any duly authorized committee of such Board.</w:t>
      </w:r>
    </w:p>
    <w:p>
      <w:pPr>
        <w:pStyle w:val="TextBody"/>
        <w:bidi w:val="0"/>
        <w:spacing w:before="0" w:after="240"/>
        <w:jc w:val="both"/>
        <w:rPr/>
      </w:pPr>
      <w:r>
        <w:rPr>
          <w:color w:val="000000"/>
        </w:rPr>
        <w:t>“</w:t>
      </w:r>
      <w:r>
        <w:rPr>
          <w:rFonts w:ascii="Times New Roman" w:hAnsi="Times New Roman"/>
          <w:b/>
          <w:i/>
          <w:color w:val="000000"/>
          <w:sz w:val="20"/>
        </w:rPr>
        <w:t>Board Resolution</w:t>
      </w:r>
      <w:r>
        <w:rPr>
          <w:rFonts w:ascii="Times New Roman" w:hAnsi="Times New Roman"/>
          <w:color w:val="000000"/>
          <w:sz w:val="20"/>
        </w:rPr>
        <w:t>” means a copy of a resolution certified by an Officer of the Company to have been duly adopted by the Board of Directors (or duly authorized committee thereof) and to be in full force and effect on the date of such certification.</w:t>
      </w:r>
    </w:p>
    <w:p>
      <w:pPr>
        <w:pStyle w:val="TextBody"/>
        <w:bidi w:val="0"/>
        <w:spacing w:before="0" w:after="240"/>
        <w:jc w:val="both"/>
        <w:rPr/>
      </w:pPr>
      <w:r>
        <w:rPr>
          <w:color w:val="000000"/>
        </w:rPr>
        <w:t>“</w:t>
      </w:r>
      <w:r>
        <w:rPr>
          <w:rFonts w:ascii="Times New Roman" w:hAnsi="Times New Roman"/>
          <w:b/>
          <w:i/>
          <w:color w:val="000000"/>
          <w:sz w:val="20"/>
        </w:rPr>
        <w:t>Business Day</w:t>
      </w:r>
      <w:r>
        <w:rPr>
          <w:rFonts w:ascii="Times New Roman" w:hAnsi="Times New Roman"/>
          <w:color w:val="000000"/>
          <w:sz w:val="20"/>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spacing w:before="0" w:after="240"/>
        <w:jc w:val="both"/>
        <w:rPr/>
      </w:pPr>
      <w:r>
        <w:rPr>
          <w:color w:val="000000"/>
        </w:rPr>
        <w:t>“</w:t>
      </w:r>
      <w:r>
        <w:rPr>
          <w:rFonts w:ascii="Times New Roman" w:hAnsi="Times New Roman"/>
          <w:b/>
          <w:i/>
          <w:color w:val="000000"/>
          <w:sz w:val="20"/>
        </w:rPr>
        <w:t>Commission</w:t>
      </w:r>
      <w:r>
        <w:rPr>
          <w:rFonts w:ascii="Times New Roman" w:hAnsi="Times New Roman"/>
          <w:color w:val="000000"/>
          <w:sz w:val="20"/>
        </w:rPr>
        <w:t xml:space="preserve">” means the Securities and Exchange Commission, as from time to time constituted, created under the Exchange Act, or, if at any time after the execution of this instrument such Commission is not existing and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performing the duties now assigned to it under the Trust Indenture Act, then the body performing such duties at such time.</w:t>
      </w:r>
    </w:p>
    <w:p>
      <w:pPr>
        <w:pStyle w:val="TextBody"/>
        <w:bidi w:val="0"/>
        <w:spacing w:before="0" w:after="240"/>
        <w:jc w:val="both"/>
        <w:rPr/>
      </w:pPr>
      <w:r>
        <w:rPr>
          <w:color w:val="000000"/>
        </w:rPr>
        <w:t>“</w:t>
      </w:r>
      <w:r>
        <w:rPr>
          <w:rFonts w:ascii="Times New Roman" w:hAnsi="Times New Roman"/>
          <w:b/>
          <w:i/>
          <w:color w:val="000000"/>
          <w:sz w:val="20"/>
        </w:rPr>
        <w:t>Company</w:t>
      </w:r>
      <w:r>
        <w:rPr>
          <w:rFonts w:ascii="Times New Roman" w:hAnsi="Times New Roman"/>
          <w:color w:val="000000"/>
          <w:sz w:val="20"/>
        </w:rPr>
        <w:t>” means Oculis Holding AG and, subject to the provisions of Article Ten, shall also include its successors and assigns.</w:t>
      </w:r>
    </w:p>
    <w:p>
      <w:pPr>
        <w:pStyle w:val="TextBody"/>
        <w:bidi w:val="0"/>
        <w:spacing w:before="0" w:after="240"/>
        <w:jc w:val="both"/>
        <w:rPr/>
      </w:pPr>
      <w:r>
        <w:rPr>
          <w:color w:val="000000"/>
        </w:rPr>
        <w:t>“</w:t>
      </w:r>
      <w:r>
        <w:rPr>
          <w:rFonts w:ascii="Times New Roman" w:hAnsi="Times New Roman"/>
          <w:b/>
          <w:i/>
          <w:color w:val="000000"/>
          <w:sz w:val="20"/>
        </w:rPr>
        <w:t>Corporate Trust Office</w:t>
      </w:r>
      <w:r>
        <w:rPr>
          <w:rFonts w:ascii="Times New Roman" w:hAnsi="Times New Roman"/>
          <w:color w:val="000000"/>
          <w:sz w:val="20"/>
        </w:rPr>
        <w:t xml:space="preserve">” means the office of the Trustee at which, at any particular time, its corporate trust business shall be principally administered, which office at the date hereof is located at [ ]. </w:t>
      </w:r>
    </w:p>
    <w:p>
      <w:pPr>
        <w:pStyle w:val="TextBody"/>
        <w:bidi w:val="0"/>
        <w:spacing w:before="0" w:after="240"/>
        <w:jc w:val="both"/>
        <w:rPr/>
      </w:pPr>
      <w:r>
        <w:rPr>
          <w:color w:val="000000"/>
        </w:rPr>
        <w:t>“</w:t>
      </w:r>
      <w:r>
        <w:rPr>
          <w:rFonts w:ascii="Times New Roman" w:hAnsi="Times New Roman"/>
          <w:b/>
          <w:i/>
          <w:color w:val="000000"/>
          <w:sz w:val="20"/>
        </w:rPr>
        <w:t>Custodian</w:t>
      </w:r>
      <w:r>
        <w:rPr>
          <w:rFonts w:ascii="Times New Roman" w:hAnsi="Times New Roman"/>
          <w:color w:val="000000"/>
          <w:sz w:val="20"/>
        </w:rPr>
        <w:t>” means any receiver, trustee, assignee, liquidator or similar official under any Bankruptcy Law.</w:t>
      </w:r>
    </w:p>
    <w:p>
      <w:pPr>
        <w:pStyle w:val="TextBody"/>
        <w:bidi w:val="0"/>
        <w:spacing w:before="0" w:after="240"/>
        <w:jc w:val="both"/>
        <w:rPr/>
      </w:pPr>
      <w:r>
        <w:rPr>
          <w:color w:val="000000"/>
        </w:rPr>
        <w:t>“</w:t>
      </w:r>
      <w:r>
        <w:rPr>
          <w:rFonts w:ascii="Times New Roman" w:hAnsi="Times New Roman"/>
          <w:b/>
          <w:i/>
          <w:color w:val="000000"/>
          <w:sz w:val="20"/>
        </w:rPr>
        <w:t>Defaulted Interest</w:t>
      </w:r>
      <w:r>
        <w:rPr>
          <w:rFonts w:ascii="Times New Roman" w:hAnsi="Times New Roman"/>
          <w:color w:val="000000"/>
          <w:sz w:val="20"/>
        </w:rPr>
        <w:t>” has the meaning set forth in Section 2.03.</w:t>
      </w:r>
    </w:p>
    <w:p>
      <w:pPr>
        <w:pStyle w:val="TextBody"/>
        <w:bidi w:val="0"/>
        <w:spacing w:before="0" w:after="240"/>
        <w:jc w:val="both"/>
        <w:rPr/>
      </w:pPr>
      <w:r>
        <w:rPr>
          <w:color w:val="000000"/>
        </w:rPr>
        <w:t>“</w:t>
      </w:r>
      <w:r>
        <w:rPr>
          <w:rFonts w:ascii="Times New Roman" w:hAnsi="Times New Roman"/>
          <w:b/>
          <w:i/>
          <w:color w:val="000000"/>
          <w:sz w:val="20"/>
        </w:rPr>
        <w:t>Depositary</w:t>
      </w:r>
      <w:r>
        <w:rPr>
          <w:rFonts w:ascii="Times New Roman" w:hAnsi="Times New Roman"/>
          <w:color w:val="000000"/>
          <w:sz w:val="20"/>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pStyle w:val="TextBody"/>
        <w:bidi w:val="0"/>
        <w:spacing w:before="0" w:after="240"/>
        <w:jc w:val="both"/>
        <w:rPr/>
      </w:pPr>
      <w:r>
        <w:rPr>
          <w:color w:val="000000"/>
        </w:rPr>
        <w:t>“</w:t>
      </w:r>
      <w:r>
        <w:rPr>
          <w:rFonts w:ascii="Times New Roman" w:hAnsi="Times New Roman"/>
          <w:b/>
          <w:i/>
          <w:color w:val="000000"/>
          <w:sz w:val="20"/>
        </w:rPr>
        <w:t>Event of Default</w:t>
      </w:r>
      <w:r>
        <w:rPr>
          <w:rFonts w:ascii="Times New Roman" w:hAnsi="Times New Roman"/>
          <w:color w:val="000000"/>
          <w:sz w:val="20"/>
        </w:rPr>
        <w:t>” means, with respect to Securities of a particular series, any event specified in Section 6.01, continued for the period of time, if any, therein designated.</w:t>
      </w:r>
    </w:p>
    <w:p>
      <w:pPr>
        <w:pStyle w:val="TextBody"/>
        <w:bidi w:val="0"/>
        <w:spacing w:before="0" w:after="240"/>
        <w:jc w:val="both"/>
        <w:rPr/>
      </w:pPr>
      <w:r>
        <w:rPr>
          <w:color w:val="000000"/>
        </w:rPr>
        <w:t>“</w:t>
      </w:r>
      <w:r>
        <w:rPr>
          <w:rFonts w:ascii="Times New Roman" w:hAnsi="Times New Roman"/>
          <w:b/>
          <w:i/>
          <w:color w:val="000000"/>
          <w:sz w:val="20"/>
        </w:rPr>
        <w:t>Exchange Act</w:t>
      </w:r>
      <w:r>
        <w:rPr>
          <w:rFonts w:ascii="Times New Roman" w:hAnsi="Times New Roman"/>
          <w:color w:val="000000"/>
          <w:sz w:val="20"/>
        </w:rPr>
        <w:t>” means the United States Securities and Exchange Act of 1934, as amended, and the rules and regulations promulgated by the Commission thereunder.</w:t>
      </w:r>
    </w:p>
    <w:p>
      <w:pPr>
        <w:pStyle w:val="TextBody"/>
        <w:bidi w:val="0"/>
        <w:spacing w:before="0" w:after="240"/>
        <w:jc w:val="both"/>
        <w:rPr>
          <w:rFonts w:ascii="Times New Roman" w:hAnsi="Times New Roman"/>
          <w:sz w:val="20"/>
        </w:rPr>
      </w:pPr>
      <w:r>
        <w:rPr>
          <w:rFonts w:ascii="Times New Roman" w:hAnsi="Times New Roman"/>
          <w:color w:val="000000"/>
          <w:sz w:val="20"/>
        </w:rPr>
        <w:t>The term “</w:t>
      </w:r>
      <w:r>
        <w:rPr>
          <w:rFonts w:ascii="Times New Roman" w:hAnsi="Times New Roman"/>
          <w:b/>
          <w:i/>
          <w:color w:val="000000"/>
          <w:sz w:val="20"/>
        </w:rPr>
        <w:t>given</w:t>
      </w:r>
      <w:r>
        <w:rPr>
          <w:rFonts w:ascii="Times New Roman" w:hAnsi="Times New Roman"/>
          <w:color w:val="000000"/>
          <w:sz w:val="20"/>
        </w:rPr>
        <w:t>”, “</w:t>
      </w:r>
      <w:r>
        <w:rPr>
          <w:rFonts w:ascii="Times New Roman" w:hAnsi="Times New Roman"/>
          <w:b/>
          <w:i/>
          <w:color w:val="000000"/>
          <w:sz w:val="20"/>
        </w:rPr>
        <w:t>mailed</w:t>
      </w:r>
      <w:r>
        <w:rPr>
          <w:rFonts w:ascii="Times New Roman" w:hAnsi="Times New Roman"/>
          <w:color w:val="000000"/>
          <w:sz w:val="20"/>
        </w:rPr>
        <w:t>”, “</w:t>
      </w:r>
      <w:r>
        <w:rPr>
          <w:rFonts w:ascii="Times New Roman" w:hAnsi="Times New Roman"/>
          <w:b/>
          <w:i/>
          <w:color w:val="000000"/>
          <w:sz w:val="20"/>
        </w:rPr>
        <w:t>notify</w:t>
      </w:r>
      <w:r>
        <w:rPr>
          <w:rFonts w:ascii="Times New Roman" w:hAnsi="Times New Roman"/>
          <w:color w:val="000000"/>
          <w:sz w:val="20"/>
        </w:rPr>
        <w:t>” or “</w:t>
      </w:r>
      <w:r>
        <w:rPr>
          <w:rFonts w:ascii="Times New Roman" w:hAnsi="Times New Roman"/>
          <w:b/>
          <w:i/>
          <w:color w:val="000000"/>
          <w:sz w:val="20"/>
        </w:rPr>
        <w:t>sent</w:t>
      </w:r>
      <w:r>
        <w:rPr>
          <w:rFonts w:ascii="Times New Roman" w:hAnsi="Times New Roman"/>
          <w:color w:val="000000"/>
          <w:sz w:val="20"/>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pStyle w:val="TextBody"/>
        <w:bidi w:val="0"/>
        <w:spacing w:before="0" w:after="240"/>
        <w:jc w:val="both"/>
        <w:rPr/>
      </w:pPr>
      <w:r>
        <w:rPr>
          <w:color w:val="000000"/>
        </w:rPr>
        <w:t>“</w:t>
      </w:r>
      <w:r>
        <w:rPr>
          <w:rFonts w:ascii="Times New Roman" w:hAnsi="Times New Roman"/>
          <w:b/>
          <w:i/>
          <w:color w:val="000000"/>
          <w:sz w:val="20"/>
        </w:rPr>
        <w:t>Global Security</w:t>
      </w:r>
      <w:r>
        <w:rPr>
          <w:rFonts w:ascii="Times New Roman" w:hAnsi="Times New Roman"/>
          <w:color w:val="000000"/>
          <w:sz w:val="20"/>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pStyle w:val="TextBody"/>
        <w:bidi w:val="0"/>
        <w:spacing w:before="0" w:after="240"/>
        <w:jc w:val="both"/>
        <w:rPr/>
      </w:pPr>
      <w:r>
        <w:rPr>
          <w:color w:val="000000"/>
        </w:rPr>
        <w:t>“</w:t>
      </w:r>
      <w:r>
        <w:rPr>
          <w:rFonts w:ascii="Times New Roman" w:hAnsi="Times New Roman"/>
          <w:b/>
          <w:i/>
          <w:color w:val="000000"/>
          <w:sz w:val="20"/>
        </w:rPr>
        <w:t>Governmental Obligations</w:t>
      </w:r>
      <w:r>
        <w:rPr>
          <w:rFonts w:ascii="Times New Roman" w:hAnsi="Times New Roman"/>
          <w:color w:val="000000"/>
          <w:sz w:val="20"/>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240"/>
        <w:jc w:val="both"/>
        <w:rPr/>
      </w:pPr>
      <w:r>
        <w:rPr>
          <w:color w:val="000000"/>
        </w:rPr>
        <w:t>“</w:t>
      </w:r>
      <w:r>
        <w:rPr>
          <w:rFonts w:ascii="Times New Roman" w:hAnsi="Times New Roman"/>
          <w:b/>
          <w:i/>
          <w:color w:val="000000"/>
          <w:sz w:val="20"/>
        </w:rPr>
        <w:t>herein</w:t>
      </w:r>
      <w:r>
        <w:rPr>
          <w:rFonts w:ascii="Times New Roman" w:hAnsi="Times New Roman"/>
          <w:color w:val="000000"/>
          <w:sz w:val="20"/>
        </w:rPr>
        <w:t>”, “</w:t>
      </w:r>
      <w:r>
        <w:rPr>
          <w:rFonts w:ascii="Times New Roman" w:hAnsi="Times New Roman"/>
          <w:b/>
          <w:i/>
          <w:color w:val="000000"/>
          <w:sz w:val="20"/>
        </w:rPr>
        <w:t>hereof</w:t>
      </w:r>
      <w:r>
        <w:rPr>
          <w:rFonts w:ascii="Times New Roman" w:hAnsi="Times New Roman"/>
          <w:color w:val="000000"/>
          <w:sz w:val="20"/>
        </w:rPr>
        <w:t>” and “</w:t>
      </w:r>
      <w:r>
        <w:rPr>
          <w:rFonts w:ascii="Times New Roman" w:hAnsi="Times New Roman"/>
          <w:b/>
          <w:i/>
          <w:color w:val="000000"/>
          <w:sz w:val="20"/>
        </w:rPr>
        <w:t>hereunder</w:t>
      </w:r>
      <w:r>
        <w:rPr>
          <w:rFonts w:ascii="Times New Roman" w:hAnsi="Times New Roman"/>
          <w:color w:val="000000"/>
          <w:sz w:val="20"/>
        </w:rPr>
        <w:t>”, and other words of similar import, refer to this Indenture as a whole and not to any particular Article, Section or other subdivision.</w:t>
      </w:r>
    </w:p>
    <w:p>
      <w:pPr>
        <w:pStyle w:val="TextBody"/>
        <w:bidi w:val="0"/>
        <w:spacing w:before="0" w:after="240"/>
        <w:jc w:val="both"/>
        <w:rPr/>
      </w:pPr>
      <w:r>
        <w:rPr>
          <w:color w:val="000000"/>
        </w:rPr>
        <w:t>“</w:t>
      </w:r>
      <w:r>
        <w:rPr>
          <w:rFonts w:ascii="Times New Roman" w:hAnsi="Times New Roman"/>
          <w:b/>
          <w:i/>
          <w:color w:val="000000"/>
          <w:sz w:val="20"/>
        </w:rPr>
        <w:t>Indenture</w:t>
      </w:r>
      <w:r>
        <w:rPr>
          <w:rFonts w:ascii="Times New Roman" w:hAnsi="Times New Roman"/>
          <w:color w:val="000000"/>
          <w:sz w:val="20"/>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0"/>
        </w:rPr>
        <w:t>Interest Payment Date</w:t>
      </w:r>
      <w:r>
        <w:rPr>
          <w:rFonts w:ascii="Times New Roman" w:hAnsi="Times New Roman"/>
          <w:color w:val="000000"/>
          <w:sz w:val="20"/>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240"/>
        <w:jc w:val="both"/>
        <w:rPr/>
      </w:pPr>
      <w:r>
        <w:rPr>
          <w:color w:val="000000"/>
        </w:rPr>
        <w:t>“</w:t>
      </w:r>
      <w:r>
        <w:rPr>
          <w:rFonts w:ascii="Times New Roman" w:hAnsi="Times New Roman"/>
          <w:b/>
          <w:i/>
          <w:color w:val="000000"/>
          <w:sz w:val="20"/>
        </w:rPr>
        <w:t>Officer</w:t>
      </w:r>
      <w:r>
        <w:rPr>
          <w:rFonts w:ascii="Times New Roman" w:hAnsi="Times New Roman"/>
          <w:color w:val="000000"/>
          <w:sz w:val="20"/>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w:t>
      </w:r>
    </w:p>
    <w:p>
      <w:pPr>
        <w:pStyle w:val="TextBody"/>
        <w:bidi w:val="0"/>
        <w:spacing w:before="0" w:after="240"/>
        <w:jc w:val="both"/>
        <w:rPr/>
      </w:pPr>
      <w:r>
        <w:rPr>
          <w:color w:val="000000"/>
        </w:rPr>
        <w:t>“</w:t>
      </w:r>
      <w:r>
        <w:rPr>
          <w:rFonts w:ascii="Times New Roman" w:hAnsi="Times New Roman"/>
          <w:b/>
          <w:i/>
          <w:color w:val="000000"/>
          <w:sz w:val="20"/>
        </w:rPr>
        <w:t>Officer’s Certificate</w:t>
      </w:r>
      <w:r>
        <w:rPr>
          <w:rFonts w:ascii="Times New Roman" w:hAnsi="Times New Roman"/>
          <w:color w:val="000000"/>
          <w:sz w:val="20"/>
        </w:rPr>
        <w:t>” means a certificate signed by any Officer. Each such certificate shall include the statements provided for in Section 13.07, if and to the extent required by the provisions thereof.</w:t>
      </w:r>
    </w:p>
    <w:p>
      <w:pPr>
        <w:pStyle w:val="TextBody"/>
        <w:bidi w:val="0"/>
        <w:spacing w:before="0" w:after="240"/>
        <w:jc w:val="both"/>
        <w:rPr/>
      </w:pPr>
      <w:r>
        <w:rPr>
          <w:color w:val="000000"/>
        </w:rPr>
        <w:t>“</w:t>
      </w:r>
      <w:r>
        <w:rPr>
          <w:rFonts w:ascii="Times New Roman" w:hAnsi="Times New Roman"/>
          <w:b/>
          <w:i/>
          <w:color w:val="000000"/>
          <w:sz w:val="20"/>
        </w:rPr>
        <w:t>Opinion of Counsel</w:t>
      </w:r>
      <w:r>
        <w:rPr>
          <w:rFonts w:ascii="Times New Roman" w:hAnsi="Times New Roman"/>
          <w:color w:val="000000"/>
          <w:sz w:val="20"/>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before="0" w:after="240"/>
        <w:jc w:val="both"/>
        <w:rPr/>
      </w:pPr>
      <w:r>
        <w:rPr>
          <w:color w:val="000000"/>
        </w:rPr>
        <w:t>“</w:t>
      </w:r>
      <w:r>
        <w:rPr>
          <w:rFonts w:ascii="Times New Roman" w:hAnsi="Times New Roman"/>
          <w:b/>
          <w:i/>
          <w:color w:val="000000"/>
          <w:sz w:val="20"/>
        </w:rPr>
        <w:t>Outstanding</w:t>
      </w:r>
      <w:r>
        <w:rPr>
          <w:rFonts w:ascii="Times New Roman" w:hAnsi="Times New Roman"/>
          <w:color w:val="000000"/>
          <w:sz w:val="20"/>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before="0" w:after="240"/>
        <w:jc w:val="both"/>
        <w:rPr/>
      </w:pPr>
      <w:r>
        <w:rPr>
          <w:color w:val="000000"/>
        </w:rPr>
        <w:t>“</w:t>
      </w:r>
      <w:r>
        <w:rPr>
          <w:rFonts w:ascii="Times New Roman" w:hAnsi="Times New Roman"/>
          <w:b/>
          <w:i/>
          <w:color w:val="000000"/>
          <w:sz w:val="20"/>
        </w:rPr>
        <w:t>Person</w:t>
      </w:r>
      <w:r>
        <w:rPr>
          <w:rFonts w:ascii="Times New Roman" w:hAnsi="Times New Roman"/>
          <w:color w:val="000000"/>
          <w:sz w:val="20"/>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before="0" w:after="240"/>
        <w:jc w:val="both"/>
        <w:rPr/>
      </w:pPr>
      <w:r>
        <w:rPr>
          <w:color w:val="000000"/>
        </w:rPr>
        <w:t>“</w:t>
      </w:r>
      <w:r>
        <w:rPr>
          <w:rFonts w:ascii="Times New Roman" w:hAnsi="Times New Roman"/>
          <w:b/>
          <w:i/>
          <w:color w:val="000000"/>
          <w:sz w:val="20"/>
        </w:rPr>
        <w:t>Predecessor Security</w:t>
      </w:r>
      <w:r>
        <w:rPr>
          <w:rFonts w:ascii="Times New Roman" w:hAnsi="Times New Roman"/>
          <w:color w:val="000000"/>
          <w:sz w:val="20"/>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before="0" w:after="240"/>
        <w:jc w:val="both"/>
        <w:rPr/>
      </w:pPr>
      <w:r>
        <w:rPr>
          <w:color w:val="000000"/>
        </w:rPr>
        <w:t>“</w:t>
      </w:r>
      <w:r>
        <w:rPr>
          <w:rFonts w:ascii="Times New Roman" w:hAnsi="Times New Roman"/>
          <w:b/>
          <w:i/>
          <w:color w:val="000000"/>
          <w:sz w:val="20"/>
        </w:rPr>
        <w:t>Responsible Officer</w:t>
      </w:r>
      <w:r>
        <w:rPr>
          <w:rFonts w:ascii="Times New Roman" w:hAnsi="Times New Roman"/>
          <w:color w:val="000000"/>
          <w:sz w:val="20"/>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before="0" w:after="240"/>
        <w:jc w:val="both"/>
        <w:rPr/>
      </w:pPr>
      <w:r>
        <w:rPr>
          <w:color w:val="000000"/>
        </w:rPr>
        <w:t>“</w:t>
      </w:r>
      <w:r>
        <w:rPr>
          <w:rFonts w:ascii="Times New Roman" w:hAnsi="Times New Roman"/>
          <w:b/>
          <w:i/>
          <w:color w:val="000000"/>
          <w:sz w:val="20"/>
        </w:rPr>
        <w:t>Securities</w:t>
      </w:r>
      <w:r>
        <w:rPr>
          <w:rFonts w:ascii="Times New Roman" w:hAnsi="Times New Roman"/>
          <w:color w:val="000000"/>
          <w:sz w:val="20"/>
        </w:rPr>
        <w:t>” has the meaning stated in the first recital of this Indenture and more particularly means any Securities authenticated and delivered under this Indenture.</w:t>
      </w:r>
    </w:p>
    <w:p>
      <w:pPr>
        <w:pStyle w:val="TextBody"/>
        <w:bidi w:val="0"/>
        <w:spacing w:before="0" w:after="240"/>
        <w:jc w:val="both"/>
        <w:rPr/>
      </w:pPr>
      <w:r>
        <w:rPr>
          <w:color w:val="000000"/>
        </w:rPr>
        <w:t>“</w:t>
      </w:r>
      <w:r>
        <w:rPr>
          <w:rFonts w:ascii="Times New Roman" w:hAnsi="Times New Roman"/>
          <w:b/>
          <w:i/>
          <w:color w:val="000000"/>
          <w:sz w:val="20"/>
        </w:rPr>
        <w:t>Securities Act</w:t>
      </w:r>
      <w:r>
        <w:rPr>
          <w:rFonts w:ascii="Times New Roman" w:hAnsi="Times New Roman"/>
          <w:color w:val="000000"/>
          <w:sz w:val="20"/>
        </w:rPr>
        <w:t>” means the Securities Act of 1933, as amended.</w:t>
      </w:r>
    </w:p>
    <w:p>
      <w:pPr>
        <w:pStyle w:val="TextBody"/>
        <w:bidi w:val="0"/>
        <w:spacing w:before="0" w:after="240"/>
        <w:jc w:val="both"/>
        <w:rPr/>
      </w:pPr>
      <w:r>
        <w:rPr>
          <w:color w:val="000000"/>
        </w:rPr>
        <w:t>“</w:t>
      </w:r>
      <w:r>
        <w:rPr>
          <w:rFonts w:ascii="Times New Roman" w:hAnsi="Times New Roman"/>
          <w:b/>
          <w:i/>
          <w:color w:val="000000"/>
          <w:sz w:val="20"/>
        </w:rPr>
        <w:t>Securityholder</w:t>
      </w:r>
      <w:r>
        <w:rPr>
          <w:rFonts w:ascii="Times New Roman" w:hAnsi="Times New Roman"/>
          <w:color w:val="000000"/>
          <w:sz w:val="20"/>
        </w:rPr>
        <w:t>”, “</w:t>
      </w:r>
      <w:r>
        <w:rPr>
          <w:rFonts w:ascii="Times New Roman" w:hAnsi="Times New Roman"/>
          <w:b/>
          <w:i/>
          <w:color w:val="000000"/>
          <w:sz w:val="20"/>
        </w:rPr>
        <w:t>holder of Securities</w:t>
      </w:r>
      <w:r>
        <w:rPr>
          <w:rFonts w:ascii="Times New Roman" w:hAnsi="Times New Roman"/>
          <w:color w:val="000000"/>
          <w:sz w:val="20"/>
        </w:rPr>
        <w:t>”, “</w:t>
      </w:r>
      <w:r>
        <w:rPr>
          <w:rFonts w:ascii="Times New Roman" w:hAnsi="Times New Roman"/>
          <w:b/>
          <w:i/>
          <w:color w:val="000000"/>
          <w:sz w:val="20"/>
        </w:rPr>
        <w:t>registered holder</w:t>
      </w:r>
      <w:r>
        <w:rPr>
          <w:rFonts w:ascii="Times New Roman" w:hAnsi="Times New Roman"/>
          <w:color w:val="000000"/>
          <w:sz w:val="20"/>
        </w:rPr>
        <w:t>”, or other similar term, means the Person or Persons in whose name or names a particular Security is registered on the Security Register kept for that purpose in accordance with the terms of this Indenture.</w:t>
      </w:r>
    </w:p>
    <w:p>
      <w:pPr>
        <w:pStyle w:val="TextBody"/>
        <w:bidi w:val="0"/>
        <w:spacing w:before="0" w:after="240"/>
        <w:jc w:val="both"/>
        <w:rPr/>
      </w:pPr>
      <w:r>
        <w:rPr>
          <w:color w:val="000000"/>
        </w:rPr>
        <w:t>“</w:t>
      </w:r>
      <w:r>
        <w:rPr>
          <w:rFonts w:ascii="Times New Roman" w:hAnsi="Times New Roman"/>
          <w:b/>
          <w:i/>
          <w:color w:val="000000"/>
          <w:sz w:val="20"/>
        </w:rPr>
        <w:t>Security Register</w:t>
      </w:r>
      <w:r>
        <w:rPr>
          <w:rFonts w:ascii="Times New Roman" w:hAnsi="Times New Roman"/>
          <w:color w:val="000000"/>
          <w:sz w:val="20"/>
        </w:rPr>
        <w:t>” and “</w:t>
      </w:r>
      <w:r>
        <w:rPr>
          <w:rFonts w:ascii="Times New Roman" w:hAnsi="Times New Roman"/>
          <w:b/>
          <w:i/>
          <w:color w:val="000000"/>
          <w:sz w:val="20"/>
        </w:rPr>
        <w:t>Security Registrar</w:t>
      </w:r>
      <w:r>
        <w:rPr>
          <w:rFonts w:ascii="Times New Roman" w:hAnsi="Times New Roman"/>
          <w:color w:val="000000"/>
          <w:sz w:val="20"/>
        </w:rPr>
        <w:t>” shall have the meanings as set forth in Section 2.05.</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0"/>
        </w:rPr>
        <w:t>Subsidiary</w:t>
      </w:r>
      <w:r>
        <w:rPr>
          <w:rFonts w:ascii="Times New Roman" w:hAnsi="Times New Roman"/>
          <w:color w:val="000000"/>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240"/>
        <w:jc w:val="both"/>
        <w:rPr/>
      </w:pPr>
      <w:r>
        <w:rPr>
          <w:color w:val="000000"/>
        </w:rPr>
        <w:t>“</w:t>
      </w:r>
      <w:r>
        <w:rPr>
          <w:rFonts w:ascii="Times New Roman" w:hAnsi="Times New Roman"/>
          <w:b/>
          <w:i/>
          <w:color w:val="000000"/>
          <w:sz w:val="20"/>
        </w:rPr>
        <w:t>Trustee</w:t>
      </w:r>
      <w:r>
        <w:rPr>
          <w:rFonts w:ascii="Times New Roman" w:hAnsi="Times New Roman"/>
          <w:color w:val="000000"/>
          <w:sz w:val="20"/>
        </w:rPr>
        <w:t>” means [_________________________],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before="0" w:after="240"/>
        <w:jc w:val="both"/>
        <w:rPr/>
      </w:pPr>
      <w:r>
        <w:rPr>
          <w:color w:val="000000"/>
        </w:rPr>
        <w:t>“</w:t>
      </w:r>
      <w:r>
        <w:rPr>
          <w:rFonts w:ascii="Times New Roman" w:hAnsi="Times New Roman"/>
          <w:b/>
          <w:i/>
          <w:color w:val="000000"/>
          <w:sz w:val="20"/>
        </w:rPr>
        <w:t>Trust Indenture Act</w:t>
      </w:r>
      <w:r>
        <w:rPr>
          <w:rFonts w:ascii="Times New Roman" w:hAnsi="Times New Roman"/>
          <w:color w:val="000000"/>
          <w:sz w:val="20"/>
        </w:rPr>
        <w:t>” means the Trust Indenture Act of 1939, as amended.</w:t>
      </w:r>
    </w:p>
    <w:p>
      <w:pPr>
        <w:pStyle w:val="TextBody"/>
        <w:bidi w:val="0"/>
        <w:spacing w:before="0" w:after="240"/>
        <w:jc w:val="both"/>
        <w:rPr/>
      </w:pPr>
      <w:r>
        <w:rPr>
          <w:color w:val="000000"/>
        </w:rPr>
        <w:t>“</w:t>
      </w:r>
      <w:r>
        <w:rPr>
          <w:rFonts w:ascii="Times New Roman" w:hAnsi="Times New Roman"/>
          <w:b/>
          <w:i/>
          <w:color w:val="000000"/>
          <w:sz w:val="20"/>
        </w:rPr>
        <w:t>U.S.A. Patriot Act</w:t>
      </w:r>
      <w:r>
        <w:rPr>
          <w:rFonts w:ascii="Times New Roman" w:hAnsi="Times New Roman"/>
          <w:color w:val="000000"/>
          <w:sz w:val="20"/>
        </w:rPr>
        <w:t xml:space="preserve">” means the Uniting and Strengthening America by Providing Appropriate Tools Required to Intercept and Obstruct Terrorism Act of 2001, Pub. L. 107-56, as amended and signed into law October 26, 2001. </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2</w:t>
      </w:r>
      <w:r>
        <w:rPr>
          <w:rFonts w:ascii="Times New Roman" w:hAnsi="Times New Roman"/>
          <w:color w:val="000000"/>
          <w:sz w:val="20"/>
        </w:rPr>
        <w:br/>
        <w:br/>
      </w:r>
      <w:r>
        <w:rPr>
          <w:rFonts w:ascii="Times New Roman" w:hAnsi="Times New Roman"/>
          <w:b/>
          <w:color w:val="000000"/>
          <w:sz w:val="20"/>
        </w:rPr>
        <w:t>ISSUE, DESCRIPTION, TERMS, EXECUTION, REGISTRATION AND EXCHANGE OF SECURITIES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2.01 Designation and Terms of Securities.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 </w:t>
      </w:r>
      <w:r>
        <w:rPr>
          <w:rFonts w:ascii="Times New Roman" w:hAnsi="Times New Roman"/>
          <w:color w:val="000000"/>
          <w:sz w:val="20"/>
        </w:rPr>
        <w:t xml:space="preserve">the title of the Securities of the series (which shall distinguish the Securities of that series from all other Securities);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(2) </w:t>
      </w:r>
      <w:r>
        <w:rPr>
          <w:rFonts w:ascii="Times New Roman" w:hAnsi="Times New Roman"/>
          <w:color w:val="000000"/>
          <w:sz w:val="20"/>
        </w:rPr>
        <w:t xml:space="preserve">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(3) </w:t>
      </w:r>
      <w:r>
        <w:rPr>
          <w:rFonts w:ascii="Times New Roman" w:hAnsi="Times New Roman"/>
          <w:color w:val="000000"/>
          <w:sz w:val="20"/>
        </w:rPr>
        <w:t xml:space="preserve">the maturity date or dates on which the principal of the Securities of the series is payable;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(4) </w:t>
      </w:r>
      <w:r>
        <w:rPr>
          <w:rFonts w:ascii="Times New Roman" w:hAnsi="Times New Roman"/>
          <w:color w:val="000000"/>
          <w:sz w:val="20"/>
        </w:rPr>
        <w:t xml:space="preserve">the form of the Securities of the series including the form of the certificate of authentication for such series;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(5) </w:t>
      </w:r>
      <w:r>
        <w:rPr>
          <w:rFonts w:ascii="Times New Roman" w:hAnsi="Times New Roman"/>
          <w:color w:val="000000"/>
          <w:sz w:val="20"/>
        </w:rPr>
        <w:t>the applicability of any guarantees;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(6) </w:t>
      </w:r>
      <w:r>
        <w:rPr>
          <w:rFonts w:ascii="Times New Roman" w:hAnsi="Times New Roman"/>
          <w:color w:val="000000"/>
          <w:sz w:val="20"/>
        </w:rPr>
        <w:t>whether or not the Securities will be secured or unsecured, and the terms of any secured debt;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(7) </w:t>
      </w:r>
      <w:r>
        <w:rPr>
          <w:rFonts w:ascii="Times New Roman" w:hAnsi="Times New Roman"/>
          <w:color w:val="000000"/>
          <w:sz w:val="20"/>
        </w:rPr>
        <w:t>whether the Securities rank as senior debt, senior subordinated debt, subordinated debt or any combination thereof, and the terms of any subordination;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(8) </w:t>
      </w:r>
      <w:r>
        <w:rPr>
          <w:rFonts w:ascii="Times New Roman" w:hAnsi="Times New Roman"/>
          <w:color w:val="000000"/>
          <w:sz w:val="20"/>
        </w:rPr>
        <w:t xml:space="preserve">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principal amount of such Securities that is convertible into another security or the method by which any such portion shall be determined;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(9) </w:t>
      </w:r>
      <w:r>
        <w:rPr>
          <w:rFonts w:ascii="Times New Roman" w:hAnsi="Times New Roman"/>
          <w:color w:val="000000"/>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(10) </w:t>
      </w:r>
      <w:r>
        <w:rPr>
          <w:rFonts w:ascii="Times New Roman" w:hAnsi="Times New Roman"/>
          <w:color w:val="000000"/>
          <w:sz w:val="20"/>
        </w:rPr>
        <w:t xml:space="preserve">the Company’s right, if any, to defer the payment of interest and the maximum length of any such deferral period;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(11) </w:t>
      </w:r>
      <w:r>
        <w:rPr>
          <w:rFonts w:ascii="Times New Roman" w:hAnsi="Times New Roman"/>
          <w:color w:val="000000"/>
          <w:sz w:val="20"/>
        </w:rPr>
        <w:t xml:space="preserve">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(12) </w:t>
      </w:r>
      <w:r>
        <w:rPr>
          <w:rFonts w:ascii="Times New Roman" w:hAnsi="Times New Roman"/>
          <w:color w:val="000000"/>
          <w:sz w:val="20"/>
        </w:rPr>
        <w:t xml:space="preserve">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(13) </w:t>
      </w:r>
      <w:r>
        <w:rPr>
          <w:rFonts w:ascii="Times New Roman" w:hAnsi="Times New Roman"/>
          <w:color w:val="000000"/>
          <w:sz w:val="20"/>
        </w:rPr>
        <w:t xml:space="preserve">the denominations in which the Securities of the series shall be issuable, if other than denominations of one thousand U.S. dollars ($1,000) or any integral multiple thereof;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(14) </w:t>
      </w:r>
      <w:r>
        <w:rPr>
          <w:rFonts w:ascii="Times New Roman" w:hAnsi="Times New Roman"/>
          <w:color w:val="000000"/>
          <w:sz w:val="20"/>
        </w:rPr>
        <w:t xml:space="preserve">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(15) </w:t>
      </w:r>
      <w:r>
        <w:rPr>
          <w:rFonts w:ascii="Times New Roman" w:hAnsi="Times New Roman"/>
          <w:color w:val="000000"/>
          <w:sz w:val="20"/>
        </w:rPr>
        <w:t xml:space="preserve">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(16) </w:t>
      </w:r>
      <w:r>
        <w:rPr>
          <w:rFonts w:ascii="Times New Roman" w:hAnsi="Times New Roman"/>
          <w:color w:val="000000"/>
          <w:sz w:val="20"/>
        </w:rPr>
        <w:t xml:space="preserve">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(17) </w:t>
      </w:r>
      <w:r>
        <w:rPr>
          <w:rFonts w:ascii="Times New Roman" w:hAnsi="Times New Roman"/>
          <w:color w:val="000000"/>
          <w:sz w:val="20"/>
        </w:rPr>
        <w:t xml:space="preserve">if other than the full principal amount thereof, the portion of the principal amount of Securities of the series which shall be payable upon declaration of acceleration of the maturity thereof pursuant to Section 6.01;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(18) </w:t>
      </w:r>
      <w:r>
        <w:rPr>
          <w:rFonts w:ascii="Times New Roman" w:hAnsi="Times New Roman"/>
          <w:color w:val="000000"/>
          <w:sz w:val="20"/>
        </w:rPr>
        <w:t>additions to or changes in the covenants applicable to the series of Securities being issued, including, among others, the consolidation, merger or sale covenant;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(19) </w:t>
      </w:r>
      <w:r>
        <w:rPr>
          <w:rFonts w:ascii="Times New Roman" w:hAnsi="Times New Roman"/>
          <w:color w:val="000000"/>
          <w:sz w:val="20"/>
        </w:rPr>
        <w:t xml:space="preserve">additions to or changes in the Events of Default with respect to the Securities and any change in the right of the Trustee or the Securityholders to declare the principal, premium, if any, and interest, if any, with respect to such Securities to be due and payable;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(20) </w:t>
      </w:r>
      <w:r>
        <w:rPr>
          <w:rFonts w:ascii="Times New Roman" w:hAnsi="Times New Roman"/>
          <w:color w:val="000000"/>
          <w:sz w:val="20"/>
        </w:rPr>
        <w:t xml:space="preserve">additions to or changes in or deletions of the provisions relating to covenant defeasance and legal defeasance;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(21) </w:t>
      </w:r>
      <w:r>
        <w:rPr>
          <w:rFonts w:ascii="Times New Roman" w:hAnsi="Times New Roman"/>
          <w:color w:val="000000"/>
          <w:sz w:val="20"/>
        </w:rPr>
        <w:t xml:space="preserve">additions to or changes in the provisions relating to satisfaction and discharge of this Indenture;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(22) </w:t>
      </w:r>
      <w:r>
        <w:rPr>
          <w:rFonts w:ascii="Times New Roman" w:hAnsi="Times New Roman"/>
          <w:color w:val="000000"/>
          <w:sz w:val="20"/>
        </w:rPr>
        <w:t>additions to or changes in the provisions relating to the modification of this Indenture both with and without the consent of Securityholders of Securities issued under this Indenture;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(23) </w:t>
      </w:r>
      <w:r>
        <w:rPr>
          <w:rFonts w:ascii="Times New Roman" w:hAnsi="Times New Roman"/>
          <w:color w:val="000000"/>
          <w:sz w:val="20"/>
        </w:rPr>
        <w:t>the currency of payment of Securities if other than U.S. dollars and the manner of determining the equivalent amount in U.S. dollars;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(24) </w:t>
      </w:r>
      <w:r>
        <w:rPr>
          <w:rFonts w:ascii="Times New Roman" w:hAnsi="Times New Roman"/>
          <w:color w:val="000000"/>
          <w:sz w:val="20"/>
        </w:rPr>
        <w:t>whether interest will be payable in cash or additional Securities at the Company’s or the Securityholders’ option and the terms and conditions upon which the election may be made;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(25) </w:t>
      </w:r>
      <w:r>
        <w:rPr>
          <w:rFonts w:ascii="Times New Roman" w:hAnsi="Times New Roman"/>
          <w:color w:val="000000"/>
          <w:sz w:val="20"/>
        </w:rPr>
        <w:t xml:space="preserve">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(26) </w:t>
      </w:r>
      <w:r>
        <w:rPr>
          <w:rFonts w:ascii="Times New Roman" w:hAnsi="Times New Roman"/>
          <w:color w:val="000000"/>
          <w:sz w:val="20"/>
        </w:rPr>
        <w:t>any restrictions on transfer, sale or assignment of the Securities of the series; and</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(27) </w:t>
      </w:r>
      <w:r>
        <w:rPr>
          <w:rFonts w:ascii="Times New Roman" w:hAnsi="Times New Roman"/>
          <w:color w:val="000000"/>
          <w:sz w:val="20"/>
        </w:rPr>
        <w:t>any other specific terms, preferences, rights or limitations of, or restrictions on, the Securities, any other additions or changes in the provisions of this Indenture, and any terms that may be required by us or advisable under applicable laws or regulations.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Securities of any one series shall be substantially identical except as may otherwise be provided in or pursuant to any such Board Resolution or in any indentures supplemental 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of the terms of the series are established by action taken pursuant to a Board Resolution of the Company, a copy of an appropriate record of such action shall be certified by an Officer of the Company and delivered to the Trustee at or prior to the delivery of the Officer’s Certificate of the Company setting forth the terms of the series.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2.02 Form of Securities and Trustee’s Certificate.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2.03 Denominations: Provisions for Payment.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Securities shall be issuable as registered Securities and in the denominations of one thousand U.S. dollars ($1,000) or any integral multiple thereof, subject to Section 2.01(a) (13). The Securities of a particular series shall bear interest payable on the dates and at the rate specified with respect to that series. Subject to Section 2.01(a) (23),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interest installment on any Security that is payable, and is punctually paid or duly provided for, on any Interest Payment Date for Securities of that series shall be paid to the Person in whose name said Security (or one or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240"/>
        <w:jc w:val="both"/>
        <w:rPr>
          <w:rFonts w:ascii="Times New Roman" w:hAnsi="Times New Roman"/>
          <w:sz w:val="20"/>
        </w:rPr>
      </w:pPr>
      <w:r>
        <w:rPr>
          <w:rFonts w:ascii="Times New Roman" w:hAnsi="Times New Roman"/>
          <w:color w:val="000000"/>
          <w:sz w:val="20"/>
        </w:rPr>
        <w:t>Any interest on any Security that is payable, but is not punctually paid or duly provided for, on any Interest Payment Date for Securities of the same series (herein called “</w:t>
      </w:r>
      <w:r>
        <w:rPr>
          <w:rFonts w:ascii="Times New Roman" w:hAnsi="Times New Roman"/>
          <w:b/>
          <w:i/>
          <w:color w:val="000000"/>
          <w:sz w:val="20"/>
        </w:rPr>
        <w:t>Defaulted Interest</w:t>
      </w:r>
      <w:r>
        <w:rPr>
          <w:rFonts w:ascii="Times New Roman" w:hAnsi="Times New Roman"/>
          <w:color w:val="000000"/>
          <w:sz w:val="20"/>
        </w:rPr>
        <w:t xml:space="preserve">”)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 </w:t>
      </w:r>
      <w:r>
        <w:rPr>
          <w:rFonts w:ascii="Times New Roman" w:hAnsi="Times New Roman"/>
          <w:color w:val="000000"/>
          <w:sz w:val="20"/>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(2) </w:t>
      </w:r>
      <w:r>
        <w:rPr>
          <w:rFonts w:ascii="Times New Roman" w:hAnsi="Times New Roman"/>
          <w:color w:val="000000"/>
          <w:sz w:val="20"/>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2.04 Execution and Authentications.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Securities shall be signed on behalf of the Company by one of its Officers. Signatures may be in the form of a manual or facsimile signature.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2.05 Registration of Transfer and Exchange.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The Company shall keep, or cause to be kept, at its office or agency designated for such purpose a register or registers (herein referred to as the “</w:t>
      </w:r>
      <w:r>
        <w:rPr>
          <w:rFonts w:ascii="Times New Roman" w:hAnsi="Times New Roman"/>
          <w:b/>
          <w:i/>
          <w:color w:val="000000"/>
          <w:sz w:val="20"/>
        </w:rPr>
        <w:t>Security Register</w:t>
      </w:r>
      <w:r>
        <w:rPr>
          <w:rFonts w:ascii="Times New Roman" w:hAnsi="Times New Roman"/>
          <w:color w:val="000000"/>
          <w:sz w:val="20"/>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Times New Roman" w:hAnsi="Times New Roman"/>
          <w:b/>
          <w:i/>
          <w:color w:val="000000"/>
          <w:sz w:val="20"/>
        </w:rPr>
        <w:t>Security Registrar</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(d) </w:t>
      </w:r>
      <w:r>
        <w:rPr>
          <w:rFonts w:ascii="Times New Roman" w:hAnsi="Times New Roman"/>
          <w:color w:val="000000"/>
          <w:sz w:val="20"/>
        </w:rPr>
        <w:t xml:space="preserve">The Company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2.06 Temporary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2.07 Mutilated, Destroyed, Lost or Stolen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2.08 Cancellation.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2.09 Benefits of Indenture.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2.10 Authenticating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2.11 Global Securities.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Security may be transferred, in whole but not in part, only to another nominee of the Depositary or to a successor Depositary or to a nominee of such successor Depositary.”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2.12 CUSIP Numbers.</w:t>
      </w:r>
    </w:p>
    <w:p>
      <w:pPr>
        <w:pStyle w:val="TextBody"/>
        <w:bidi w:val="0"/>
        <w:spacing w:before="0" w:after="240"/>
        <w:jc w:val="both"/>
        <w:rPr>
          <w:rFonts w:ascii="Times New Roman" w:hAnsi="Times New Roman"/>
          <w:sz w:val="20"/>
        </w:rPr>
      </w:pPr>
      <w:r>
        <w:rPr>
          <w:rFonts w:ascii="Times New Roman" w:hAnsi="Times New Roman"/>
          <w:color w:val="000000"/>
          <w:sz w:val="20"/>
        </w:rPr>
        <w:t>The Company in issuing the Securities may use “</w:t>
      </w:r>
      <w:r>
        <w:rPr>
          <w:rFonts w:ascii="Times New Roman" w:hAnsi="Times New Roman"/>
          <w:b/>
          <w:i/>
          <w:color w:val="000000"/>
          <w:sz w:val="20"/>
        </w:rPr>
        <w:t>CUSIP</w:t>
      </w:r>
      <w:r>
        <w:rPr>
          <w:rFonts w:ascii="Times New Roman" w:hAnsi="Times New Roman"/>
          <w:color w:val="000000"/>
          <w:sz w:val="20"/>
        </w:rPr>
        <w:t>” numbers (if then generally in use), and, if so, the Trustee shall use “</w:t>
      </w:r>
      <w:r>
        <w:rPr>
          <w:rFonts w:ascii="Times New Roman" w:hAnsi="Times New Roman"/>
          <w:b/>
          <w:i/>
          <w:color w:val="000000"/>
          <w:sz w:val="20"/>
        </w:rPr>
        <w:t>CUSIP</w:t>
      </w:r>
      <w:r>
        <w:rPr>
          <w:rFonts w:ascii="Times New Roman" w:hAnsi="Times New Roman"/>
          <w:color w:val="000000"/>
          <w:sz w:val="20"/>
        </w:rPr>
        <w:t>”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w:t>
      </w:r>
      <w:r>
        <w:rPr>
          <w:rFonts w:ascii="Times New Roman" w:hAnsi="Times New Roman"/>
          <w:b/>
          <w:i/>
          <w:color w:val="000000"/>
          <w:sz w:val="20"/>
        </w:rPr>
        <w:t>CUSIP</w:t>
      </w:r>
      <w:r>
        <w:rPr>
          <w:rFonts w:ascii="Times New Roman" w:hAnsi="Times New Roman"/>
          <w:color w:val="000000"/>
          <w:sz w:val="20"/>
        </w:rPr>
        <w:t>” numbers.</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3</w:t>
      </w:r>
      <w:r>
        <w:rPr>
          <w:rFonts w:ascii="Times New Roman" w:hAnsi="Times New Roman"/>
          <w:color w:val="000000"/>
          <w:sz w:val="20"/>
        </w:rPr>
        <w:br/>
        <w:br/>
      </w:r>
      <w:r>
        <w:rPr>
          <w:rFonts w:ascii="Times New Roman" w:hAnsi="Times New Roman"/>
          <w:b/>
          <w:color w:val="000000"/>
          <w:sz w:val="20"/>
        </w:rPr>
        <w:t>REDEMPTION OF SECURITIES AND SINKING FUND PROVISIONS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3.01 Redemption.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redeem the Securities of any series issued hereunder on and after the dates and in accordance with the terms established for such series pursuant to Section 2.01 hereof.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3.02 Notice of Redemption.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3.03 Payment Upon Redemption.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 xml:space="preserve">Upon presentation of any Security of such series that is to be redeemed in part only, the Company shall execute and the Trustee shall authenticate and the office or agency where the Security is presented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shall deliver to the Securityholder thereof, at the expense of the Company, a new Security of the same series of authorized denominations in principal amount equal to the unredeemed portion of the Security so presented.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3.04 Sinking Fund.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provisions of Sections 3.04, 3.05 and 3.06 shall be applicable to any sinking fund for the retirement of Securities of a series, except as otherwise specified as contemplated by Section 2.01 for Securities of such series.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3.05 Satisfaction of Sinking Fund Payments with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3.06 Redemption of Securities for Sinking Fund.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4</w:t>
      </w:r>
      <w:r>
        <w:rPr>
          <w:rFonts w:ascii="Times New Roman" w:hAnsi="Times New Roman"/>
          <w:color w:val="000000"/>
          <w:sz w:val="20"/>
        </w:rPr>
        <w:br/>
        <w:br/>
      </w:r>
      <w:r>
        <w:rPr>
          <w:rFonts w:ascii="Times New Roman" w:hAnsi="Times New Roman"/>
          <w:b/>
          <w:color w:val="000000"/>
          <w:sz w:val="20"/>
        </w:rPr>
        <w:t>COVENANTS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4.01 Payment of Principal, Premium and Interest.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such Securityholder shall have furnished wire instructions in writing to the Security Registrar and the Trustee no later than 15 days prior to the relevant payment date.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4.02 Maintenance of Office or Agency.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4.03 Paying Agents.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 </w:t>
      </w:r>
      <w:r>
        <w:rPr>
          <w:rFonts w:ascii="Times New Roman" w:hAnsi="Times New Roman"/>
          <w:color w:val="000000"/>
          <w:sz w:val="20"/>
        </w:rPr>
        <w:t xml:space="preserve">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(2) </w:t>
      </w:r>
      <w:r>
        <w:rPr>
          <w:rFonts w:ascii="Times New Roman" w:hAnsi="Times New Roman"/>
          <w:color w:val="000000"/>
          <w:sz w:val="20"/>
        </w:rPr>
        <w:t xml:space="preserve">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(3) </w:t>
      </w:r>
      <w:r>
        <w:rPr>
          <w:rFonts w:ascii="Times New Roman" w:hAnsi="Times New Roman"/>
          <w:color w:val="000000"/>
          <w:sz w:val="20"/>
        </w:rPr>
        <w:t xml:space="preserve">that it will, at any time during the continuance of any failure referred to in the preceding paragraph (a) (2) above, upon the written request of the Trustee, forthwith pay to the Trustee all sums so held in trust by such paying agent; and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(4) </w:t>
      </w:r>
      <w:r>
        <w:rPr>
          <w:rFonts w:ascii="Times New Roman" w:hAnsi="Times New Roman"/>
          <w:color w:val="000000"/>
          <w:sz w:val="20"/>
        </w:rPr>
        <w:t>that it will perform all other duties of paying agent as set forth in this Indenture.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 xml:space="preserve">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such paying agent; and, upon such payment by the Company or any paying agent to the Trustee, the Company or such paying agent shall be released from all further liability with respect to such money.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4.04 Appointment to Fill Vacancy in Office of Trustee.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whenever necessary to avoid or fill a vacancy in the office of Trustee, will appoint, in the manner provided in Section 7.10, a Trustee, so that there shall at all times be a Trustee hereunder.</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5</w:t>
      </w:r>
      <w:r>
        <w:rPr>
          <w:rFonts w:ascii="Times New Roman" w:hAnsi="Times New Roman"/>
          <w:color w:val="000000"/>
          <w:sz w:val="20"/>
        </w:rPr>
        <w:br/>
        <w:br/>
      </w:r>
      <w:r>
        <w:rPr>
          <w:rFonts w:ascii="Times New Roman" w:hAnsi="Times New Roman"/>
          <w:b/>
          <w:color w:val="000000"/>
          <w:sz w:val="20"/>
        </w:rPr>
        <w:t>SECURITYHOLDERS’ LISTS AND REPORTS BY THE COMPANY AND THE TRUSTEE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5.01 Company to Furnish Trustee Names and Addresses of Securityholders.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5.02 Preservation Of Information; Communications With Securityholders.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The Trustee may destroy any list furnished to it as provided in Section 5.01 upon receipt of a new list so furnished.</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5.03 Reports by the Company.</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5.04 Reports by the Trustee.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If required by Section 313(a) of the Trust Indenture Act, the Trustee, within sixty (60) days after each May 1, shall send to the Securityholders, as their names and addresses appear upon the Security Register, a brief report dated as of such May 1, which complies with Section 313(a) of the Trust Indenture Act.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The Trustee shall comply with Section 313(b) and 313(c) of the Trust Indenture Act.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6</w:t>
      </w:r>
      <w:r>
        <w:rPr>
          <w:rFonts w:ascii="Times New Roman" w:hAnsi="Times New Roman"/>
          <w:color w:val="000000"/>
          <w:sz w:val="20"/>
        </w:rPr>
        <w:br/>
        <w:br/>
      </w:r>
      <w:r>
        <w:rPr>
          <w:rFonts w:ascii="Times New Roman" w:hAnsi="Times New Roman"/>
          <w:b/>
          <w:color w:val="000000"/>
          <w:sz w:val="20"/>
        </w:rPr>
        <w:t>REMEDIES OF THE TRUSTEE AND SECURITYHOLDERS ON EVENT OF DEFAULT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6.01 Events of Default.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Whenever used herein with respect to Securities of a particular series, “</w:t>
      </w:r>
      <w:r>
        <w:rPr>
          <w:rFonts w:ascii="Times New Roman" w:hAnsi="Times New Roman"/>
          <w:b/>
          <w:i/>
          <w:color w:val="000000"/>
          <w:sz w:val="20"/>
        </w:rPr>
        <w:t>Event of Default</w:t>
      </w:r>
      <w:r>
        <w:rPr>
          <w:rFonts w:ascii="Times New Roman" w:hAnsi="Times New Roman"/>
          <w:color w:val="000000"/>
          <w:sz w:val="20"/>
        </w:rPr>
        <w:t xml:space="preserve">” means any one or more of the following events that has occurred and is continuing: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 </w:t>
      </w:r>
      <w:r>
        <w:rPr>
          <w:rFonts w:ascii="Times New Roman" w:hAnsi="Times New Roman"/>
          <w:color w:val="000000"/>
          <w:sz w:val="20"/>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(2) </w:t>
      </w:r>
      <w:r>
        <w:rPr>
          <w:rFonts w:ascii="Times New Roman" w:hAnsi="Times New Roman"/>
          <w:color w:val="000000"/>
          <w:sz w:val="20"/>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(3) </w:t>
      </w:r>
      <w:r>
        <w:rPr>
          <w:rFonts w:ascii="Times New Roman" w:hAnsi="Times New Roman"/>
          <w:color w:val="000000"/>
          <w:sz w:val="20"/>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Times New Roman" w:hAnsi="Times New Roman"/>
          <w:b/>
          <w:i/>
          <w:color w:val="000000"/>
          <w:sz w:val="20"/>
        </w:rPr>
        <w:t>Notice of Default</w:t>
      </w:r>
      <w:r>
        <w:rPr>
          <w:rFonts w:ascii="Times New Roman" w:hAnsi="Times New Roman"/>
          <w:color w:val="000000"/>
          <w:sz w:val="20"/>
        </w:rPr>
        <w:t xml:space="preserve">”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(4) </w:t>
      </w:r>
      <w:r>
        <w:rPr>
          <w:rFonts w:ascii="Times New Roman" w:hAnsi="Times New Roman"/>
          <w:color w:val="000000"/>
          <w:sz w:val="20"/>
        </w:rPr>
        <w:t xml:space="preserve">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(5) </w:t>
      </w:r>
      <w:r>
        <w:rPr>
          <w:rFonts w:ascii="Times New Roman" w:hAnsi="Times New Roman"/>
          <w:color w:val="000000"/>
          <w:sz w:val="20"/>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such rescission and annulment shall extend to or shall affect any subsequent default or impair any right consequent thereon.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(d) </w:t>
      </w:r>
      <w:r>
        <w:rPr>
          <w:rFonts w:ascii="Times New Roman" w:hAnsi="Times New Roman"/>
          <w:color w:val="000000"/>
          <w:sz w:val="20"/>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6.02 Collection of Indebtedness and Suits for Enforcement by Trustee.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expressed in the Securities of that series; and, in addition thereto, such further amount as shall be sufficient to cover the costs and expenses of collection, and the amount payable to the Trustee under Section 7.06.</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(d) </w:t>
      </w:r>
      <w:r>
        <w:rPr>
          <w:rFonts w:ascii="Times New Roman" w:hAnsi="Times New Roman"/>
          <w:color w:val="000000"/>
          <w:sz w:val="20"/>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6.03 Application of Moneys Collected.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FIRST: To the payment of costs and expenses of collection and of all amounts payable to the Trustee under Section 7.06;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SECOND: To the payment of the amounts then due and unpaid upon Securities of such series for principal (and premium, if any) and interest, in respect of which or for the benefit of which such money has been collected,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ratably, without preference or priority of any kind, according to the amounts due and payable on such Securities for principal (and premium, if any) and interest, respectively;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THIRD: To the payment of the remainder, if any, to the Company or any other Person lawfully entitled thereto.</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6.04 Limitation on Suits.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6.05 Rights and Remedies Cumulative; Delay or Omission Not Waiver.</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6.06 Control by Securityholders.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6.07 Undertaking to Pay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7</w:t>
      </w:r>
      <w:r>
        <w:rPr>
          <w:rFonts w:ascii="Times New Roman" w:hAnsi="Times New Roman"/>
          <w:color w:val="000000"/>
          <w:sz w:val="20"/>
        </w:rPr>
        <w:br/>
        <w:br/>
      </w:r>
      <w:r>
        <w:rPr>
          <w:rFonts w:ascii="Times New Roman" w:hAnsi="Times New Roman"/>
          <w:b/>
          <w:color w:val="000000"/>
          <w:sz w:val="20"/>
        </w:rPr>
        <w:t>CONCERNING THE TRUSTEE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7.01 Certain Duties and Responsibilities of Trustee.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 xml:space="preserve">No provision of this Indenture shall be construed to relieve the Trustee from liability for its own negligent action, its own negligent failure to act, or its own willful misconduct, except that: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 </w:t>
      </w:r>
      <w:r>
        <w:rPr>
          <w:rFonts w:ascii="Times New Roman" w:hAnsi="Times New Roman"/>
          <w:color w:val="000000"/>
          <w:sz w:val="20"/>
        </w:rPr>
        <w:t xml:space="preserve">prior to the occurrence of an Event of Default with respect to the Securities of a series and after the curing or waiving of all such Events of Default with respect to that series that may have occurred: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specifically set forth in this Indenture, and no implied covenants or obligations shall be read into this Indenture against the Trustee; and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 xml:space="preserve">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(ii) </w:t>
      </w:r>
      <w:r>
        <w:rPr>
          <w:rFonts w:ascii="Times New Roman" w:hAnsi="Times New Roman"/>
          <w:color w:val="000000"/>
          <w:sz w:val="20"/>
        </w:rPr>
        <w:t xml:space="preserve">the Trustee shall not be liable to any Securityholder or to any other Person for any error of judgment made in good faith by a Responsible Officer or Responsible Officers of the Trustee, unless it shall be proved that the Trustee was negligent in ascertaining the pertinent facts;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(iii) </w:t>
      </w:r>
      <w:r>
        <w:rPr>
          <w:rFonts w:ascii="Times New Roman" w:hAnsi="Times New Roman"/>
          <w:color w:val="000000"/>
          <w:sz w:val="20"/>
        </w:rPr>
        <w:t xml:space="preserve">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(iv) </w:t>
      </w:r>
      <w:r>
        <w:rPr>
          <w:rFonts w:ascii="Times New Roman" w:hAnsi="Times New Roman"/>
          <w:color w:val="000000"/>
          <w:sz w:val="20"/>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(v) </w:t>
      </w:r>
      <w:r>
        <w:rPr>
          <w:rFonts w:ascii="Times New Roman" w:hAnsi="Times New Roman"/>
          <w:color w:val="000000"/>
          <w:sz w:val="20"/>
        </w:rPr>
        <w:t>The Trustee shall not be required to give any bond or surety in respect of the performance of its powers or duties hereunder;</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(vi) </w:t>
      </w:r>
      <w:r>
        <w:rPr>
          <w:rFonts w:ascii="Times New Roman" w:hAnsi="Times New Roman"/>
          <w:color w:val="000000"/>
          <w:sz w:val="20"/>
        </w:rPr>
        <w:t>The permissive right of the Trustee to do things enumerated in this Indenture shall not be construed as a duty of the Trustee; and</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(vii) </w:t>
      </w:r>
      <w:r>
        <w:rPr>
          <w:rFonts w:ascii="Times New Roman" w:hAnsi="Times New Roman"/>
          <w:color w:val="000000"/>
          <w:sz w:val="20"/>
        </w:rPr>
        <w:t>No Trustee shall have any duty or responsibility for any act or omission of any other Trustee appointed with respect to a series of Securities hereunder.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7.02 Certain Rights of Trustee.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Except as otherwise provided in Section 7.01: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 xml:space="preserve">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 xml:space="preserve">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(d) </w:t>
      </w:r>
      <w:r>
        <w:rPr>
          <w:rFonts w:ascii="Times New Roman" w:hAnsi="Times New Roman"/>
          <w:color w:val="000000"/>
          <w:sz w:val="20"/>
        </w:rPr>
        <w:t xml:space="preserve">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(e) </w:t>
      </w:r>
      <w:r>
        <w:rPr>
          <w:rFonts w:ascii="Times New Roman" w:hAnsi="Times New Roman"/>
          <w:color w:val="000000"/>
          <w:sz w:val="20"/>
        </w:rPr>
        <w:t xml:space="preserve">The Trustee shall not be liable for any action taken or omitted to be taken by it in good faith and believed by it to be authorized or within the discretion or rights or powers conferred upon it by this Indenture;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(f) </w:t>
      </w:r>
      <w:r>
        <w:rPr>
          <w:rFonts w:ascii="Times New Roman" w:hAnsi="Times New Roman"/>
          <w:color w:val="000000"/>
          <w:sz w:val="20"/>
        </w:rPr>
        <w:t xml:space="preserve">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(g) </w:t>
      </w:r>
      <w:r>
        <w:rPr>
          <w:rFonts w:ascii="Times New Roman" w:hAnsi="Times New Roman"/>
          <w:color w:val="000000"/>
          <w:sz w:val="20"/>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(h) </w:t>
      </w:r>
      <w:r>
        <w:rPr>
          <w:rFonts w:ascii="Times New Roman" w:hAnsi="Times New Roman"/>
          <w:color w:val="000000"/>
          <w:sz w:val="20"/>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 </w:t>
      </w:r>
      <w:r>
        <w:rPr>
          <w:rFonts w:ascii="Times New Roman" w:hAnsi="Times New Roman"/>
          <w:color w:val="000000"/>
          <w:sz w:val="20"/>
        </w:rPr>
        <w:t xml:space="preserve">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(j) </w:t>
      </w:r>
      <w:r>
        <w:rPr>
          <w:rFonts w:ascii="Times New Roman" w:hAnsi="Times New Roman"/>
          <w:color w:val="000000"/>
          <w:sz w:val="20"/>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(k) </w:t>
      </w:r>
      <w:r>
        <w:rPr>
          <w:rFonts w:ascii="Times New Roman" w:hAnsi="Times New Roman"/>
          <w:color w:val="000000"/>
          <w:sz w:val="20"/>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(l) </w:t>
      </w:r>
      <w:r>
        <w:rPr>
          <w:rFonts w:ascii="Times New Roman" w:hAnsi="Times New Roman"/>
          <w:color w:val="000000"/>
          <w:sz w:val="20"/>
        </w:rPr>
        <w:t xml:space="preserve">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7.03 Trustee Not Responsible for Recitals or Issuance or Securities.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 xml:space="preserve">The Trustee makes no representations as to the validity or sufficiency of this Indenture or of the Securities.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7.04 May Hold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7.05 Moneys Held in Trust.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7.06 Compensation and Reimbursement.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The Company need not reimburse any expense or indemnify against any loss or liability incurred by the Trustee or by any officer, director, employee, shareholder or agent of the Trustee through negligence or bad faith.</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(d) </w:t>
      </w:r>
      <w:r>
        <w:rPr>
          <w:rFonts w:ascii="Times New Roman" w:hAnsi="Times New Roman"/>
          <w:color w:val="000000"/>
          <w:sz w:val="20"/>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7.07 Reliance on Officer’s Certificate.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7.08 Disqualification; Conflicting Interests.</w:t>
      </w:r>
    </w:p>
    <w:p>
      <w:pPr>
        <w:pStyle w:val="TextBody"/>
        <w:bidi w:val="0"/>
        <w:spacing w:before="0" w:after="240"/>
        <w:jc w:val="both"/>
        <w:rPr>
          <w:rFonts w:ascii="Times New Roman" w:hAnsi="Times New Roman"/>
          <w:sz w:val="20"/>
        </w:rPr>
      </w:pPr>
      <w:r>
        <w:rPr>
          <w:rFonts w:ascii="Times New Roman" w:hAnsi="Times New Roman"/>
          <w:color w:val="000000"/>
          <w:sz w:val="20"/>
        </w:rPr>
        <w:t>If the Trustee has or shall acquire any “</w:t>
      </w:r>
      <w:r>
        <w:rPr>
          <w:rFonts w:ascii="Times New Roman" w:hAnsi="Times New Roman"/>
          <w:b/>
          <w:i/>
          <w:color w:val="000000"/>
          <w:sz w:val="20"/>
        </w:rPr>
        <w:t>conflicting interest</w:t>
      </w:r>
      <w:r>
        <w:rPr>
          <w:rFonts w:ascii="Times New Roman" w:hAnsi="Times New Roman"/>
          <w:color w:val="000000"/>
          <w:sz w:val="20"/>
        </w:rPr>
        <w:t>” within the meaning of Section 310(b) of the Trust Indenture Act, the Trustee and the Company shall in all respects comply with the provisions of Section 310(b) of the Trust Indenture Act.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7.09 Corporate Trustee Required; Eligibility.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7.10 Resignation and Removal; Appointment of Successor.</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 xml:space="preserve">In case at any time any one of the following shall occur: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 </w:t>
      </w:r>
      <w:r>
        <w:rPr>
          <w:rFonts w:ascii="Times New Roman" w:hAnsi="Times New Roman"/>
          <w:color w:val="000000"/>
          <w:sz w:val="20"/>
        </w:rPr>
        <w:t xml:space="preserve">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(ii) </w:t>
      </w:r>
      <w:r>
        <w:rPr>
          <w:rFonts w:ascii="Times New Roman" w:hAnsi="Times New Roman"/>
          <w:color w:val="000000"/>
          <w:sz w:val="20"/>
        </w:rPr>
        <w:t xml:space="preserve">the Trustee shall cease to be eligible in accordance with the provisions of Section 7.09 and shall fail to resign after written request therefor by the Company or by any such Securityholder; or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(iii) </w:t>
      </w:r>
      <w:r>
        <w:rPr>
          <w:rFonts w:ascii="Times New Roman" w:hAnsi="Times New Roman"/>
          <w:color w:val="000000"/>
          <w:sz w:val="20"/>
        </w:rPr>
        <w:t xml:space="preserve">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(d) </w:t>
      </w:r>
      <w:r>
        <w:rPr>
          <w:rFonts w:ascii="Times New Roman" w:hAnsi="Times New Roman"/>
          <w:color w:val="000000"/>
          <w:sz w:val="20"/>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(e) </w:t>
      </w:r>
      <w:r>
        <w:rPr>
          <w:rFonts w:ascii="Times New Roman" w:hAnsi="Times New Roman"/>
          <w:color w:val="000000"/>
          <w:sz w:val="20"/>
        </w:rPr>
        <w:t>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7.11 Acceptance of Appointment By Successor.</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 xml:space="preserve">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(d) </w:t>
      </w:r>
      <w:r>
        <w:rPr>
          <w:rFonts w:ascii="Times New Roman" w:hAnsi="Times New Roman"/>
          <w:color w:val="000000"/>
          <w:sz w:val="20"/>
        </w:rPr>
        <w:t>No successor trustee shall accept its appointment unless at the time of such acceptance such successor trustee shall be qualified and eligible under this Article.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(e) </w:t>
      </w:r>
      <w:r>
        <w:rPr>
          <w:rFonts w:ascii="Times New Roman" w:hAnsi="Times New Roman"/>
          <w:color w:val="000000"/>
          <w:sz w:val="20"/>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7.12 Merger, Conversion, Consolidation or Succession to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7.13 Preferential Collection of Claims Against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240"/>
        <w:jc w:val="both"/>
        <w:rPr>
          <w:rFonts w:ascii="Times New Roman" w:hAnsi="Times New Roman"/>
          <w:sz w:val="20"/>
        </w:rPr>
      </w:pPr>
      <w:r>
        <w:rPr>
          <w:rFonts w:ascii="Times New Roman" w:hAnsi="Times New Roman"/>
          <w:b/>
          <w:color w:val="000000"/>
          <w:sz w:val="20"/>
        </w:rPr>
        <w:t>Section 7.14 Notice of Default.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provided, however, that, except in the case of a default in the payment of the principal of (or premium, if any) or interest on any Security, the Trustee shall be protected in withholding such notice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and so long as the Responsible Officers of the Trustee in good faith determine that the withholding of such notice is in the interest of the Securityholders.</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8</w:t>
      </w:r>
      <w:r>
        <w:rPr>
          <w:rFonts w:ascii="Times New Roman" w:hAnsi="Times New Roman"/>
          <w:color w:val="000000"/>
          <w:sz w:val="20"/>
        </w:rPr>
        <w:br/>
        <w:br/>
      </w:r>
      <w:r>
        <w:rPr>
          <w:rFonts w:ascii="Times New Roman" w:hAnsi="Times New Roman"/>
          <w:b/>
          <w:color w:val="000000"/>
          <w:sz w:val="20"/>
        </w:rPr>
        <w:t>CONCERNING THE SECURITYHOLDERS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8.01 Evidence of Action by Securityholders.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8.02 Proof of Execution by Securityholders.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The fact and date of the execution by any such Person of any instrument may be proved in any reasonable manner acceptable to the Trustee.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The ownership of Securities shall be proved by the Security Register of such Securities or by a certificate of the Security Registrar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Trustee may require such additional proof of any matter referred to in this Section as it shall deem necessary.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8.03 Who May be Deemed Owners.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8.04 Certain Securities Owned by Company Disregarded.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8.05 Actions Binding on Future Securityholders.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9</w:t>
      </w:r>
      <w:r>
        <w:rPr>
          <w:rFonts w:ascii="Times New Roman" w:hAnsi="Times New Roman"/>
          <w:color w:val="000000"/>
          <w:sz w:val="20"/>
        </w:rPr>
        <w:br/>
        <w:br/>
      </w:r>
      <w:r>
        <w:rPr>
          <w:rFonts w:ascii="Times New Roman" w:hAnsi="Times New Roman"/>
          <w:b/>
          <w:color w:val="000000"/>
          <w:sz w:val="20"/>
        </w:rPr>
        <w:t>SUPPLEMENTAL INDENTURES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9.01 Supplemental Indentures Without the Consent of Securityholders.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to cure any ambiguity, defect, or inconsistency herein or in the Securities of any series;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 xml:space="preserve">to comply with Article Ten;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 xml:space="preserve">to provide for uncertificated Securities in addition to or in place of certificated Securities;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(d) </w:t>
      </w:r>
      <w:r>
        <w:rPr>
          <w:rFonts w:ascii="Times New Roman" w:hAnsi="Times New Roman"/>
          <w:color w:val="000000"/>
          <w:sz w:val="20"/>
        </w:rPr>
        <w:t xml:space="preserve">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(e) </w:t>
      </w:r>
      <w:r>
        <w:rPr>
          <w:rFonts w:ascii="Times New Roman" w:hAnsi="Times New Roman"/>
          <w:color w:val="000000"/>
          <w:sz w:val="20"/>
        </w:rPr>
        <w:t xml:space="preserve">to add to, delete from, or revise the conditions, limitations, and restrictions on the authorized amount, terms, or purposes of issue, authentication, and delivery of Securities, as herein set forth;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(f) </w:t>
      </w:r>
      <w:r>
        <w:rPr>
          <w:rFonts w:ascii="Times New Roman" w:hAnsi="Times New Roman"/>
          <w:color w:val="000000"/>
          <w:sz w:val="20"/>
        </w:rPr>
        <w:t xml:space="preserve">to make any change that does not adversely affect the rights of any Securityholder in any material respect;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(g) </w:t>
      </w:r>
      <w:r>
        <w:rPr>
          <w:rFonts w:ascii="Times New Roman" w:hAnsi="Times New Roman"/>
          <w:color w:val="000000"/>
          <w:sz w:val="20"/>
        </w:rPr>
        <w:t xml:space="preserve">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(h) </w:t>
      </w:r>
      <w:r>
        <w:rPr>
          <w:rFonts w:ascii="Times New Roman" w:hAnsi="Times New Roman"/>
          <w:color w:val="000000"/>
          <w:sz w:val="20"/>
        </w:rPr>
        <w:t xml:space="preserve">to evidence and provide for the acceptance of appointment hereunder by a successor trustee; or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 </w:t>
      </w:r>
      <w:r>
        <w:rPr>
          <w:rFonts w:ascii="Times New Roman" w:hAnsi="Times New Roman"/>
          <w:color w:val="000000"/>
          <w:sz w:val="20"/>
        </w:rPr>
        <w:t>to comply with any requirements of the Commission or any successor in connection with the qualification of this Indenture under the Trust Indenture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9.02 Supplemental Indentures With Consent of Securityholders.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9.03 Effect of Supplemental Indentures.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9.04 Securities Affected by Supplemental Indentures.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9.05 Execution of Supplemental Indentures.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10</w:t>
      </w:r>
      <w:r>
        <w:rPr>
          <w:rFonts w:ascii="Times New Roman" w:hAnsi="Times New Roman"/>
          <w:color w:val="000000"/>
          <w:sz w:val="20"/>
        </w:rPr>
        <w:br/>
        <w:br/>
      </w:r>
      <w:r>
        <w:rPr>
          <w:rFonts w:ascii="Times New Roman" w:hAnsi="Times New Roman"/>
          <w:b/>
          <w:color w:val="000000"/>
          <w:sz w:val="20"/>
        </w:rPr>
        <w:t>SUCCESSOR ENTITY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10.01 Company May Consolidate, Etc.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10.02 Successor Entity Substituted.</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11</w:t>
      </w:r>
      <w:r>
        <w:rPr>
          <w:rFonts w:ascii="Times New Roman" w:hAnsi="Times New Roman"/>
          <w:color w:val="000000"/>
          <w:sz w:val="20"/>
        </w:rPr>
        <w:br/>
        <w:br/>
      </w:r>
      <w:r>
        <w:rPr>
          <w:rFonts w:ascii="Times New Roman" w:hAnsi="Times New Roman"/>
          <w:b/>
          <w:color w:val="000000"/>
          <w:sz w:val="20"/>
        </w:rPr>
        <w:t>SATISFACTION AND DISCHARGE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11.01 Satisfaction and Discharge of Indenture.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11.02 Discharge of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 respect to such series shall cease to be of further effect except for the provisions of Sections 2.03, 2.05, 2.07, 4,01, 4.02, 4,03, 7.06, 7.10, 11.05 and 13.04 hereof that shall survive until such Securities shall mature and be paid.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Thereafter, Sections 7.06 and 11.05 shall survive.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11.03 Deposited Moneys to be Held in Trust.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11.04 Payment of Moneys Held by Paying Agents.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11.05 Repayment to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12</w:t>
      </w:r>
      <w:r>
        <w:rPr>
          <w:rFonts w:ascii="Times New Roman" w:hAnsi="Times New Roman"/>
          <w:color w:val="000000"/>
          <w:sz w:val="20"/>
        </w:rPr>
        <w:br/>
        <w:br/>
      </w:r>
      <w:r>
        <w:rPr>
          <w:rFonts w:ascii="Times New Roman" w:hAnsi="Times New Roman"/>
          <w:b/>
          <w:color w:val="000000"/>
          <w:sz w:val="20"/>
        </w:rPr>
        <w:t>IMMUNITY OF INCORPORATORS, SHAREHOLDERS, OFFICERS AND DIRECTORS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12.01 No Recourse.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13</w:t>
      </w:r>
      <w:r>
        <w:rPr>
          <w:rFonts w:ascii="Times New Roman" w:hAnsi="Times New Roman"/>
          <w:color w:val="000000"/>
          <w:sz w:val="20"/>
        </w:rPr>
        <w:br/>
        <w:br/>
      </w:r>
      <w:r>
        <w:rPr>
          <w:rFonts w:ascii="Times New Roman" w:hAnsi="Times New Roman"/>
          <w:b/>
          <w:color w:val="000000"/>
          <w:sz w:val="20"/>
        </w:rPr>
        <w:t>MISCELLANEOUS PROVISIONS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13.01 Effect on Successors and Assigns.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the covenants, stipulations, promises and agreements in this Indenture made by or on behalf of the Company shall bind its successors and assigns, whether so expressed or not.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13.02 Actions by Successor.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13.03 Surrender of Company Powers.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13.04 Notices.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Oculis Holding AG, Bahnhofstrasse 7, CH-6300 Zug, Switzerland, Attention: Chief Executive Officer.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13.05 Governing Law; Jury Trial Waiver.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Indenture and each Security shall be governed by, and construed in accordance with, the internal laws of the State of New York, except to the extent that the Trust Indenture Act is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13.06 Treatment of Securities as Debt.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is intended that the Securities will be treated as indebtedness and not as equity for federal income tax purposes. The provisions of this Indenture shall be interpreted to further this intention.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13.07 Withholding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shall have the right to deduct from all payments under any Security an amount necessary to satisfy any withholding tax requirements provided by any applicable tax law.</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13.08 Certificates and Opinions as to Conditions Precedent.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Each certificate or opinion provided for in this Indenture and delivered to the Trustee with respect to compliance with a condition or covenant in this Indenture (other than the certificate to be delivered pursuant to Section 13.12 of this Indenture or Section 314(a) (1)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13.09 Payments on Business Days.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13.10 Conflict with Trust Indenture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and to the extent that any provision of this Indenture limits, qualifies or conflicts with the duties imposed by Section 318(c) of the Trust Indenture Act, such imposed duties shall control.</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13.11 Counterparts.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13.12 Separability.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13.13 Compliance Certificates.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pStyle w:val="TextBody"/>
        <w:bidi w:val="0"/>
        <w:spacing w:before="0" w:after="240"/>
        <w:jc w:val="both"/>
        <w:rPr>
          <w:rFonts w:ascii="Times New Roman" w:hAnsi="Times New Roman"/>
          <w:sz w:val="20"/>
        </w:rPr>
      </w:pPr>
      <w:r>
        <w:rPr>
          <w:rFonts w:ascii="Times New Roman" w:hAnsi="Times New Roman"/>
          <w:b/>
          <w:color w:val="000000"/>
          <w:sz w:val="20"/>
        </w:rPr>
        <w:t>Section 13.14 U.S.A Patriot Act.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240"/>
        <w:jc w:val="both"/>
        <w:rPr>
          <w:rFonts w:ascii="Times New Roman" w:hAnsi="Times New Roman"/>
          <w:sz w:val="20"/>
        </w:rPr>
      </w:pPr>
      <w:r>
        <w:rPr>
          <w:rFonts w:ascii="Times New Roman" w:hAnsi="Times New Roman"/>
          <w:b/>
          <w:color w:val="000000"/>
          <w:sz w:val="20"/>
        </w:rPr>
        <w:t>Section 13.15 Force Majeure.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13.16 Table of Contents; Headings.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table of contents and headings of the articles and sections of this Indenture have been inserted for convenience of reference only, are not intended to be considered a part hereof, and will not modify or restrict any of the terms or provisions hereof.</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parties hereto have caused this Indenture to be duly executed all as of the day and year first above written.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Oculis Holding AG</w:t>
      </w:r>
    </w:p>
    <w:p>
      <w:pPr>
        <w:pStyle w:val="TextBody"/>
        <w:bidi w:val="0"/>
        <w:spacing w:before="240" w:after="240"/>
        <w:jc w:val="both"/>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Name:</w:t>
      </w:r>
      <w:r>
        <w:rPr>
          <w:rFonts w:ascii="Times New Roman" w:hAnsi="Times New Roman"/>
          <w:color w:val="000000"/>
          <w:sz w:val="20"/>
          <w:u w:val="single"/>
        </w:rPr>
        <w:t xml:space="preserve"> </w:t>
      </w:r>
    </w:p>
    <w:p>
      <w:pPr>
        <w:pStyle w:val="TextBody"/>
        <w:bidi w:val="0"/>
        <w:spacing w:before="0" w:after="720"/>
        <w:jc w:val="both"/>
        <w:rPr>
          <w:rFonts w:ascii="Times New Roman" w:hAnsi="Times New Roman"/>
          <w:sz w:val="20"/>
        </w:rPr>
      </w:pPr>
      <w:r>
        <w:rPr>
          <w:rFonts w:ascii="Times New Roman" w:hAnsi="Times New Roman"/>
          <w:color w:val="000000"/>
          <w:sz w:val="20"/>
        </w:rPr>
        <w:t>Title:</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Name:</w:t>
      </w:r>
      <w:r>
        <w:rPr>
          <w:rFonts w:ascii="Times New Roman" w:hAnsi="Times New Roman"/>
          <w:color w:val="000000"/>
          <w:sz w:val="20"/>
          <w:u w:val="single"/>
        </w:rPr>
        <w:t xml:space="preserve"> </w:t>
      </w:r>
    </w:p>
    <w:p>
      <w:pPr>
        <w:pStyle w:val="TextBody"/>
        <w:bidi w:val="0"/>
        <w:spacing w:before="0" w:after="720"/>
        <w:jc w:val="both"/>
        <w:rPr>
          <w:rFonts w:ascii="Times New Roman" w:hAnsi="Times New Roman"/>
          <w:sz w:val="20"/>
        </w:rPr>
      </w:pPr>
      <w:r>
        <w:rPr>
          <w:rFonts w:ascii="Times New Roman" w:hAnsi="Times New Roman"/>
          <w:color w:val="000000"/>
          <w:sz w:val="20"/>
        </w:rPr>
        <w:t>Title:</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0"/>
        </w:rPr>
        <w:t>[Trustee], as Trustee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Name:</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Title:</w:t>
      </w:r>
      <w:r>
        <w:rPr>
          <w:rFonts w:ascii="Times New Roman" w:hAnsi="Times New Roman"/>
          <w:color w:val="000000"/>
          <w:sz w:val="20"/>
          <w:u w:val="single"/>
        </w:rPr>
        <w:t xml:space="preserve">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olor w:val="000000"/>
          <w:sz w:val="20"/>
        </w:rPr>
      </w:pPr>
      <w:r>
        <w:rPr>
          <w:rFonts w:ascii="Times New Roman" w:hAnsi="Times New Roman"/>
          <w:b/>
          <w:color w:val="000000"/>
          <w:sz w:val="20"/>
        </w:rPr>
        <w:t>CROSS-REFERENCE TABLE (1)</w:t>
      </w:r>
    </w:p>
    <w:tbl>
      <w:tblPr>
        <w:tblW w:w="6287" w:type="dxa"/>
        <w:jc w:val="left"/>
        <w:tblInd w:w="0" w:type="dxa"/>
        <w:tblLayout w:type="fixed"/>
        <w:tblCellMar>
          <w:top w:w="28" w:type="dxa"/>
          <w:left w:w="28" w:type="dxa"/>
          <w:bottom w:w="28" w:type="dxa"/>
          <w:right w:w="28" w:type="dxa"/>
        </w:tblCellMar>
      </w:tblPr>
      <w:tblGrid>
        <w:gridCol w:w="4441"/>
        <w:gridCol w:w="1846"/>
      </w:tblGrid>
      <w:tr>
        <w:trPr/>
        <w:tc>
          <w:tcPr>
            <w:tcW w:w="44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444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Section of Trust Indenture Act of 1939, as Amended</w:t>
            </w:r>
          </w:p>
        </w:tc>
        <w:tc>
          <w:tcPr>
            <w:tcW w:w="184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Section of Indenture</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310(a)</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310(b)</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r>
      <w:tr>
        <w:trPr/>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310(c)</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Inapplicable</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311(a)</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311(b)</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311(c)</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Inapplicable</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312(a)</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r>
      <w:tr>
        <w:trPr/>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5.02(a)</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312(b)</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5.02(c)</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312(c)</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5.02(c)</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313(a)</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5.04(a)</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313(b)</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5.04(b)</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313(c)</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5.04(a)</w:t>
            </w:r>
          </w:p>
        </w:tc>
      </w:tr>
      <w:tr>
        <w:trPr/>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5.04(b)</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313(d)</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5.04(c)</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314(a)</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r>
      <w:tr>
        <w:trPr/>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314(b)</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Inapplicable</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314(c)</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13.07(a)</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314(d)</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Inapplicable</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314(e)</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13.07(b)</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314(f)</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Inapplicable</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315(a)</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7.01(a)</w:t>
            </w:r>
          </w:p>
        </w:tc>
      </w:tr>
      <w:tr>
        <w:trPr/>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7.01(b)</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315(b)</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315(c)</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315(d)</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7.01(b)</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315(e)</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316(a)</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r>
      <w:tr>
        <w:trPr/>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316(b)</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316(c)</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317(a)</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317(b)</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318(a)</w:t>
            </w:r>
          </w:p>
        </w:tc>
        <w:tc>
          <w:tcPr>
            <w:tcW w:w="18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r>
    </w:tbl>
    <w:p>
      <w:pPr>
        <w:pStyle w:val="TextBody"/>
        <w:bidi w:val="0"/>
        <w:spacing w:before="0" w:after="120"/>
        <w:jc w:val="both"/>
        <w:rPr>
          <w:rFonts w:ascii="Times New Roman" w:hAnsi="Times New Roman"/>
          <w:color w:val="000000"/>
          <w:sz w:val="20"/>
        </w:rPr>
      </w:pPr>
      <w:r>
        <w:rPr>
          <w:rFonts w:ascii="Times New Roman" w:hAnsi="Times New Roman"/>
          <w:color w:val="000000"/>
          <w:sz w:val="20"/>
        </w:rPr>
        <w:t>____________________</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This Cross-Reference Table does not constitute part of the Indenture and shall not have any bearing on the interpretation of any of its terms or provisions.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9" w:name="ocs-ex5_1.htm"/>
      <w:bookmarkStart w:id="50" w:name="ksocsex5_1"/>
      <w:bookmarkEnd w:id="49"/>
      <w:bookmarkEnd w:id="50"/>
      <w:r>
        <w:rPr/>
        <w:drawing>
          <wp:inline distT="0" distB="0" distL="0" distR="0">
            <wp:extent cx="1371600" cy="200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1"/>
                    <a:stretch>
                      <a:fillRect/>
                    </a:stretch>
                  </pic:blipFill>
                  <pic:spPr bwMode="auto">
                    <a:xfrm>
                      <a:off x="0" y="0"/>
                      <a:ext cx="1371600" cy="200025"/>
                    </a:xfrm>
                    <a:prstGeom prst="rect">
                      <a:avLst/>
                    </a:prstGeom>
                  </pic:spPr>
                </pic:pic>
              </a:graphicData>
            </a:graphic>
          </wp:inline>
        </w:drawing>
      </w:r>
      <w:r>
        <w:br w:type="page"/>
      </w:r>
    </w:p>
    <w:p>
      <w:pPr>
        <w:pStyle w:val="TextBody"/>
        <w:bidi w:val="0"/>
        <w:jc w:val="left"/>
        <w:rPr>
          <w:rFonts w:ascii="Verdana;sans-serif" w:hAnsi="Verdana;sans-serif"/>
          <w:color w:val="000000"/>
          <w:sz w:val="20"/>
        </w:rPr>
      </w:pPr>
      <w:bookmarkStart w:id="51" w:name="text5_1"/>
      <w:bookmarkEnd w:id="51"/>
      <w:r>
        <w:rPr>
          <w:rFonts w:ascii="Verdana;sans-serif" w:hAnsi="Verdana;sans-serif"/>
          <w:color w:val="000000"/>
          <w:sz w:val="20"/>
        </w:rPr>
        <w:t>Oculis Holding AG</w:t>
        <w:br/>
        <w:t>Bahnhofstrasse 20</w:t>
        <w:br/>
        <w:t>6300 Zug</w:t>
      </w:r>
    </w:p>
    <w:p>
      <w:pPr>
        <w:pStyle w:val="TextBody"/>
        <w:bidi w:val="0"/>
        <w:spacing w:before="120" w:after="80"/>
        <w:jc w:val="left"/>
        <w:rPr/>
      </w:pPr>
      <w:r>
        <w:rPr/>
        <w:t> </w:t>
      </w:r>
    </w:p>
    <w:p>
      <w:pPr>
        <w:pStyle w:val="TextBody"/>
        <w:bidi w:val="0"/>
        <w:jc w:val="left"/>
        <w:rPr>
          <w:rFonts w:ascii="Verdana;sans-serif" w:hAnsi="Verdana;sans-serif"/>
          <w:b/>
          <w:color w:val="000000"/>
          <w:sz w:val="14"/>
        </w:rPr>
      </w:pPr>
      <w:r>
        <w:rPr>
          <w:rFonts w:ascii="Verdana;sans-serif" w:hAnsi="Verdana;sans-serif"/>
          <w:b/>
          <w:color w:val="000000"/>
          <w:sz w:val="14"/>
        </w:rPr>
        <w:t>VISCHER Ltd</w:t>
      </w:r>
    </w:p>
    <w:p>
      <w:pPr>
        <w:pStyle w:val="TextBody"/>
        <w:bidi w:val="0"/>
        <w:jc w:val="left"/>
        <w:rPr>
          <w:rFonts w:ascii="Verdana;sans-serif" w:hAnsi="Verdana;sans-serif"/>
          <w:b/>
          <w:color w:val="000000"/>
          <w:sz w:val="14"/>
        </w:rPr>
      </w:pPr>
      <w:r>
        <w:rPr>
          <w:rFonts w:ascii="Verdana;sans-serif" w:hAnsi="Verdana;sans-serif"/>
          <w:b/>
          <w:color w:val="000000"/>
          <w:sz w:val="14"/>
        </w:rPr>
        <w:t>Basel</w:t>
      </w:r>
    </w:p>
    <w:p>
      <w:pPr>
        <w:pStyle w:val="TextBody"/>
        <w:bidi w:val="0"/>
        <w:jc w:val="left"/>
        <w:rPr>
          <w:rFonts w:ascii="Verdana;sans-serif" w:hAnsi="Verdana;sans-serif"/>
          <w:color w:val="000000"/>
          <w:sz w:val="14"/>
        </w:rPr>
      </w:pPr>
      <w:r>
        <w:rPr>
          <w:rFonts w:ascii="Verdana;sans-serif" w:hAnsi="Verdana;sans-serif"/>
          <w:color w:val="000000"/>
          <w:sz w:val="14"/>
        </w:rPr>
        <w:t>Aeschenvorstadt 4</w:t>
        <w:br/>
        <w:t>P.O. Box</w:t>
      </w:r>
    </w:p>
    <w:p>
      <w:pPr>
        <w:pStyle w:val="TextBody"/>
        <w:bidi w:val="0"/>
        <w:jc w:val="left"/>
        <w:rPr>
          <w:rFonts w:ascii="Verdana;sans-serif" w:hAnsi="Verdana;sans-serif"/>
          <w:color w:val="000000"/>
          <w:sz w:val="14"/>
        </w:rPr>
      </w:pPr>
      <w:r>
        <w:rPr>
          <w:rFonts w:ascii="Verdana;sans-serif" w:hAnsi="Verdana;sans-serif"/>
          <w:color w:val="000000"/>
          <w:sz w:val="14"/>
        </w:rPr>
        <w:t>CH-4010 Basel</w:t>
      </w:r>
    </w:p>
    <w:p>
      <w:pPr>
        <w:pStyle w:val="TextBody"/>
        <w:bidi w:val="0"/>
        <w:jc w:val="left"/>
        <w:rPr>
          <w:rFonts w:ascii="Verdana;sans-serif" w:hAnsi="Verdana;sans-serif"/>
          <w:color w:val="000000"/>
          <w:sz w:val="14"/>
        </w:rPr>
      </w:pPr>
      <w:r>
        <w:rPr>
          <w:rFonts w:ascii="Verdana;sans-serif" w:hAnsi="Verdana;sans-serif"/>
          <w:color w:val="000000"/>
          <w:sz w:val="14"/>
        </w:rPr>
        <w:t>Switzerland</w:t>
      </w:r>
    </w:p>
    <w:p>
      <w:pPr>
        <w:pStyle w:val="TextBody"/>
        <w:bidi w:val="0"/>
        <w:jc w:val="left"/>
        <w:rPr>
          <w:rFonts w:ascii="Verdana;sans-serif" w:hAnsi="Verdana;sans-serif"/>
          <w:color w:val="000000"/>
          <w:sz w:val="14"/>
        </w:rPr>
      </w:pPr>
      <w:r>
        <w:rPr>
          <w:rFonts w:ascii="Verdana;sans-serif" w:hAnsi="Verdana;sans-serif"/>
          <w:color w:val="000000"/>
          <w:sz w:val="14"/>
        </w:rPr>
        <w:t>Phone +41 58 211 33 00</w:t>
      </w:r>
    </w:p>
    <w:p>
      <w:pPr>
        <w:pStyle w:val="TextBody"/>
        <w:bidi w:val="0"/>
        <w:jc w:val="left"/>
        <w:rPr>
          <w:rFonts w:ascii="Verdana;sans-serif" w:hAnsi="Verdana;sans-serif"/>
          <w:b/>
          <w:color w:val="000000"/>
          <w:sz w:val="14"/>
        </w:rPr>
      </w:pPr>
      <w:r>
        <w:rPr>
          <w:rFonts w:ascii="Verdana;sans-serif" w:hAnsi="Verdana;sans-serif"/>
          <w:b/>
          <w:color w:val="000000"/>
          <w:sz w:val="14"/>
        </w:rPr>
        <w:t>Zurich</w:t>
      </w:r>
    </w:p>
    <w:p>
      <w:pPr>
        <w:pStyle w:val="TextBody"/>
        <w:bidi w:val="0"/>
        <w:jc w:val="left"/>
        <w:rPr>
          <w:rFonts w:ascii="Verdana;sans-serif" w:hAnsi="Verdana;sans-serif"/>
          <w:color w:val="000000"/>
          <w:sz w:val="14"/>
        </w:rPr>
      </w:pPr>
      <w:r>
        <w:rPr>
          <w:rFonts w:ascii="Verdana;sans-serif" w:hAnsi="Verdana;sans-serif"/>
          <w:color w:val="000000"/>
          <w:sz w:val="14"/>
        </w:rPr>
        <w:t>Schützengasse 1</w:t>
      </w:r>
    </w:p>
    <w:p>
      <w:pPr>
        <w:pStyle w:val="TextBody"/>
        <w:bidi w:val="0"/>
        <w:jc w:val="left"/>
        <w:rPr>
          <w:rFonts w:ascii="Verdana;sans-serif" w:hAnsi="Verdana;sans-serif"/>
          <w:color w:val="000000"/>
          <w:sz w:val="14"/>
        </w:rPr>
      </w:pPr>
      <w:r>
        <w:rPr>
          <w:rFonts w:ascii="Verdana;sans-serif" w:hAnsi="Verdana;sans-serif"/>
          <w:color w:val="000000"/>
          <w:sz w:val="14"/>
        </w:rPr>
        <w:t>P.O. Box</w:t>
      </w:r>
    </w:p>
    <w:p>
      <w:pPr>
        <w:pStyle w:val="TextBody"/>
        <w:bidi w:val="0"/>
        <w:jc w:val="left"/>
        <w:rPr>
          <w:rFonts w:ascii="Verdana;sans-serif" w:hAnsi="Verdana;sans-serif"/>
          <w:color w:val="000000"/>
          <w:sz w:val="14"/>
        </w:rPr>
      </w:pPr>
      <w:r>
        <w:rPr>
          <w:rFonts w:ascii="Verdana;sans-serif" w:hAnsi="Verdana;sans-serif"/>
          <w:color w:val="000000"/>
          <w:sz w:val="14"/>
        </w:rPr>
        <w:t>CH-8021 Zurich</w:t>
      </w:r>
    </w:p>
    <w:p>
      <w:pPr>
        <w:pStyle w:val="TextBody"/>
        <w:bidi w:val="0"/>
        <w:jc w:val="left"/>
        <w:rPr>
          <w:rFonts w:ascii="Verdana;sans-serif" w:hAnsi="Verdana;sans-serif"/>
          <w:color w:val="000000"/>
          <w:sz w:val="14"/>
        </w:rPr>
      </w:pPr>
      <w:r>
        <w:rPr>
          <w:rFonts w:ascii="Verdana;sans-serif" w:hAnsi="Verdana;sans-serif"/>
          <w:color w:val="000000"/>
          <w:sz w:val="14"/>
        </w:rPr>
        <w:t>Switzerland</w:t>
      </w:r>
    </w:p>
    <w:p>
      <w:pPr>
        <w:pStyle w:val="TextBody"/>
        <w:bidi w:val="0"/>
        <w:jc w:val="left"/>
        <w:rPr>
          <w:rFonts w:ascii="Verdana;sans-serif" w:hAnsi="Verdana;sans-serif"/>
          <w:color w:val="000000"/>
          <w:sz w:val="14"/>
        </w:rPr>
      </w:pPr>
      <w:r>
        <w:rPr>
          <w:rFonts w:ascii="Verdana;sans-serif" w:hAnsi="Verdana;sans-serif"/>
          <w:color w:val="000000"/>
          <w:sz w:val="14"/>
        </w:rPr>
        <w:t>Phone +41 58 211 34 00</w:t>
      </w:r>
    </w:p>
    <w:p>
      <w:pPr>
        <w:pStyle w:val="TextBody"/>
        <w:bidi w:val="0"/>
        <w:jc w:val="left"/>
        <w:rPr>
          <w:rFonts w:ascii="Verdana;sans-serif" w:hAnsi="Verdana;sans-serif"/>
          <w:b/>
          <w:color w:val="000000"/>
          <w:sz w:val="14"/>
        </w:rPr>
      </w:pPr>
      <w:r>
        <w:rPr>
          <w:rFonts w:ascii="Verdana;sans-serif" w:hAnsi="Verdana;sans-serif"/>
          <w:b/>
          <w:color w:val="000000"/>
          <w:sz w:val="14"/>
        </w:rPr>
        <w:t>Geneva</w:t>
      </w:r>
    </w:p>
    <w:p>
      <w:pPr>
        <w:pStyle w:val="TextBody"/>
        <w:bidi w:val="0"/>
        <w:jc w:val="left"/>
        <w:rPr>
          <w:rFonts w:ascii="Verdana;sans-serif" w:hAnsi="Verdana;sans-serif"/>
          <w:color w:val="000000"/>
          <w:sz w:val="14"/>
        </w:rPr>
      </w:pPr>
      <w:r>
        <w:rPr>
          <w:rFonts w:ascii="Verdana;sans-serif" w:hAnsi="Verdana;sans-serif"/>
          <w:color w:val="000000"/>
          <w:sz w:val="14"/>
        </w:rPr>
        <w:t>Esplanade de Pont-Rouge 9C</w:t>
      </w:r>
    </w:p>
    <w:p>
      <w:pPr>
        <w:pStyle w:val="TextBody"/>
        <w:bidi w:val="0"/>
        <w:jc w:val="left"/>
        <w:rPr>
          <w:rFonts w:ascii="Verdana;sans-serif" w:hAnsi="Verdana;sans-serif"/>
          <w:color w:val="000000"/>
          <w:sz w:val="14"/>
        </w:rPr>
      </w:pPr>
      <w:r>
        <w:rPr>
          <w:rFonts w:ascii="Verdana;sans-serif" w:hAnsi="Verdana;sans-serif"/>
          <w:color w:val="000000"/>
          <w:sz w:val="14"/>
        </w:rPr>
        <w:t>P.O. Box</w:t>
      </w:r>
    </w:p>
    <w:p>
      <w:pPr>
        <w:pStyle w:val="TextBody"/>
        <w:bidi w:val="0"/>
        <w:jc w:val="left"/>
        <w:rPr>
          <w:rFonts w:ascii="Verdana;sans-serif" w:hAnsi="Verdana;sans-serif"/>
          <w:color w:val="000000"/>
          <w:sz w:val="14"/>
        </w:rPr>
      </w:pPr>
      <w:r>
        <w:rPr>
          <w:rFonts w:ascii="Verdana;sans-serif" w:hAnsi="Verdana;sans-serif"/>
          <w:color w:val="000000"/>
          <w:sz w:val="14"/>
        </w:rPr>
        <w:t>CH-1200 Geneva</w:t>
      </w:r>
    </w:p>
    <w:p>
      <w:pPr>
        <w:pStyle w:val="TextBody"/>
        <w:bidi w:val="0"/>
        <w:jc w:val="left"/>
        <w:rPr>
          <w:rFonts w:ascii="Verdana;sans-serif" w:hAnsi="Verdana;sans-serif"/>
          <w:color w:val="000000"/>
          <w:sz w:val="14"/>
        </w:rPr>
      </w:pPr>
      <w:r>
        <w:rPr>
          <w:rFonts w:ascii="Verdana;sans-serif" w:hAnsi="Verdana;sans-serif"/>
          <w:color w:val="000000"/>
          <w:sz w:val="14"/>
        </w:rPr>
        <w:t>Switzerland</w:t>
      </w:r>
    </w:p>
    <w:p>
      <w:pPr>
        <w:pStyle w:val="TextBody"/>
        <w:bidi w:val="0"/>
        <w:jc w:val="left"/>
        <w:rPr>
          <w:rFonts w:ascii="Verdana;sans-serif" w:hAnsi="Verdana;sans-serif"/>
          <w:color w:val="000000"/>
          <w:sz w:val="14"/>
        </w:rPr>
      </w:pPr>
      <w:r>
        <w:rPr>
          <w:rFonts w:ascii="Verdana;sans-serif" w:hAnsi="Verdana;sans-serif"/>
          <w:color w:val="000000"/>
          <w:sz w:val="14"/>
        </w:rPr>
        <w:t>Tel +41 58 211 35 00</w:t>
      </w:r>
    </w:p>
    <w:p>
      <w:pPr>
        <w:pStyle w:val="TextBody"/>
        <w:bidi w:val="0"/>
        <w:jc w:val="left"/>
        <w:rPr>
          <w:rFonts w:ascii="Times New Roman" w:hAnsi="Times New Roman"/>
          <w:sz w:val="20"/>
        </w:rPr>
      </w:pPr>
      <w:r>
        <w:rPr>
          <w:rFonts w:ascii="Verdana;sans-serif" w:hAnsi="Verdana;sans-serif"/>
          <w:color w:val="000000"/>
          <w:sz w:val="14"/>
        </w:rPr>
        <w:t xml:space="preserve">Civil Law Notaries in </w:t>
        <w:br/>
        <w:t>Basel-City and Baselland</w:t>
      </w:r>
      <w:r>
        <w:rPr>
          <w:rFonts w:ascii="Verdana;sans-serif" w:hAnsi="Verdana;sans-serif"/>
          <w:color w:val="000000"/>
          <w:sz w:val="20"/>
        </w:rPr>
        <w:t>4 March 2026</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90" w:after="290"/>
        <w:jc w:val="left"/>
        <w:rPr>
          <w:rFonts w:ascii="Verdana;sans-serif" w:hAnsi="Verdana;sans-serif"/>
          <w:b/>
          <w:color w:val="000000"/>
          <w:sz w:val="20"/>
        </w:rPr>
      </w:pPr>
      <w:bookmarkStart w:id="52" w:name="start_1"/>
      <w:bookmarkEnd w:id="52"/>
      <w:r>
        <w:rPr>
          <w:rFonts w:ascii="Verdana;sans-serif" w:hAnsi="Verdana;sans-serif"/>
          <w:b/>
          <w:color w:val="000000"/>
          <w:sz w:val="20"/>
        </w:rPr>
        <w:t>Oculis Holding AG – Registration Statement on Form F-3</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Dear Sir or Madam,</w:t>
      </w:r>
    </w:p>
    <w:p>
      <w:pPr>
        <w:pStyle w:val="TextBody"/>
        <w:bidi w:val="0"/>
        <w:spacing w:before="0" w:after="120"/>
        <w:jc w:val="both"/>
        <w:rPr>
          <w:rFonts w:ascii="Times New Roman" w:hAnsi="Times New Roman"/>
          <w:sz w:val="20"/>
        </w:rPr>
      </w:pPr>
      <w:r>
        <w:rPr>
          <w:rFonts w:ascii="Verdana;sans-serif" w:hAnsi="Verdana;sans-serif"/>
          <w:color w:val="000000"/>
          <w:sz w:val="20"/>
        </w:rPr>
        <w:t>We have acted as special Swiss counsel to Oculis Holding AG (the "</w:t>
      </w:r>
      <w:r>
        <w:rPr>
          <w:rFonts w:ascii="Verdana;sans-serif" w:hAnsi="Verdana;sans-serif"/>
          <w:b/>
          <w:color w:val="000000"/>
          <w:sz w:val="20"/>
        </w:rPr>
        <w:t>Company</w:t>
      </w:r>
      <w:r>
        <w:rPr>
          <w:rFonts w:ascii="Verdana;sans-serif" w:hAnsi="Verdana;sans-serif"/>
          <w:color w:val="000000"/>
          <w:sz w:val="20"/>
        </w:rPr>
        <w:t>"), a company incorporated under the laws of the Switzerland, in connection with the Company's registration statement on Form F-3 (the "</w:t>
      </w:r>
      <w:r>
        <w:rPr>
          <w:rFonts w:ascii="Verdana;sans-serif" w:hAnsi="Verdana;sans-serif"/>
          <w:b/>
          <w:color w:val="000000"/>
          <w:sz w:val="20"/>
        </w:rPr>
        <w:t>Registration Statement</w:t>
      </w:r>
      <w:r>
        <w:rPr>
          <w:rFonts w:ascii="Verdana;sans-serif" w:hAnsi="Verdana;sans-serif"/>
          <w:color w:val="000000"/>
          <w:sz w:val="20"/>
        </w:rPr>
        <w:t>"), including a base prospectus (the "</w:t>
      </w:r>
      <w:r>
        <w:rPr>
          <w:rFonts w:ascii="Verdana;sans-serif" w:hAnsi="Verdana;sans-serif"/>
          <w:b/>
          <w:color w:val="000000"/>
          <w:sz w:val="20"/>
        </w:rPr>
        <w:t>Base Prospectus</w:t>
      </w:r>
      <w:r>
        <w:rPr>
          <w:rFonts w:ascii="Verdana;sans-serif" w:hAnsi="Verdana;sans-serif"/>
          <w:color w:val="000000"/>
          <w:sz w:val="20"/>
        </w:rPr>
        <w:t>") and a sales agreement prospectus (the "</w:t>
      </w:r>
      <w:r>
        <w:rPr>
          <w:rFonts w:ascii="Verdana;sans-serif" w:hAnsi="Verdana;sans-serif"/>
          <w:b/>
          <w:color w:val="000000"/>
          <w:sz w:val="20"/>
        </w:rPr>
        <w:t>Sales Agreement Prospectus</w:t>
      </w:r>
      <w:r>
        <w:rPr>
          <w:rFonts w:ascii="Verdana;sans-serif" w:hAnsi="Verdana;sans-serif"/>
          <w:color w:val="000000"/>
          <w:sz w:val="20"/>
        </w:rPr>
        <w:t>", and together with the Base Prospectus, the "</w:t>
      </w:r>
      <w:r>
        <w:rPr>
          <w:rFonts w:ascii="Verdana;sans-serif" w:hAnsi="Verdana;sans-serif"/>
          <w:b/>
          <w:color w:val="000000"/>
          <w:sz w:val="20"/>
        </w:rPr>
        <w:t>Prospectuses</w:t>
      </w:r>
      <w:r>
        <w:rPr>
          <w:rFonts w:ascii="Verdana;sans-serif" w:hAnsi="Verdana;sans-serif"/>
          <w:color w:val="000000"/>
          <w:sz w:val="20"/>
        </w:rPr>
        <w:t>"), as amended or supplemented, to be filed with the United States Securities and Exchange Commission (the "</w:t>
      </w:r>
      <w:r>
        <w:rPr>
          <w:rFonts w:ascii="Verdana;sans-serif" w:hAnsi="Verdana;sans-serif"/>
          <w:b/>
          <w:color w:val="000000"/>
          <w:sz w:val="20"/>
        </w:rPr>
        <w:t>SEC</w:t>
      </w:r>
      <w:r>
        <w:rPr>
          <w:rFonts w:ascii="Verdana;sans-serif" w:hAnsi="Verdana;sans-serif"/>
          <w:color w:val="000000"/>
          <w:sz w:val="20"/>
        </w:rPr>
        <w:t>") with respect to (a) the registration under the U.S. Securities Act of 1933, as amended (the "</w:t>
      </w:r>
      <w:r>
        <w:rPr>
          <w:rFonts w:ascii="Verdana;sans-serif" w:hAnsi="Verdana;sans-serif"/>
          <w:b/>
          <w:color w:val="000000"/>
          <w:sz w:val="20"/>
        </w:rPr>
        <w:t>Securities Act</w:t>
      </w:r>
      <w:r>
        <w:rPr>
          <w:rFonts w:ascii="Verdana;sans-serif" w:hAnsi="Verdana;sans-serif"/>
          <w:color w:val="000000"/>
          <w:sz w:val="20"/>
        </w:rPr>
        <w:t>"), of an unspecified aggregate principal amount of certain securities, including (i) registered shares of the Company, each with a nominal value of CHF 0.01 (the "</w:t>
      </w:r>
      <w:r>
        <w:rPr>
          <w:rFonts w:ascii="Verdana;sans-serif" w:hAnsi="Verdana;sans-serif"/>
          <w:b/>
          <w:color w:val="000000"/>
          <w:sz w:val="20"/>
        </w:rPr>
        <w:t>Ordinary Shares</w:t>
      </w:r>
      <w:r>
        <w:rPr>
          <w:rFonts w:ascii="Verdana;sans-serif" w:hAnsi="Verdana;sans-serif"/>
          <w:color w:val="000000"/>
          <w:sz w:val="20"/>
        </w:rPr>
        <w:t>"), (ii) debt securities of the Company (the "</w:t>
      </w:r>
      <w:r>
        <w:rPr>
          <w:rFonts w:ascii="Verdana;sans-serif" w:hAnsi="Verdana;sans-serif"/>
          <w:b/>
          <w:color w:val="000000"/>
          <w:sz w:val="20"/>
        </w:rPr>
        <w:t>Debt Securities"</w:t>
      </w:r>
      <w:r>
        <w:rPr>
          <w:rFonts w:ascii="Verdana;sans-serif" w:hAnsi="Verdana;sans-serif"/>
          <w:color w:val="000000"/>
          <w:sz w:val="20"/>
        </w:rPr>
        <w:t>), (iii) warrants of the Company (the "</w:t>
      </w:r>
      <w:r>
        <w:rPr>
          <w:rFonts w:ascii="Verdana;sans-serif" w:hAnsi="Verdana;sans-serif"/>
          <w:b/>
          <w:color w:val="000000"/>
          <w:sz w:val="20"/>
        </w:rPr>
        <w:t>Warrants</w:t>
      </w:r>
      <w:r>
        <w:rPr>
          <w:rFonts w:ascii="Verdana;sans-serif" w:hAnsi="Verdana;sans-serif"/>
          <w:color w:val="000000"/>
          <w:sz w:val="20"/>
        </w:rPr>
        <w:t>") and (iv) units of the Company (the "</w:t>
      </w:r>
      <w:r>
        <w:rPr>
          <w:rFonts w:ascii="Verdana;sans-serif" w:hAnsi="Verdana;sans-serif"/>
          <w:b/>
          <w:color w:val="000000"/>
          <w:sz w:val="20"/>
        </w:rPr>
        <w:t>Units</w:t>
      </w:r>
      <w:r>
        <w:rPr>
          <w:rFonts w:ascii="Verdana;sans-serif" w:hAnsi="Verdana;sans-serif"/>
          <w:color w:val="000000"/>
          <w:sz w:val="20"/>
        </w:rPr>
        <w:t>", and together with the Ordinary Shares, Debt Securities and Warrants, the "</w:t>
      </w:r>
      <w:r>
        <w:rPr>
          <w:rFonts w:ascii="Verdana;sans-serif" w:hAnsi="Verdana;sans-serif"/>
          <w:b/>
          <w:color w:val="000000"/>
          <w:sz w:val="20"/>
        </w:rPr>
        <w:t>Offered</w:t>
      </w:r>
      <w:r>
        <w:rPr>
          <w:rFonts w:ascii="Times New Roman" w:hAnsi="Times New Roman"/>
          <w:color w:val="000000"/>
          <w:sz w:val="20"/>
        </w:rPr>
        <w:t xml:space="preserve"> </w:t>
      </w:r>
      <w:r>
        <w:rPr>
          <w:rFonts w:ascii="Verdana;sans-serif" w:hAnsi="Verdana;sans-serif"/>
          <w:b/>
          <w:color w:val="000000"/>
          <w:sz w:val="20"/>
        </w:rPr>
        <w:t>Securities</w:t>
      </w:r>
      <w:r>
        <w:rPr>
          <w:rFonts w:ascii="Verdana;sans-serif" w:hAnsi="Verdana;sans-serif"/>
          <w:color w:val="000000"/>
          <w:sz w:val="20"/>
        </w:rPr>
        <w:t>") and (b) the offering, issuance and sale by the Company of Ordinary Shares, issued or to be issued out of existing conditional share capital and/or existing capital band (</w:t>
      </w:r>
      <w:r>
        <w:rPr>
          <w:rFonts w:ascii="Verdana;sans-serif" w:hAnsi="Verdana;sans-serif"/>
          <w:i/>
          <w:color w:val="000000"/>
          <w:sz w:val="20"/>
        </w:rPr>
        <w:t>Kapitalband</w:t>
      </w:r>
      <w:r>
        <w:rPr>
          <w:rFonts w:ascii="Verdana;sans-serif" w:hAnsi="Verdana;sans-serif"/>
          <w:color w:val="000000"/>
          <w:sz w:val="20"/>
        </w:rPr>
        <w:t>), or as the case may be, out of any future conditional capital and/or capital band (</w:t>
      </w:r>
      <w:r>
        <w:rPr>
          <w:rFonts w:ascii="Verdana;sans-serif" w:hAnsi="Verdana;sans-serif"/>
          <w:i/>
          <w:color w:val="000000"/>
          <w:sz w:val="20"/>
        </w:rPr>
        <w:t>Kapitalband</w:t>
      </w:r>
      <w:r>
        <w:rPr>
          <w:rFonts w:ascii="Verdana;sans-serif" w:hAnsi="Verdana;sans-serif"/>
          <w:color w:val="000000"/>
          <w:sz w:val="20"/>
        </w:rPr>
        <w:t>) if and when validly adopted and approved by the Company’s general meeting of shareholders, for an aggregate offering price of up to USD 100'000'000 (the "</w:t>
      </w:r>
      <w:r>
        <w:rPr>
          <w:rFonts w:ascii="Verdana;sans-serif" w:hAnsi="Verdana;sans-serif"/>
          <w:b/>
          <w:color w:val="000000"/>
          <w:sz w:val="20"/>
        </w:rPr>
        <w:t>Offered Shares</w:t>
      </w:r>
      <w:r>
        <w:rPr>
          <w:rFonts w:ascii="Verdana;sans-serif" w:hAnsi="Verdana;sans-serif"/>
          <w:color w:val="000000"/>
          <w:sz w:val="20"/>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14"/>
        </w:rPr>
      </w:pPr>
      <w:r>
        <w:rPr>
          <w:rFonts w:ascii="Verdana;sans-serif" w:hAnsi="Verdana;sans-serif"/>
          <w:color w:val="000000"/>
          <w:sz w:val="14"/>
        </w:rPr>
        <w:t>4 March 2026 2</w:t>
      </w:r>
    </w:p>
    <w:p>
      <w:pPr>
        <w:pStyle w:val="TextBody"/>
        <w:bidi w:val="0"/>
        <w:spacing w:before="120" w:after="120"/>
        <w:jc w:val="both"/>
        <w:rPr>
          <w:rFonts w:ascii="Verdana;sans-serif" w:hAnsi="Verdana;sans-serif"/>
          <w:color w:val="000000"/>
          <w:sz w:val="20"/>
        </w:rPr>
      </w:pPr>
      <w:r>
        <w:rPr>
          <w:rFonts w:ascii="Verdana;sans-serif" w:hAnsi="Verdana;sans-serif"/>
          <w:color w:val="000000"/>
          <w:sz w:val="20"/>
        </w:rPr>
        <w:t>As such counsel, we have been requested to render an opinion as to certain matters of Swiss law.</w:t>
      </w:r>
    </w:p>
    <w:p>
      <w:pPr>
        <w:pStyle w:val="TextBody"/>
        <w:bidi w:val="0"/>
        <w:spacing w:before="240" w:after="120"/>
        <w:jc w:val="left"/>
        <w:rPr>
          <w:rFonts w:ascii="Verdana" w:hAnsi="Verdana"/>
          <w:b/>
          <w:caps/>
          <w:color w:val="000000"/>
          <w:sz w:val="20"/>
        </w:rPr>
      </w:pPr>
      <w:r>
        <w:rPr>
          <w:rFonts w:ascii="Verdana" w:hAnsi="Verdana"/>
          <w:b/>
          <w:caps/>
          <w:color w:val="000000"/>
          <w:sz w:val="20"/>
        </w:rPr>
        <w:t>I.</w:t>
      </w:r>
    </w:p>
    <w:p>
      <w:pPr>
        <w:pStyle w:val="TextBody"/>
        <w:bidi w:val="0"/>
        <w:spacing w:before="240" w:after="120"/>
        <w:jc w:val="left"/>
        <w:rPr>
          <w:rFonts w:ascii="Verdana;sans-serif" w:hAnsi="Verdana;sans-serif"/>
          <w:b/>
          <w:caps/>
          <w:color w:val="000000"/>
          <w:sz w:val="20"/>
        </w:rPr>
      </w:pPr>
      <w:r>
        <w:rPr>
          <w:rFonts w:ascii="Verdana;sans-serif" w:hAnsi="Verdana;sans-serif"/>
          <w:b/>
          <w:caps/>
          <w:color w:val="000000"/>
          <w:sz w:val="20"/>
        </w:rPr>
        <w:t>Basis of opinion</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This opinion is confined to and given on the basis of the laws of Switzerland in force at the date hereof and as currently applied by Swiss courts. Such laws and the interpretation thereof are subject to change. In the absence of explicit statutory law, we base our opinion on our independent professional judgement.</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This opinion is also confined to the matters stated herein and is not to be read as extending, by implication or otherwise, to any document referred to in the Documents (other than listed below) or to any other matter.</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For purposes of this opinion we have not conducted any due diligence or similar investigation as to factual circumstances, which are or may be referred to in the Documents, and we express no opinion as to the accuracy of representations and warranties of facts set out in the Documents or the factual background assumed therein.</w:t>
      </w:r>
    </w:p>
    <w:p>
      <w:pPr>
        <w:pStyle w:val="TextBody"/>
        <w:bidi w:val="0"/>
        <w:spacing w:before="0" w:after="120"/>
        <w:jc w:val="both"/>
        <w:rPr>
          <w:rFonts w:ascii="Times New Roman" w:hAnsi="Times New Roman"/>
          <w:sz w:val="20"/>
        </w:rPr>
      </w:pPr>
      <w:r>
        <w:rPr>
          <w:rFonts w:ascii="Verdana;sans-serif" w:hAnsi="Verdana;sans-serif"/>
          <w:color w:val="000000"/>
          <w:sz w:val="20"/>
        </w:rPr>
        <w:t>For the purpose of giving this opinion, we have examined originals or copies, certified or otherwise identified to our satisfaction, of the following documents (the "</w:t>
      </w:r>
      <w:r>
        <w:rPr>
          <w:rFonts w:ascii="Verdana;sans-serif" w:hAnsi="Verdana;sans-serif"/>
          <w:b/>
          <w:color w:val="000000"/>
          <w:sz w:val="20"/>
        </w:rPr>
        <w:t>Documents</w:t>
      </w:r>
      <w:r>
        <w:rPr>
          <w:rFonts w:ascii="Verdana;sans-serif" w:hAnsi="Verdana;sans-serif"/>
          <w:color w:val="000000"/>
          <w:sz w:val="20"/>
        </w:rPr>
        <w:t>"):</w:t>
      </w:r>
    </w:p>
    <w:p>
      <w:pPr>
        <w:pStyle w:val="TextBody"/>
        <w:bidi w:val="0"/>
        <w:spacing w:before="0" w:after="120"/>
        <w:jc w:val="both"/>
        <w:rPr>
          <w:rFonts w:ascii="Verdana" w:hAnsi="Verdana"/>
          <w:color w:val="000000"/>
          <w:sz w:val="20"/>
        </w:rPr>
      </w:pPr>
      <w:r>
        <w:rPr>
          <w:rFonts w:ascii="Verdana" w:hAnsi="Verdana"/>
          <w:color w:val="000000"/>
          <w:sz w:val="20"/>
        </w:rPr>
        <w:t>a)</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an electronic copy of the Registration Statement, including the Prospectuses;</w:t>
      </w:r>
    </w:p>
    <w:p>
      <w:pPr>
        <w:pStyle w:val="TextBody"/>
        <w:bidi w:val="0"/>
        <w:spacing w:before="0" w:after="120"/>
        <w:jc w:val="both"/>
        <w:rPr>
          <w:rFonts w:ascii="Verdana" w:hAnsi="Verdana"/>
          <w:color w:val="000000"/>
          <w:sz w:val="20"/>
        </w:rPr>
      </w:pPr>
      <w:r>
        <w:rPr>
          <w:rFonts w:ascii="Verdana" w:hAnsi="Verdana"/>
          <w:color w:val="000000"/>
          <w:sz w:val="20"/>
        </w:rPr>
        <w:t>b)</w:t>
      </w:r>
    </w:p>
    <w:p>
      <w:pPr>
        <w:pStyle w:val="TextBody"/>
        <w:bidi w:val="0"/>
        <w:spacing w:before="0" w:after="120"/>
        <w:jc w:val="both"/>
        <w:rPr/>
      </w:pPr>
      <w:r>
        <w:rPr>
          <w:rFonts w:ascii="Verdana;sans-serif" w:hAnsi="Verdana;sans-serif"/>
          <w:color w:val="000000"/>
          <w:sz w:val="20"/>
        </w:rPr>
        <w:t>an electronic copy of a certified extract from the Commercial Register of the Canton of Zug (the "</w:t>
      </w:r>
      <w:r>
        <w:rPr>
          <w:rFonts w:ascii="Verdana;sans-serif" w:hAnsi="Verdana;sans-serif"/>
          <w:b/>
          <w:color w:val="000000"/>
          <w:sz w:val="20"/>
        </w:rPr>
        <w:t>Commercial Register</w:t>
      </w:r>
      <w:r>
        <w:rPr>
          <w:rFonts w:ascii="Verdana;sans-serif" w:hAnsi="Verdana;sans-serif"/>
          <w:color w:val="000000"/>
          <w:sz w:val="20"/>
        </w:rPr>
        <w:t>") dated 3 March 2026 regarding the Company (the "</w:t>
      </w:r>
      <w:r>
        <w:rPr>
          <w:rFonts w:ascii="Verdana;sans-serif" w:hAnsi="Verdana;sans-serif"/>
          <w:b/>
          <w:color w:val="000000"/>
          <w:sz w:val="20"/>
        </w:rPr>
        <w:t>Register Extract</w:t>
      </w:r>
      <w:r>
        <w:rPr>
          <w:rFonts w:ascii="Verdana;sans-serif" w:hAnsi="Verdana;sans-serif"/>
          <w:color w:val="000000"/>
          <w:sz w:val="20"/>
        </w:rPr>
        <w:t xml:space="preserve">"); </w:t>
      </w:r>
    </w:p>
    <w:p>
      <w:pPr>
        <w:pStyle w:val="TextBody"/>
        <w:bidi w:val="0"/>
        <w:spacing w:before="0" w:after="120"/>
        <w:jc w:val="both"/>
        <w:rPr>
          <w:rFonts w:ascii="Verdana" w:hAnsi="Verdana"/>
          <w:color w:val="000000"/>
          <w:sz w:val="20"/>
        </w:rPr>
      </w:pPr>
      <w:r>
        <w:rPr>
          <w:rFonts w:ascii="Verdana" w:hAnsi="Verdana"/>
          <w:color w:val="000000"/>
          <w:sz w:val="20"/>
        </w:rPr>
        <w:t>c)</w:t>
      </w:r>
    </w:p>
    <w:p>
      <w:pPr>
        <w:pStyle w:val="TextBody"/>
        <w:bidi w:val="0"/>
        <w:spacing w:before="0" w:after="120"/>
        <w:jc w:val="both"/>
        <w:rPr/>
      </w:pPr>
      <w:r>
        <w:rPr>
          <w:rFonts w:ascii="Verdana;sans-serif" w:hAnsi="Verdana;sans-serif"/>
          <w:color w:val="000000"/>
          <w:sz w:val="20"/>
        </w:rPr>
        <w:t>the articles of association (</w:t>
      </w:r>
      <w:r>
        <w:rPr>
          <w:rFonts w:ascii="Verdana;sans-serif" w:hAnsi="Verdana;sans-serif"/>
          <w:i/>
          <w:color w:val="000000"/>
          <w:sz w:val="20"/>
        </w:rPr>
        <w:t>Statuten</w:t>
      </w:r>
      <w:r>
        <w:rPr>
          <w:rFonts w:ascii="Verdana;sans-serif" w:hAnsi="Verdana;sans-serif"/>
          <w:color w:val="000000"/>
          <w:sz w:val="20"/>
        </w:rPr>
        <w:t>) of the Company dated 2 March 2026, shown on the Register Extract as being the most recent articles of association filed with the Commercial Register (the "</w:t>
      </w:r>
      <w:r>
        <w:rPr>
          <w:rFonts w:ascii="Verdana;sans-serif" w:hAnsi="Verdana;sans-serif"/>
          <w:b/>
          <w:color w:val="000000"/>
          <w:sz w:val="20"/>
        </w:rPr>
        <w:t>Articles of Association</w:t>
      </w:r>
      <w:r>
        <w:rPr>
          <w:rFonts w:ascii="Verdana;sans-serif" w:hAnsi="Verdana;sans-serif"/>
          <w:color w:val="000000"/>
          <w:sz w:val="20"/>
        </w:rPr>
        <w:t>"); and</w:t>
      </w:r>
    </w:p>
    <w:p>
      <w:pPr>
        <w:pStyle w:val="TextBody"/>
        <w:bidi w:val="0"/>
        <w:spacing w:before="0" w:after="120"/>
        <w:jc w:val="both"/>
        <w:rPr>
          <w:rFonts w:ascii="Verdana" w:hAnsi="Verdana"/>
          <w:color w:val="000000"/>
          <w:sz w:val="20"/>
        </w:rPr>
      </w:pPr>
      <w:r>
        <w:rPr>
          <w:rFonts w:ascii="Verdana" w:hAnsi="Verdana"/>
          <w:color w:val="000000"/>
          <w:sz w:val="20"/>
        </w:rPr>
        <w:t>d)</w:t>
      </w:r>
    </w:p>
    <w:p>
      <w:pPr>
        <w:pStyle w:val="TextBody"/>
        <w:bidi w:val="0"/>
        <w:spacing w:before="0" w:after="120"/>
        <w:jc w:val="both"/>
        <w:rPr/>
      </w:pPr>
      <w:r>
        <w:rPr>
          <w:rFonts w:ascii="Verdana;sans-serif" w:hAnsi="Verdana;sans-serif"/>
          <w:color w:val="000000"/>
          <w:sz w:val="20"/>
        </w:rPr>
        <w:t>an electronic copy of the written resolution of the Company's board of directors, dated as of 25/26/27 February 2026, approving, among other things, (i) the filing of the Prospectuses with the SEC and (ii) the issuance, offering and sale of the Offered Shares (the "</w:t>
      </w:r>
      <w:r>
        <w:rPr>
          <w:rFonts w:ascii="Verdana;sans-serif" w:hAnsi="Verdana;sans-serif"/>
          <w:b/>
          <w:color w:val="000000"/>
          <w:sz w:val="20"/>
        </w:rPr>
        <w:t>Board Resolutions</w:t>
      </w:r>
      <w:r>
        <w:rPr>
          <w:rFonts w:ascii="Verdana;sans-serif" w:hAnsi="Verdana;sans-serif"/>
          <w:color w:val="000000"/>
          <w:sz w:val="20"/>
        </w:rPr>
        <w:t>").</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No documents have been reviewed by us in connection with this opinion other than those listed above. Accordingly, our opinion is limited to the above Documents and their legal implications under Swiss law.</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All terms used in this opinion in uppercase form shall have the meaning ascribed to them in the Registration Statement, unless otherwise defined herein.</w:t>
      </w:r>
    </w:p>
    <w:p>
      <w:pPr>
        <w:pStyle w:val="TextBody"/>
        <w:bidi w:val="0"/>
        <w:spacing w:before="120" w:after="12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14"/>
        </w:rPr>
      </w:pPr>
      <w:r>
        <w:rPr>
          <w:rFonts w:ascii="Verdana;sans-serif" w:hAnsi="Verdana;sans-serif"/>
          <w:color w:val="000000"/>
          <w:sz w:val="14"/>
        </w:rPr>
        <w:t>4 March 2026 3</w:t>
      </w:r>
    </w:p>
    <w:p>
      <w:pPr>
        <w:pStyle w:val="TextBody"/>
        <w:bidi w:val="0"/>
        <w:spacing w:before="360" w:after="120"/>
        <w:jc w:val="left"/>
        <w:rPr>
          <w:rFonts w:ascii="Verdana" w:hAnsi="Verdana"/>
          <w:b/>
          <w:caps/>
          <w:color w:val="000000"/>
          <w:sz w:val="20"/>
        </w:rPr>
      </w:pPr>
      <w:r>
        <w:rPr>
          <w:rFonts w:ascii="Verdana" w:hAnsi="Verdana"/>
          <w:b/>
          <w:caps/>
          <w:color w:val="000000"/>
          <w:sz w:val="20"/>
        </w:rPr>
        <w:t>II.</w:t>
      </w:r>
    </w:p>
    <w:p>
      <w:pPr>
        <w:pStyle w:val="TextBody"/>
        <w:bidi w:val="0"/>
        <w:spacing w:before="360" w:after="120"/>
        <w:jc w:val="left"/>
        <w:rPr>
          <w:rFonts w:ascii="Verdana;sans-serif" w:hAnsi="Verdana;sans-serif"/>
          <w:b/>
          <w:caps/>
          <w:color w:val="000000"/>
          <w:sz w:val="20"/>
        </w:rPr>
      </w:pPr>
      <w:r>
        <w:rPr>
          <w:rFonts w:ascii="Verdana;sans-serif" w:hAnsi="Verdana;sans-serif"/>
          <w:b/>
          <w:caps/>
          <w:color w:val="000000"/>
          <w:sz w:val="20"/>
        </w:rPr>
        <w:t xml:space="preserve">Assumptions </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In rendering the opinion below, we have assumed the following:</w:t>
      </w:r>
    </w:p>
    <w:p>
      <w:pPr>
        <w:pStyle w:val="TextBody"/>
        <w:bidi w:val="0"/>
        <w:spacing w:before="0" w:after="120"/>
        <w:jc w:val="both"/>
        <w:rPr>
          <w:rFonts w:ascii="Verdana" w:hAnsi="Verdana"/>
          <w:color w:val="000000"/>
          <w:sz w:val="20"/>
        </w:rPr>
      </w:pPr>
      <w:r>
        <w:rPr>
          <w:rFonts w:ascii="Verdana" w:hAnsi="Verdana"/>
          <w:color w:val="000000"/>
          <w:sz w:val="20"/>
        </w:rPr>
        <w:t>a)</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all documents produced to us as originals are authentic and complete, and all documents produced to us as copies (including, without limitation, electronic copies) conform to the original;</w:t>
      </w:r>
    </w:p>
    <w:p>
      <w:pPr>
        <w:pStyle w:val="TextBody"/>
        <w:bidi w:val="0"/>
        <w:spacing w:before="0" w:after="120"/>
        <w:jc w:val="both"/>
        <w:rPr>
          <w:rFonts w:ascii="Verdana" w:hAnsi="Verdana"/>
          <w:color w:val="000000"/>
          <w:sz w:val="20"/>
        </w:rPr>
      </w:pPr>
      <w:r>
        <w:rPr>
          <w:rFonts w:ascii="Verdana" w:hAnsi="Verdana"/>
          <w:color w:val="000000"/>
          <w:sz w:val="20"/>
        </w:rPr>
        <w:t>b)</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all documents produced to us as originals and the originals of all documents produced to us as copies were duly executed and certified, as applicable, by the individuals purported to have executed or certified, as the case may be, such documents, and any electronic signatures on any such document have been affixed thereto by the individual to whom such electronic signature belongs;</w:t>
      </w:r>
    </w:p>
    <w:p>
      <w:pPr>
        <w:pStyle w:val="TextBody"/>
        <w:bidi w:val="0"/>
        <w:spacing w:before="0" w:after="120"/>
        <w:jc w:val="both"/>
        <w:rPr>
          <w:rFonts w:ascii="Verdana" w:hAnsi="Verdana"/>
          <w:color w:val="000000"/>
          <w:sz w:val="20"/>
        </w:rPr>
      </w:pPr>
      <w:r>
        <w:rPr>
          <w:rFonts w:ascii="Verdana" w:hAnsi="Verdana"/>
          <w:color w:val="000000"/>
          <w:sz w:val="20"/>
        </w:rPr>
        <w:t>c)</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 xml:space="preserve">to the extent relevant for purposes of this opinion, any and all information contained in the Documents is and will be true, complete and accurate at all relevant times; </w:t>
      </w:r>
    </w:p>
    <w:p>
      <w:pPr>
        <w:pStyle w:val="TextBody"/>
        <w:bidi w:val="0"/>
        <w:spacing w:before="0" w:after="120"/>
        <w:jc w:val="both"/>
        <w:rPr>
          <w:rFonts w:ascii="Verdana" w:hAnsi="Verdana"/>
          <w:color w:val="000000"/>
          <w:sz w:val="20"/>
        </w:rPr>
      </w:pPr>
      <w:r>
        <w:rPr>
          <w:rFonts w:ascii="Verdana" w:hAnsi="Verdana"/>
          <w:color w:val="000000"/>
          <w:sz w:val="20"/>
        </w:rPr>
        <w:t>d)</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Board Resolutions have been duly resolved by circular resolutions duly executed and have not been rescinded or amended and are in full force and effect;</w:t>
      </w:r>
    </w:p>
    <w:p>
      <w:pPr>
        <w:pStyle w:val="TextBody"/>
        <w:bidi w:val="0"/>
        <w:spacing w:before="0" w:after="120"/>
        <w:jc w:val="both"/>
        <w:rPr>
          <w:rFonts w:ascii="Verdana" w:hAnsi="Verdana"/>
          <w:color w:val="000000"/>
          <w:sz w:val="20"/>
        </w:rPr>
      </w:pPr>
      <w:r>
        <w:rPr>
          <w:rFonts w:ascii="Verdana" w:hAnsi="Verdana"/>
          <w:color w:val="000000"/>
          <w:sz w:val="20"/>
        </w:rPr>
        <w:t>e)</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in relation to the Company, there have been no changes of the Articles of Association or their respective registration in the Commercial Register or compared to the Articles of Association in the form examined by us;</w:t>
      </w:r>
    </w:p>
    <w:p>
      <w:pPr>
        <w:pStyle w:val="TextBody"/>
        <w:bidi w:val="0"/>
        <w:spacing w:before="0" w:after="120"/>
        <w:jc w:val="both"/>
        <w:rPr>
          <w:rFonts w:ascii="Verdana" w:hAnsi="Verdana"/>
          <w:color w:val="000000"/>
          <w:sz w:val="20"/>
        </w:rPr>
      </w:pPr>
      <w:r>
        <w:rPr>
          <w:rFonts w:ascii="Verdana" w:hAnsi="Verdana"/>
          <w:color w:val="000000"/>
          <w:sz w:val="20"/>
        </w:rPr>
        <w:t>f)</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Registration Statement including the Prospectuses have been filed by the Company;</w:t>
      </w:r>
    </w:p>
    <w:p>
      <w:pPr>
        <w:pStyle w:val="TextBody"/>
        <w:bidi w:val="0"/>
        <w:spacing w:before="0" w:after="120"/>
        <w:jc w:val="both"/>
        <w:rPr>
          <w:rFonts w:ascii="Verdana" w:hAnsi="Verdana"/>
          <w:color w:val="000000"/>
          <w:sz w:val="20"/>
        </w:rPr>
      </w:pPr>
      <w:r>
        <w:rPr>
          <w:rFonts w:ascii="Verdana" w:hAnsi="Verdana"/>
          <w:color w:val="000000"/>
          <w:sz w:val="20"/>
        </w:rPr>
        <w:t>g)</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all authorizations, approvals, consents, licenses, exemptions, other than as required by mandatory Swiss law applicable to the Company or the Articles of Association, and other requirements for the filing of the Registration Statement and the Prospectuses or for any other activities carried on in view of, or in connection with, the performance of the obligations expressed to be undertaken by the Company in the Registration Statement and the Prospectuses have been duly obtained and are and will remain in full force and effect, and any related conditions to which the parties thereto are subject have been satisfied; and</w:t>
      </w:r>
    </w:p>
    <w:p>
      <w:pPr>
        <w:pStyle w:val="TextBody"/>
        <w:bidi w:val="0"/>
        <w:spacing w:before="0" w:after="120"/>
        <w:jc w:val="both"/>
        <w:rPr>
          <w:rFonts w:ascii="Verdana" w:hAnsi="Verdana"/>
          <w:color w:val="000000"/>
          <w:sz w:val="20"/>
        </w:rPr>
      </w:pPr>
      <w:r>
        <w:rPr>
          <w:rFonts w:ascii="Verdana" w:hAnsi="Verdana"/>
          <w:color w:val="000000"/>
          <w:sz w:val="20"/>
        </w:rPr>
        <w:t>h)</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 the number of Ordinary Shares will not exceed the number of registered shares that may be issued under the Articles of Association (as may be amended from time to time), (ii) prior to the offering and sale of any Offered Securities, the Registration Statement will have become effective, and (iii) the issuance of and payment for the Offered Securities will be made in accordance with the Articles of Association (as may be amended from time to time), the Registration Statement, the Prospectuses and Swiss law;</w:t>
      </w:r>
    </w:p>
    <w:p>
      <w:pPr>
        <w:pStyle w:val="TextBody"/>
        <w:bidi w:val="0"/>
        <w:spacing w:before="120" w:after="12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14"/>
        </w:rPr>
      </w:pPr>
      <w:r>
        <w:rPr>
          <w:rFonts w:ascii="Verdana;sans-serif" w:hAnsi="Verdana;sans-serif"/>
          <w:color w:val="000000"/>
          <w:sz w:val="14"/>
        </w:rPr>
        <w:t>4 March 2026 4</w:t>
      </w:r>
    </w:p>
    <w:p>
      <w:pPr>
        <w:pStyle w:val="TextBody"/>
        <w:bidi w:val="0"/>
        <w:spacing w:before="120" w:after="120"/>
        <w:jc w:val="both"/>
        <w:rPr>
          <w:rFonts w:ascii="Verdana" w:hAnsi="Verdana"/>
          <w:color w:val="000000"/>
          <w:sz w:val="20"/>
        </w:rPr>
      </w:pPr>
      <w:r>
        <w:rPr>
          <w:rFonts w:ascii="Verdana" w:hAnsi="Verdana"/>
          <w:color w:val="000000"/>
          <w:sz w:val="20"/>
        </w:rPr>
        <w:t>i)</w:t>
      </w:r>
    </w:p>
    <w:p>
      <w:pPr>
        <w:pStyle w:val="TextBody"/>
        <w:bidi w:val="0"/>
        <w:spacing w:before="120" w:after="120"/>
        <w:jc w:val="both"/>
        <w:rPr>
          <w:rFonts w:ascii="Verdana;sans-serif" w:hAnsi="Verdana;sans-serif"/>
          <w:color w:val="000000"/>
          <w:sz w:val="20"/>
        </w:rPr>
      </w:pPr>
      <w:r>
        <w:rPr>
          <w:rFonts w:ascii="Verdana;sans-serif" w:hAnsi="Verdana;sans-serif"/>
          <w:color w:val="000000"/>
          <w:sz w:val="20"/>
        </w:rPr>
        <w:t>prior to the issuance, offering and sale of any Offered Securities, the board of directors of the Company will have duly authorized the issuance, offering and sale of such Offered Securities and will have validly excluded the pre-emptive rights of the existing shareholders for purposes of the issuance, offering and sale of such Offered Securities as contemplated in the Registration Statement, the Prospectuses, as applicable, and such authorization and exclusion will not have been amended and will be in full force and effect until the issuance of all such Offered Securities;</w:t>
      </w:r>
    </w:p>
    <w:p>
      <w:pPr>
        <w:pStyle w:val="TextBody"/>
        <w:bidi w:val="0"/>
        <w:spacing w:before="0" w:after="120"/>
        <w:jc w:val="both"/>
        <w:rPr>
          <w:rFonts w:ascii="Verdana" w:hAnsi="Verdana"/>
          <w:color w:val="000000"/>
          <w:sz w:val="20"/>
        </w:rPr>
      </w:pPr>
      <w:r>
        <w:rPr>
          <w:rFonts w:ascii="Verdana" w:hAnsi="Verdana"/>
          <w:color w:val="000000"/>
          <w:sz w:val="20"/>
        </w:rPr>
        <w:t>j)</w:t>
      </w:r>
    </w:p>
    <w:p>
      <w:pPr>
        <w:pStyle w:val="TextBody"/>
        <w:bidi w:val="0"/>
        <w:spacing w:before="0" w:after="120"/>
        <w:jc w:val="both"/>
        <w:rPr/>
      </w:pPr>
      <w:r>
        <w:rPr>
          <w:rFonts w:ascii="Verdana;sans-serif" w:hAnsi="Verdana;sans-serif"/>
          <w:color w:val="000000"/>
          <w:sz w:val="20"/>
        </w:rPr>
        <w:t>the Company has not entered and will not enter into any transaction which could be construed as repayment of share capital (</w:t>
      </w:r>
      <w:r>
        <w:rPr>
          <w:rFonts w:ascii="Verdana;sans-serif" w:hAnsi="Verdana;sans-serif"/>
          <w:i/>
          <w:color w:val="000000"/>
          <w:sz w:val="20"/>
        </w:rPr>
        <w:t>Einlagenrückgewähr</w:t>
      </w:r>
      <w:r>
        <w:rPr>
          <w:rFonts w:ascii="Verdana;sans-serif" w:hAnsi="Verdana;sans-serif"/>
          <w:color w:val="000000"/>
          <w:sz w:val="20"/>
        </w:rPr>
        <w:t>) and has not undertaken and will not undertake an acquisition in kind (</w:t>
      </w:r>
      <w:r>
        <w:rPr>
          <w:rFonts w:ascii="Verdana;sans-serif" w:hAnsi="Verdana;sans-serif"/>
          <w:i/>
          <w:color w:val="000000"/>
          <w:sz w:val="20"/>
        </w:rPr>
        <w:t>Sacheinlage</w:t>
      </w:r>
      <w:r>
        <w:rPr>
          <w:rFonts w:ascii="Verdana;sans-serif" w:hAnsi="Verdana;sans-serif"/>
          <w:color w:val="000000"/>
          <w:sz w:val="20"/>
        </w:rPr>
        <w:t>) without complying with the formal procedure set forth in article 634 of the Swiss Code of Obligations (the "</w:t>
      </w:r>
      <w:r>
        <w:rPr>
          <w:rFonts w:ascii="Verdana;sans-serif" w:hAnsi="Verdana;sans-serif"/>
          <w:b/>
          <w:color w:val="000000"/>
          <w:sz w:val="20"/>
        </w:rPr>
        <w:t>CO</w:t>
      </w:r>
      <w:r>
        <w:rPr>
          <w:rFonts w:ascii="Verdana;sans-serif" w:hAnsi="Verdana;sans-serif"/>
          <w:color w:val="000000"/>
          <w:sz w:val="20"/>
        </w:rPr>
        <w:t>"), a set-off against a claim (</w:t>
      </w:r>
      <w:r>
        <w:rPr>
          <w:rFonts w:ascii="Verdana;sans-serif" w:hAnsi="Verdana;sans-serif"/>
          <w:i/>
          <w:color w:val="000000"/>
          <w:sz w:val="20"/>
        </w:rPr>
        <w:t>Verrechnung</w:t>
      </w:r>
      <w:r>
        <w:rPr>
          <w:rFonts w:ascii="Verdana;sans-serif" w:hAnsi="Verdana;sans-serif"/>
          <w:color w:val="000000"/>
          <w:sz w:val="20"/>
        </w:rPr>
        <w:t>) without complying with the formal procedure set forth in article 634a CO, or a conversion of equity surplus (</w:t>
      </w:r>
      <w:r>
        <w:rPr>
          <w:rFonts w:ascii="Verdana;sans-serif" w:hAnsi="Verdana;sans-serif"/>
          <w:i/>
          <w:color w:val="000000"/>
          <w:sz w:val="20"/>
        </w:rPr>
        <w:t>Umwandlung von frei verwendbarem Eigenkapital</w:t>
      </w:r>
      <w:r>
        <w:rPr>
          <w:rFonts w:ascii="Verdana;sans-serif" w:hAnsi="Verdana;sans-serif"/>
          <w:color w:val="000000"/>
          <w:sz w:val="20"/>
        </w:rPr>
        <w:t>) without complying with the formal procedure set forth in article 652d CO; and</w:t>
      </w:r>
    </w:p>
    <w:p>
      <w:pPr>
        <w:pStyle w:val="TextBody"/>
        <w:bidi w:val="0"/>
        <w:spacing w:before="0" w:after="120"/>
        <w:jc w:val="both"/>
        <w:rPr>
          <w:rFonts w:ascii="Verdana" w:hAnsi="Verdana"/>
          <w:color w:val="000000"/>
          <w:sz w:val="20"/>
        </w:rPr>
      </w:pPr>
      <w:r>
        <w:rPr>
          <w:rFonts w:ascii="Verdana" w:hAnsi="Verdana"/>
          <w:color w:val="000000"/>
          <w:sz w:val="20"/>
        </w:rPr>
        <w:t>k)</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there are no provisions of the laws of any jurisdiction outside Switzerland which would have any implication for the opinion we express and that, insofar as the laws of any jurisdiction outside Switzerland may be relevant, such laws have been or will be complied with.</w:t>
      </w:r>
    </w:p>
    <w:p>
      <w:pPr>
        <w:pStyle w:val="TextBody"/>
        <w:bidi w:val="0"/>
        <w:spacing w:before="240" w:after="120"/>
        <w:jc w:val="left"/>
        <w:rPr>
          <w:rFonts w:ascii="Verdana" w:hAnsi="Verdana"/>
          <w:b/>
          <w:caps/>
          <w:color w:val="000000"/>
          <w:sz w:val="20"/>
        </w:rPr>
      </w:pPr>
      <w:r>
        <w:rPr>
          <w:rFonts w:ascii="Verdana" w:hAnsi="Verdana"/>
          <w:b/>
          <w:caps/>
          <w:color w:val="000000"/>
          <w:sz w:val="20"/>
        </w:rPr>
        <w:t>III.</w:t>
      </w:r>
    </w:p>
    <w:p>
      <w:pPr>
        <w:pStyle w:val="TextBody"/>
        <w:bidi w:val="0"/>
        <w:spacing w:before="240" w:after="120"/>
        <w:jc w:val="left"/>
        <w:rPr>
          <w:rFonts w:ascii="Verdana;sans-serif" w:hAnsi="Verdana;sans-serif"/>
          <w:b/>
          <w:caps/>
          <w:color w:val="000000"/>
          <w:sz w:val="20"/>
        </w:rPr>
      </w:pPr>
      <w:r>
        <w:rPr>
          <w:rFonts w:ascii="Verdana;sans-serif" w:hAnsi="Verdana;sans-serif"/>
          <w:b/>
          <w:caps/>
          <w:color w:val="000000"/>
          <w:sz w:val="20"/>
        </w:rPr>
        <w:t>Opinion</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Based upon the foregoing and subject to the qualifications set out below, we are of the opinion that the Ordinary Shares, any Ordinary Shares to be issued upon conversion, exercise, exchange or otherwise pursuant to the terms of any of the Offered Securities, and the Offered Shares, if and when issued and paid for pursuant to the Articles of Association, the underlying contractual arrangements and Swiss law – in particular after the issue price for such Ordinary Shares has been paid-in in accordance with the Articles of Association, the underlying contractual arrangements and Swiss law and upon registration of the corresponding share capital increase with the Commercial Register of the Canton of Zug – and if and when such Ordinary Shares have been entered into the Company's book of uncertificated securities, have been or will be, as applicable, validly issued, fully paid as to their nominal value and non-assessable.</w:t>
      </w:r>
    </w:p>
    <w:p>
      <w:pPr>
        <w:pStyle w:val="TextBody"/>
        <w:bidi w:val="0"/>
        <w:spacing w:before="120" w:after="12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14"/>
        </w:rPr>
      </w:pPr>
      <w:r>
        <w:rPr>
          <w:rFonts w:ascii="Verdana;sans-serif" w:hAnsi="Verdana;sans-serif"/>
          <w:color w:val="000000"/>
          <w:sz w:val="14"/>
        </w:rPr>
        <w:t>4 March 2026 5</w:t>
      </w:r>
    </w:p>
    <w:p>
      <w:pPr>
        <w:pStyle w:val="TextBody"/>
        <w:bidi w:val="0"/>
        <w:spacing w:before="360" w:after="120"/>
        <w:jc w:val="left"/>
        <w:rPr>
          <w:rFonts w:ascii="Verdana" w:hAnsi="Verdana"/>
          <w:b/>
          <w:caps/>
          <w:color w:val="000000"/>
          <w:sz w:val="20"/>
        </w:rPr>
      </w:pPr>
      <w:r>
        <w:rPr>
          <w:rFonts w:ascii="Verdana" w:hAnsi="Verdana"/>
          <w:b/>
          <w:caps/>
          <w:color w:val="000000"/>
          <w:sz w:val="20"/>
        </w:rPr>
        <w:t>IV.</w:t>
      </w:r>
    </w:p>
    <w:p>
      <w:pPr>
        <w:pStyle w:val="TextBody"/>
        <w:bidi w:val="0"/>
        <w:spacing w:before="360" w:after="120"/>
        <w:jc w:val="left"/>
        <w:rPr>
          <w:rFonts w:ascii="Verdana;sans-serif" w:hAnsi="Verdana;sans-serif"/>
          <w:b/>
          <w:caps/>
          <w:color w:val="000000"/>
          <w:sz w:val="20"/>
        </w:rPr>
      </w:pPr>
      <w:r>
        <w:rPr>
          <w:rFonts w:ascii="Verdana;sans-serif" w:hAnsi="Verdana;sans-serif"/>
          <w:b/>
          <w:caps/>
          <w:color w:val="000000"/>
          <w:sz w:val="20"/>
        </w:rPr>
        <w:t>Qualifications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This opinion is subject to the following qualifications:</w:t>
      </w:r>
    </w:p>
    <w:p>
      <w:pPr>
        <w:pStyle w:val="TextBody"/>
        <w:bidi w:val="0"/>
        <w:spacing w:before="0" w:after="120"/>
        <w:jc w:val="both"/>
        <w:rPr>
          <w:rFonts w:ascii="Verdana" w:hAnsi="Verdana"/>
          <w:color w:val="000000"/>
          <w:sz w:val="20"/>
        </w:rPr>
      </w:pPr>
      <w:r>
        <w:rPr>
          <w:rFonts w:ascii="Verdana" w:hAnsi="Verdana"/>
          <w:color w:val="000000"/>
          <w:sz w:val="20"/>
        </w:rPr>
        <w:t>a)</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This opinion is limited to matters of Swiss law as in force on the date hereof and as applied and construed by the courts of Switzerland.</w:t>
      </w:r>
    </w:p>
    <w:p>
      <w:pPr>
        <w:pStyle w:val="TextBody"/>
        <w:bidi w:val="0"/>
        <w:spacing w:before="0" w:after="120"/>
        <w:jc w:val="both"/>
        <w:rPr>
          <w:rFonts w:ascii="Verdana" w:hAnsi="Verdana"/>
          <w:color w:val="000000"/>
          <w:sz w:val="20"/>
        </w:rPr>
      </w:pPr>
      <w:r>
        <w:rPr>
          <w:rFonts w:ascii="Verdana" w:hAnsi="Verdana"/>
          <w:color w:val="000000"/>
          <w:sz w:val="20"/>
        </w:rPr>
        <w:t>b)</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exercise of voting rights and rights related thereto with respect to any Ordinary Shares is only permissible after registration in the Company's share register as a shareholder with voting rights in accordance with the provisions of, and subject to the limitations provided in, the Articles of Association.</w:t>
      </w:r>
    </w:p>
    <w:p>
      <w:pPr>
        <w:pStyle w:val="TextBody"/>
        <w:bidi w:val="0"/>
        <w:spacing w:before="0" w:after="120"/>
        <w:jc w:val="both"/>
        <w:rPr>
          <w:rFonts w:ascii="Verdana" w:hAnsi="Verdana"/>
          <w:color w:val="000000"/>
          <w:sz w:val="20"/>
        </w:rPr>
      </w:pPr>
      <w:r>
        <w:rPr>
          <w:rFonts w:ascii="Verdana" w:hAnsi="Verdana"/>
          <w:color w:val="000000"/>
          <w:sz w:val="20"/>
        </w:rPr>
        <w:t>c)</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We express no opinion as to whether the Registration Statement or the Prospectuses are accurate, true, correct, complete or not misleading. In particular, and without limitation to the foregoing, we express no opinion as to whether the Registration Statement and the Prospectuses provide sufficient information for investors to reach an informed assessment of the Company and the Offered Securities.</w:t>
      </w:r>
    </w:p>
    <w:p>
      <w:pPr>
        <w:pStyle w:val="TextBody"/>
        <w:bidi w:val="0"/>
        <w:spacing w:before="0" w:after="120"/>
        <w:jc w:val="both"/>
        <w:rPr>
          <w:rFonts w:ascii="Verdana" w:hAnsi="Verdana"/>
          <w:color w:val="000000"/>
          <w:sz w:val="20"/>
        </w:rPr>
      </w:pPr>
      <w:r>
        <w:rPr>
          <w:rFonts w:ascii="Verdana" w:hAnsi="Verdana"/>
          <w:color w:val="000000"/>
          <w:sz w:val="20"/>
        </w:rPr>
        <w:t>d)</w:t>
      </w:r>
    </w:p>
    <w:p>
      <w:pPr>
        <w:pStyle w:val="TextBody"/>
        <w:bidi w:val="0"/>
        <w:spacing w:before="0" w:after="120"/>
        <w:jc w:val="both"/>
        <w:rPr/>
      </w:pPr>
      <w:r>
        <w:rPr>
          <w:rFonts w:ascii="Verdana;sans-serif" w:hAnsi="Verdana;sans-serif"/>
          <w:color w:val="000000"/>
          <w:sz w:val="20"/>
        </w:rPr>
        <w:t>Notwithstanding or irrespective of registration of the capital increase with respect to the Ordinary Shares out of the capital band (</w:t>
      </w:r>
      <w:r>
        <w:rPr>
          <w:rFonts w:ascii="Verdana;sans-serif" w:hAnsi="Verdana;sans-serif"/>
          <w:i/>
          <w:color w:val="000000"/>
          <w:sz w:val="20"/>
        </w:rPr>
        <w:t>Kapitalband</w:t>
      </w:r>
      <w:r>
        <w:rPr>
          <w:rFonts w:ascii="Verdana;sans-serif" w:hAnsi="Verdana;sans-serif"/>
          <w:color w:val="000000"/>
          <w:sz w:val="20"/>
        </w:rPr>
        <w:t>) reserved for the issuance of Offered Securities, with the Commercial Register, the Board Resolutions or related resolutions of the general meeting may be challenged by a dissenting shareholder of the Company or others in court or otherwise. However, we believe that such challenge of the Board Resolutions or related resolutions of the general meeting after registration of the Ordinary Shares with the Commercial Register, even if successful, would not in itself void such Offered Securities.</w:t>
      </w:r>
    </w:p>
    <w:p>
      <w:pPr>
        <w:pStyle w:val="TextBody"/>
        <w:bidi w:val="0"/>
        <w:spacing w:before="0" w:after="120"/>
        <w:jc w:val="both"/>
        <w:rPr>
          <w:rFonts w:ascii="Verdana" w:hAnsi="Verdana"/>
          <w:color w:val="000000"/>
          <w:sz w:val="20"/>
        </w:rPr>
      </w:pPr>
      <w:r>
        <w:rPr>
          <w:rFonts w:ascii="Verdana" w:hAnsi="Verdana"/>
          <w:color w:val="000000"/>
          <w:sz w:val="20"/>
        </w:rPr>
        <w:t>e)</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opinion set forth herein is limited to the matters specifically addressed herein, and no other opinion or opinions are expressed or may be implied or inferred. In particular, we express no opinion as to any commercial, calculating, auditing or other non-legal matters. Further, we express in this opinion no opinion as to tax law.</w:t>
      </w:r>
    </w:p>
    <w:p>
      <w:pPr>
        <w:pStyle w:val="TextBody"/>
        <w:bidi w:val="0"/>
        <w:spacing w:before="0" w:after="120"/>
        <w:jc w:val="center"/>
        <w:rPr>
          <w:rFonts w:ascii="Verdana;sans-serif" w:hAnsi="Verdana;sans-serif"/>
          <w:color w:val="000000"/>
          <w:sz w:val="20"/>
        </w:rPr>
      </w:pPr>
      <w:r>
        <w:rPr>
          <w:rFonts w:ascii="Verdana;sans-serif" w:hAnsi="Verdana;sans-serif"/>
          <w:color w:val="000000"/>
          <w:sz w:val="20"/>
        </w:rPr>
        <w:t>* * *</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We have rendered this opinion as of the date hereof and we assume no obligation to advise you of changes that may thereafter be brought to our attention.</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In this opinion, Swiss legal concepts are expressed in English terms and not in their original terms. The concepts concerned may not be identical to the concepts described by the same English terms as they exist under the laws of other jurisdictions.</w:t>
      </w:r>
    </w:p>
    <w:p>
      <w:pPr>
        <w:pStyle w:val="TextBody"/>
        <w:bidi w:val="0"/>
        <w:spacing w:before="0" w:after="120"/>
        <w:jc w:val="both"/>
        <w:rPr>
          <w:rFonts w:ascii="Times New Roman" w:hAnsi="Times New Roman"/>
          <w:sz w:val="20"/>
        </w:rPr>
      </w:pPr>
      <w:r>
        <w:rPr>
          <w:rFonts w:ascii="Verdana;sans-serif" w:hAnsi="Verdana;sans-serif"/>
          <w:color w:val="000000"/>
          <w:sz w:val="20"/>
        </w:rPr>
        <w:t>We hereby consent to the filing of this opinion as an exhibit to the Registration Statement on Form F-3 filed on the date hereof and to the incorporation by reference of this opinion in the Registration Statement, as amended, and further consent to the reference to our name under the captions "</w:t>
      </w:r>
      <w:r>
        <w:rPr>
          <w:rFonts w:ascii="Verdana;sans-serif" w:hAnsi="Verdana;sans-serif"/>
          <w:i/>
          <w:color w:val="000000"/>
          <w:sz w:val="20"/>
        </w:rPr>
        <w:t>Legal Matters</w:t>
      </w:r>
      <w:r>
        <w:rPr>
          <w:rFonts w:ascii="Verdana;sans-serif" w:hAnsi="Verdana;sans-serif"/>
          <w:color w:val="000000"/>
          <w:sz w:val="20"/>
        </w:rPr>
        <w:t>" and "</w:t>
      </w:r>
      <w:r>
        <w:rPr>
          <w:rFonts w:ascii="Verdana;sans-serif" w:hAnsi="Verdana;sans-serif"/>
          <w:i/>
          <w:color w:val="000000"/>
          <w:sz w:val="20"/>
        </w:rPr>
        <w:t>Service of Process and Enforceability of Civil Liabilities under U.S. Securities Laws</w:t>
      </w:r>
      <w:r>
        <w:rPr>
          <w:rFonts w:ascii="Verdana;sans-serif" w:hAnsi="Verdana;sans-serif"/>
          <w:color w:val="000000"/>
          <w:sz w:val="20"/>
        </w:rPr>
        <w:t>" in the Prospectuses. In giving such consent, we do not thereby admit that we are in the category of persons whose consent is required under Section 7 of the Securities Act.</w:t>
      </w:r>
    </w:p>
    <w:p>
      <w:pPr>
        <w:pStyle w:val="TextBody"/>
        <w:bidi w:val="0"/>
        <w:spacing w:before="120" w:after="12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14"/>
        </w:rPr>
      </w:pPr>
      <w:r>
        <w:rPr>
          <w:rFonts w:ascii="Verdana;sans-serif" w:hAnsi="Verdana;sans-serif"/>
          <w:color w:val="000000"/>
          <w:sz w:val="14"/>
        </w:rPr>
        <w:t>4 March 2026 6</w:t>
      </w:r>
    </w:p>
    <w:p>
      <w:pPr>
        <w:pStyle w:val="TextBody"/>
        <w:bidi w:val="0"/>
        <w:spacing w:before="120" w:after="120"/>
        <w:jc w:val="both"/>
        <w:rPr>
          <w:rFonts w:ascii="Times New Roman" w:hAnsi="Times New Roman"/>
          <w:sz w:val="20"/>
        </w:rPr>
      </w:pPr>
      <w:r>
        <w:rPr>
          <w:rFonts w:ascii="Verdana;sans-serif" w:hAnsi="Verdana;sans-serif"/>
          <w:color w:val="000000"/>
          <w:sz w:val="20"/>
        </w:rPr>
        <w:t>This opinion is governed by and shall be construed in accordance with the laws of Switzerland.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Verdana;sans-serif" w:hAnsi="Verdana;sans-serif"/>
          <w:color w:val="000000"/>
          <w:sz w:val="20"/>
        </w:rPr>
        <w:t>[</w:t>
      </w:r>
      <w:r>
        <w:rPr>
          <w:rFonts w:ascii="Verdana;sans-serif" w:hAnsi="Verdana;sans-serif"/>
          <w:i/>
          <w:color w:val="000000"/>
          <w:sz w:val="20"/>
        </w:rPr>
        <w:t>signature page follows</w:t>
      </w:r>
      <w:r>
        <w:rPr>
          <w:rFonts w:ascii="Verdana;sans-serif" w:hAnsi="Verdana;sans-serif"/>
          <w:color w:val="000000"/>
          <w:sz w:val="20"/>
        </w:rPr>
        <w:t>]</w:t>
      </w:r>
    </w:p>
    <w:p>
      <w:pPr>
        <w:pStyle w:val="TextBody"/>
        <w:bidi w:val="0"/>
        <w:spacing w:before="120" w:after="12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14"/>
        </w:rPr>
      </w:pPr>
      <w:r>
        <w:rPr>
          <w:rFonts w:ascii="Verdana;sans-serif" w:hAnsi="Verdana;sans-serif"/>
          <w:color w:val="000000"/>
          <w:sz w:val="14"/>
        </w:rPr>
        <w:t>4 March 2026 7</w:t>
      </w:r>
    </w:p>
    <w:p>
      <w:pPr>
        <w:pStyle w:val="TextBody"/>
        <w:bidi w:val="0"/>
        <w:spacing w:before="120" w:after="120"/>
        <w:jc w:val="both"/>
        <w:rPr>
          <w:rFonts w:ascii="Verdana;sans-serif" w:hAnsi="Verdana;sans-serif"/>
          <w:color w:val="000000"/>
          <w:sz w:val="20"/>
        </w:rPr>
      </w:pPr>
      <w:r>
        <w:rPr>
          <w:rFonts w:ascii="Verdana;sans-serif" w:hAnsi="Verdana;sans-serif"/>
          <w:color w:val="000000"/>
          <w:sz w:val="20"/>
        </w:rPr>
        <w:t>Very truly yours,</w:t>
      </w:r>
    </w:p>
    <w:p>
      <w:pPr>
        <w:pStyle w:val="TextBody"/>
        <w:bidi w:val="0"/>
        <w:spacing w:before="0" w:after="120"/>
        <w:jc w:val="left"/>
        <w:rPr>
          <w:rFonts w:ascii="Verdana;sans-serif" w:hAnsi="Verdana;sans-serif"/>
          <w:color w:val="000000"/>
          <w:sz w:val="20"/>
        </w:rPr>
      </w:pPr>
      <w:r>
        <w:rPr>
          <w:rFonts w:ascii="Verdana;sans-serif" w:hAnsi="Verdana;sans-serif"/>
          <w:color w:val="000000"/>
          <w:sz w:val="20"/>
        </w:rPr>
        <w:t>VISCHER AG</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Verdana;sans-serif" w:hAnsi="Verdana;sans-serif"/>
          <w:color w:val="000000"/>
          <w:sz w:val="20"/>
          <w:u w:val="single"/>
        </w:rPr>
        <w:t xml:space="preserve">/s/ Dr. Matthias Staehelin____ </w:t>
      </w:r>
      <w:r>
        <w:rPr>
          <w:rFonts w:ascii="Verdana;sans-serif" w:hAnsi="Verdana;sans-serif"/>
          <w:color w:val="000000"/>
          <w:sz w:val="20"/>
        </w:rPr>
        <w:br/>
        <w:t>Dr. Matthias Staehelin</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120" w:after="120"/>
        <w:jc w:val="left"/>
        <w:rPr/>
      </w:pPr>
      <w:r>
        <w:rPr/>
        <w:t> </w:t>
      </w:r>
    </w:p>
    <w:p>
      <w:pPr>
        <w:pStyle w:val="TextBody"/>
        <w:bidi w:val="0"/>
        <w:spacing w:before="120" w:after="120"/>
        <w:jc w:val="both"/>
        <w:rPr/>
      </w:pPr>
      <w:r>
        <w:rPr/>
        <w:t> </w:t>
      </w:r>
    </w:p>
    <w:p>
      <w:pPr>
        <w:pStyle w:val="HorizontalLine"/>
        <w:pBdr>
          <w:bottom w:val="double" w:sz="2" w:space="0" w:color="808080"/>
        </w:pBdr>
        <w:bidi w:val="0"/>
        <w:spacing w:before="0" w:after="283"/>
        <w:jc w:val="left"/>
        <w:rPr/>
      </w:pPr>
      <w:r>
        <w:rPr/>
      </w:r>
    </w:p>
    <w:p>
      <w:pPr>
        <w:pStyle w:val="TextBody"/>
        <w:bidi w:val="0"/>
        <w:spacing w:before="0" w:after="720"/>
        <w:jc w:val="left"/>
        <w:rPr/>
      </w:pPr>
      <w:bookmarkStart w:id="53" w:name="ocs-ex5_2.htm"/>
      <w:bookmarkStart w:id="54" w:name="ksocsex5_2"/>
      <w:bookmarkEnd w:id="53"/>
      <w:bookmarkEnd w:id="54"/>
      <w:r>
        <w:rPr/>
        <w:drawing>
          <wp:inline distT="0" distB="0" distL="0" distR="0">
            <wp:extent cx="1295400" cy="41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2"/>
                    <a:stretch>
                      <a:fillRect/>
                    </a:stretch>
                  </pic:blipFill>
                  <pic:spPr bwMode="auto">
                    <a:xfrm>
                      <a:off x="0" y="0"/>
                      <a:ext cx="1295400" cy="419100"/>
                    </a:xfrm>
                    <a:prstGeom prst="rect">
                      <a:avLst/>
                    </a:prstGeom>
                  </pic:spPr>
                </pic:pic>
              </a:graphicData>
            </a:graphic>
          </wp:inline>
        </w:drawing>
      </w:r>
      <w:r>
        <w:br w:type="page"/>
      </w:r>
    </w:p>
    <w:tbl>
      <w:tblPr>
        <w:tblW w:w="3644" w:type="dxa"/>
        <w:jc w:val="left"/>
        <w:tblInd w:w="0" w:type="dxa"/>
        <w:tblLayout w:type="fixed"/>
        <w:tblCellMar>
          <w:top w:w="28" w:type="dxa"/>
          <w:left w:w="28" w:type="dxa"/>
          <w:bottom w:w="28" w:type="dxa"/>
          <w:right w:w="28" w:type="dxa"/>
        </w:tblCellMar>
      </w:tblPr>
      <w:tblGrid>
        <w:gridCol w:w="2503"/>
        <w:gridCol w:w="1141"/>
      </w:tblGrid>
      <w:tr>
        <w:trPr/>
        <w:tc>
          <w:tcPr>
            <w:tcW w:w="250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ind w:left="0" w:right="0" w:firstLine="237"/>
              <w:jc w:val="left"/>
              <w:rPr>
                <w:sz w:val="4"/>
                <w:szCs w:val="4"/>
              </w:rPr>
            </w:pPr>
            <w:r>
              <w:rPr>
                <w:sz w:val="4"/>
                <w:szCs w:val="4"/>
              </w:rPr>
            </w:r>
          </w:p>
        </w:tc>
      </w:tr>
      <w:tr>
        <w:trPr/>
        <w:tc>
          <w:tcPr>
            <w:tcW w:w="2503" w:type="dxa"/>
            <w:tcBorders/>
            <w:tcMar>
              <w:top w:w="0" w:type="dxa"/>
              <w:left w:w="0" w:type="dxa"/>
              <w:bottom w:w="0" w:type="dxa"/>
              <w:right w:w="0" w:type="dxa"/>
            </w:tcMar>
            <w:vAlign w:val="center"/>
          </w:tcPr>
          <w:p>
            <w:pPr>
              <w:pStyle w:val="TableContents"/>
              <w:bidi w:val="0"/>
              <w:ind w:left="0" w:right="0" w:firstLine="237"/>
              <w:jc w:val="left"/>
              <w:rPr>
                <w:rFonts w:ascii="Arial" w:hAnsi="Arial"/>
                <w:color w:val="000000"/>
                <w:sz w:val="20"/>
              </w:rPr>
            </w:pPr>
            <w:r>
              <w:rPr>
                <w:rFonts w:ascii="Arial" w:hAnsi="Arial"/>
                <w:color w:val="000000"/>
                <w:sz w:val="20"/>
              </w:rPr>
              <w:t>Eric Blanchard</w:t>
            </w:r>
          </w:p>
          <w:p>
            <w:pPr>
              <w:pStyle w:val="TableContents"/>
              <w:bidi w:val="0"/>
              <w:ind w:left="0" w:right="0" w:firstLine="237"/>
              <w:jc w:val="left"/>
              <w:rPr>
                <w:rFonts w:ascii="Arial" w:hAnsi="Arial"/>
                <w:color w:val="000000"/>
                <w:sz w:val="20"/>
              </w:rPr>
            </w:pPr>
            <w:r>
              <w:rPr>
                <w:rFonts w:ascii="Arial" w:hAnsi="Arial"/>
                <w:color w:val="000000"/>
                <w:sz w:val="20"/>
              </w:rPr>
              <w:t>+1 617 937 2445</w:t>
            </w:r>
          </w:p>
          <w:p>
            <w:pPr>
              <w:pStyle w:val="TableContents"/>
              <w:bidi w:val="0"/>
              <w:ind w:left="0" w:right="0" w:firstLine="237"/>
              <w:jc w:val="left"/>
              <w:rPr>
                <w:rFonts w:ascii="Arial" w:hAnsi="Arial"/>
                <w:color w:val="000000"/>
                <w:sz w:val="20"/>
              </w:rPr>
            </w:pPr>
            <w:r>
              <w:rPr>
                <w:rFonts w:ascii="Arial" w:hAnsi="Arial"/>
                <w:color w:val="000000"/>
                <w:sz w:val="20"/>
              </w:rPr>
              <w:t>eblanchard@cooley.com</w:t>
            </w:r>
          </w:p>
          <w:p>
            <w:pPr>
              <w:pStyle w:val="TableContents"/>
              <w:bidi w:val="0"/>
              <w:spacing w:before="0" w:after="30"/>
              <w:ind w:left="0" w:right="0" w:firstLine="237"/>
              <w:jc w:val="left"/>
              <w:rPr/>
            </w:pPr>
            <w:r>
              <w:rPr/>
              <w:t> </w:t>
            </w:r>
          </w:p>
        </w:tc>
        <w:tc>
          <w:tcPr>
            <w:tcW w:w="1141" w:type="dxa"/>
            <w:tcBorders/>
            <w:tcMar>
              <w:top w:w="0" w:type="dxa"/>
              <w:left w:w="0" w:type="dxa"/>
              <w:bottom w:w="0" w:type="dxa"/>
              <w:right w:w="0" w:type="dxa"/>
            </w:tcMar>
            <w:vAlign w:val="center"/>
          </w:tcPr>
          <w:p>
            <w:pPr>
              <w:pStyle w:val="TableContents"/>
              <w:bidi w:val="0"/>
              <w:spacing w:before="53" w:after="283"/>
              <w:jc w:val="right"/>
              <w:rPr>
                <w:rFonts w:ascii="Arial" w:hAnsi="Arial"/>
                <w:b/>
                <w:color w:val="000000"/>
                <w:sz w:val="20"/>
              </w:rPr>
            </w:pPr>
            <w:r>
              <w:rPr>
                <w:rFonts w:ascii="Arial" w:hAnsi="Arial"/>
                <w:b/>
                <w:color w:val="000000"/>
                <w:sz w:val="20"/>
              </w:rPr>
              <w:t>Exhibit 5.2</w:t>
            </w:r>
          </w:p>
        </w:tc>
      </w:tr>
    </w:tbl>
    <w:p>
      <w:pPr>
        <w:pStyle w:val="TextBody"/>
        <w:bidi w:val="0"/>
        <w:spacing w:before="0" w:after="720"/>
        <w:jc w:val="left"/>
        <w:rPr/>
      </w:pPr>
      <w:r>
        <w:rPr/>
        <w:t> </w:t>
      </w:r>
    </w:p>
    <w:p>
      <w:pPr>
        <w:pStyle w:val="TextBody"/>
        <w:bidi w:val="0"/>
        <w:jc w:val="left"/>
        <w:rPr>
          <w:rFonts w:ascii="Arial" w:hAnsi="Arial"/>
          <w:color w:val="000000"/>
          <w:sz w:val="20"/>
        </w:rPr>
      </w:pPr>
      <w:r>
        <w:rPr>
          <w:rFonts w:ascii="Arial" w:hAnsi="Arial"/>
          <w:color w:val="000000"/>
          <w:sz w:val="20"/>
        </w:rPr>
        <w:t>March 4, 2026</w:t>
      </w:r>
    </w:p>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Oculis Holding AG</w:t>
      </w:r>
    </w:p>
    <w:p>
      <w:pPr>
        <w:pStyle w:val="TextBody"/>
        <w:bidi w:val="0"/>
        <w:jc w:val="left"/>
        <w:rPr>
          <w:rFonts w:ascii="Arial" w:hAnsi="Arial"/>
          <w:color w:val="000000"/>
          <w:sz w:val="20"/>
        </w:rPr>
      </w:pPr>
      <w:r>
        <w:rPr>
          <w:rFonts w:ascii="Arial" w:hAnsi="Arial"/>
          <w:color w:val="000000"/>
          <w:sz w:val="20"/>
        </w:rPr>
        <w:t>Bahnhofstrasse 20, CH-6300</w:t>
      </w:r>
    </w:p>
    <w:p>
      <w:pPr>
        <w:pStyle w:val="TextBody"/>
        <w:bidi w:val="0"/>
        <w:jc w:val="left"/>
        <w:rPr>
          <w:rFonts w:ascii="Arial" w:hAnsi="Arial"/>
          <w:color w:val="000000"/>
          <w:sz w:val="20"/>
        </w:rPr>
      </w:pPr>
      <w:r>
        <w:rPr>
          <w:rFonts w:ascii="Arial" w:hAnsi="Arial"/>
          <w:color w:val="000000"/>
          <w:sz w:val="20"/>
        </w:rPr>
        <w:t>Zug, Switzerland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Ladies and Gentlemen: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have acted as special U.S. counsel to Oculis Holding AG, a Swiss stock corporation (</w:t>
      </w:r>
      <w:r>
        <w:rPr>
          <w:rFonts w:ascii="Arial" w:hAnsi="Arial"/>
          <w:i/>
          <w:color w:val="000000"/>
          <w:sz w:val="20"/>
        </w:rPr>
        <w:t>Aktiengesellschaft</w:t>
      </w:r>
      <w:r>
        <w:rPr>
          <w:rFonts w:ascii="Arial" w:hAnsi="Arial"/>
          <w:color w:val="000000"/>
          <w:sz w:val="20"/>
        </w:rPr>
        <w:t>) (the “</w:t>
      </w:r>
      <w:r>
        <w:rPr>
          <w:rFonts w:ascii="Arial" w:hAnsi="Arial"/>
          <w:b/>
          <w:i/>
          <w:color w:val="000000"/>
          <w:sz w:val="20"/>
        </w:rPr>
        <w:t>Company</w:t>
      </w:r>
      <w:r>
        <w:rPr>
          <w:rFonts w:ascii="Times New Roman" w:hAnsi="Times New Roman"/>
          <w:color w:val="000000"/>
          <w:sz w:val="20"/>
        </w:rPr>
        <w:t>”</w:t>
      </w:r>
      <w:r>
        <w:rPr>
          <w:rFonts w:ascii="Arial" w:hAnsi="Arial"/>
          <w:color w:val="000000"/>
          <w:sz w:val="20"/>
        </w:rPr>
        <w:t>), in connection with the filing by the Company of a Registration Statement on Form F-3 (the “</w:t>
      </w:r>
      <w:r>
        <w:rPr>
          <w:rFonts w:ascii="Arial" w:hAnsi="Arial"/>
          <w:b/>
          <w:i/>
          <w:color w:val="000000"/>
          <w:sz w:val="20"/>
        </w:rPr>
        <w:t>Registration Statement</w:t>
      </w:r>
      <w:r>
        <w:rPr>
          <w:rFonts w:ascii="Times New Roman" w:hAnsi="Times New Roman"/>
          <w:color w:val="000000"/>
          <w:sz w:val="20"/>
        </w:rPr>
        <w:t>”</w:t>
      </w:r>
      <w:r>
        <w:rPr>
          <w:rFonts w:ascii="Arial" w:hAnsi="Arial"/>
          <w:color w:val="000000"/>
          <w:sz w:val="20"/>
        </w:rPr>
        <w:t>) with the Securities and Exchange Commission (the “</w:t>
      </w:r>
      <w:r>
        <w:rPr>
          <w:rFonts w:ascii="Arial" w:hAnsi="Arial"/>
          <w:b/>
          <w:i/>
          <w:color w:val="000000"/>
          <w:sz w:val="20"/>
        </w:rPr>
        <w:t>Commission</w:t>
      </w:r>
      <w:r>
        <w:rPr>
          <w:rFonts w:ascii="Times New Roman" w:hAnsi="Times New Roman"/>
          <w:color w:val="000000"/>
          <w:sz w:val="20"/>
        </w:rPr>
        <w:t>”</w:t>
      </w:r>
      <w:r>
        <w:rPr>
          <w:rFonts w:ascii="Arial" w:hAnsi="Arial"/>
          <w:color w:val="000000"/>
          <w:sz w:val="20"/>
        </w:rPr>
        <w:t>) under the Securities Act of 1933, as amended (the “</w:t>
      </w:r>
      <w:r>
        <w:rPr>
          <w:rFonts w:ascii="Arial" w:hAnsi="Arial"/>
          <w:b/>
          <w:i/>
          <w:color w:val="000000"/>
          <w:sz w:val="20"/>
        </w:rPr>
        <w:t>Securities Act</w:t>
      </w:r>
      <w:r>
        <w:rPr>
          <w:rFonts w:ascii="Times New Roman" w:hAnsi="Times New Roman"/>
          <w:color w:val="000000"/>
          <w:sz w:val="20"/>
        </w:rPr>
        <w:t>”</w:t>
      </w:r>
      <w:r>
        <w:rPr>
          <w:rFonts w:ascii="Arial" w:hAnsi="Arial"/>
          <w:color w:val="000000"/>
          <w:sz w:val="20"/>
        </w:rPr>
        <w:t>). The Registration Statement includes a prospectus (the “</w:t>
      </w:r>
      <w:r>
        <w:rPr>
          <w:rFonts w:ascii="Arial" w:hAnsi="Arial"/>
          <w:b/>
          <w:i/>
          <w:color w:val="000000"/>
          <w:sz w:val="20"/>
        </w:rPr>
        <w:t>Base Prospectus</w:t>
      </w:r>
      <w:r>
        <w:rPr>
          <w:rFonts w:ascii="Times New Roman" w:hAnsi="Times New Roman"/>
          <w:color w:val="000000"/>
          <w:sz w:val="20"/>
        </w:rPr>
        <w:t>”</w:t>
      </w:r>
      <w:r>
        <w:rPr>
          <w:rFonts w:ascii="Arial" w:hAnsi="Arial"/>
          <w:color w:val="000000"/>
          <w:sz w:val="20"/>
        </w:rPr>
        <w:t>) that provides it will be supplemented in the future by one or more prospectus supplements (each, a “</w:t>
      </w:r>
      <w:r>
        <w:rPr>
          <w:rFonts w:ascii="Arial" w:hAnsi="Arial"/>
          <w:b/>
          <w:i/>
          <w:color w:val="000000"/>
          <w:sz w:val="20"/>
        </w:rPr>
        <w:t>Prospectus Supplement</w:t>
      </w:r>
      <w:r>
        <w:rPr>
          <w:rFonts w:ascii="Times New Roman" w:hAnsi="Times New Roman"/>
          <w:color w:val="000000"/>
          <w:sz w:val="20"/>
        </w:rPr>
        <w:t>”</w:t>
      </w:r>
      <w:r>
        <w:rPr>
          <w:rFonts w:ascii="Arial" w:hAnsi="Arial"/>
          <w:color w:val="000000"/>
          <w:sz w:val="20"/>
        </w:rPr>
        <w:t>). The Registration Statement including the Base Prospectus (as supplemented from time to time by one or more Prospectus Supplements), will provide for the registration by the Company of the sale of the following securities: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color w:val="000000"/>
          <w:sz w:val="20"/>
        </w:rPr>
        <w:t>ordinary shares, nominal value CHF 0.01 per share (the “</w:t>
      </w:r>
      <w:r>
        <w:rPr>
          <w:rFonts w:ascii="Arial" w:hAnsi="Arial"/>
          <w:b/>
          <w:i/>
          <w:color w:val="000000"/>
          <w:sz w:val="20"/>
        </w:rPr>
        <w:t>Ordinary Shares</w:t>
      </w:r>
      <w:r>
        <w:rPr>
          <w:color w:val="000000"/>
        </w:rPr>
        <w:t>”</w:t>
      </w:r>
      <w:r>
        <w:rPr>
          <w:rFonts w:ascii="Arial" w:hAnsi="Arial"/>
          <w:color w:val="000000"/>
          <w:sz w:val="20"/>
        </w:rPr>
        <w: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color w:val="000000"/>
          <w:sz w:val="20"/>
        </w:rPr>
        <w:t>debt securities, in one or more series (the “</w:t>
      </w:r>
      <w:r>
        <w:rPr>
          <w:rFonts w:ascii="Arial" w:hAnsi="Arial"/>
          <w:b/>
          <w:i/>
          <w:color w:val="000000"/>
          <w:sz w:val="20"/>
        </w:rPr>
        <w:t>Debt Securities</w:t>
      </w:r>
      <w:r>
        <w:rPr>
          <w:color w:val="000000"/>
        </w:rPr>
        <w:t>”</w:t>
      </w:r>
      <w:r>
        <w:rPr>
          <w:rFonts w:ascii="Arial" w:hAnsi="Arial"/>
          <w:color w:val="000000"/>
          <w:sz w:val="20"/>
        </w:rPr>
        <w:t>), which may be issued pursuant to an indenture to be dated on or about the date of the first issuance of Debt Securities thereunder, by and between a trustee to be selected by the Company (the “</w:t>
      </w:r>
      <w:r>
        <w:rPr>
          <w:rFonts w:ascii="Arial" w:hAnsi="Arial"/>
          <w:b/>
          <w:i/>
          <w:color w:val="000000"/>
          <w:sz w:val="20"/>
        </w:rPr>
        <w:t>Trustee</w:t>
      </w:r>
      <w:r>
        <w:rPr>
          <w:color w:val="000000"/>
        </w:rPr>
        <w:t>”</w:t>
      </w:r>
      <w:r>
        <w:rPr>
          <w:rFonts w:ascii="Arial" w:hAnsi="Arial"/>
          <w:color w:val="000000"/>
          <w:sz w:val="20"/>
        </w:rPr>
        <w:t>) and the Company in the form filed as Exhibit 4.2 to the Registration Statement and one or more indentures supplemental thereto with respect to any particular series of Debt Securities (the “</w:t>
      </w:r>
      <w:r>
        <w:rPr>
          <w:rFonts w:ascii="Arial" w:hAnsi="Arial"/>
          <w:b/>
          <w:i/>
          <w:color w:val="000000"/>
          <w:sz w:val="20"/>
        </w:rPr>
        <w:t>Indenture</w:t>
      </w:r>
      <w:r>
        <w:rPr>
          <w:color w:val="000000"/>
        </w:rPr>
        <w:t>”</w:t>
      </w:r>
      <w:r>
        <w:rPr>
          <w:rFonts w:ascii="Arial" w:hAnsi="Arial"/>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color w:val="000000"/>
          <w:sz w:val="20"/>
        </w:rPr>
        <w:t>warrants to purchase Ordinary Shares or Debt Securities (the “</w:t>
      </w:r>
      <w:r>
        <w:rPr>
          <w:rFonts w:ascii="Arial" w:hAnsi="Arial"/>
          <w:b/>
          <w:i/>
          <w:color w:val="000000"/>
          <w:sz w:val="20"/>
        </w:rPr>
        <w:t>Warrants</w:t>
      </w:r>
      <w:r>
        <w:rPr>
          <w:color w:val="000000"/>
        </w:rPr>
        <w:t>”</w:t>
      </w:r>
      <w:r>
        <w:rPr>
          <w:rFonts w:ascii="Arial" w:hAnsi="Arial"/>
          <w:color w:val="000000"/>
          <w:sz w:val="20"/>
        </w:rPr>
        <w:t>), which may be issued under one or more warrant agreements, to be dated on or about the date of the first issuance of the Warrants thereunder, by and between a warrant agent to be selected by the Company (the “</w:t>
      </w:r>
      <w:r>
        <w:rPr>
          <w:rFonts w:ascii="Arial" w:hAnsi="Arial"/>
          <w:b/>
          <w:i/>
          <w:color w:val="000000"/>
          <w:sz w:val="20"/>
        </w:rPr>
        <w:t>Warrant Agent</w:t>
      </w:r>
      <w:r>
        <w:rPr>
          <w:color w:val="000000"/>
        </w:rPr>
        <w:t>”</w:t>
      </w:r>
      <w:r>
        <w:rPr>
          <w:rFonts w:ascii="Arial" w:hAnsi="Arial"/>
          <w:color w:val="000000"/>
          <w:sz w:val="20"/>
        </w:rPr>
        <w:t>) and the Company (“</w:t>
      </w:r>
      <w:r>
        <w:rPr>
          <w:rFonts w:ascii="Arial" w:hAnsi="Arial"/>
          <w:b/>
          <w:i/>
          <w:color w:val="000000"/>
          <w:sz w:val="20"/>
        </w:rPr>
        <w:t>Warrant Agreement</w:t>
      </w:r>
      <w:r>
        <w:rPr>
          <w:color w:val="000000"/>
        </w:rPr>
        <w:t>”</w:t>
      </w:r>
      <w:r>
        <w:rPr>
          <w:rFonts w:ascii="Arial" w:hAnsi="Arial"/>
          <w:color w:val="000000"/>
          <w:sz w:val="20"/>
        </w:rPr>
        <w:t>); and</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color w:val="000000"/>
          <w:sz w:val="20"/>
        </w:rPr>
        <w:t>units comprised of one or more Ordinary Shares, Warrants or Debt Securities (the “</w:t>
      </w:r>
      <w:r>
        <w:rPr>
          <w:rFonts w:ascii="Arial" w:hAnsi="Arial"/>
          <w:b/>
          <w:i/>
          <w:color w:val="000000"/>
          <w:sz w:val="20"/>
        </w:rPr>
        <w:t>Units</w:t>
      </w:r>
      <w:r>
        <w:rPr>
          <w:color w:val="000000"/>
        </w:rPr>
        <w:t>”</w:t>
      </w:r>
      <w:r>
        <w:rPr>
          <w:rFonts w:ascii="Arial" w:hAnsi="Arial"/>
          <w:color w:val="000000"/>
          <w:sz w:val="20"/>
        </w:rPr>
        <w:t>), which may be issued under one or more unit agreements, to be dated on or about the date of the first issuance of the Units thereunder, by and between a unit agent to be selected by the Company (the “</w:t>
      </w:r>
      <w:r>
        <w:rPr>
          <w:rFonts w:ascii="Arial" w:hAnsi="Arial"/>
          <w:b/>
          <w:i/>
          <w:color w:val="000000"/>
          <w:sz w:val="20"/>
        </w:rPr>
        <w:t>Unit Agent</w:t>
      </w:r>
      <w:r>
        <w:rPr>
          <w:color w:val="000000"/>
        </w:rPr>
        <w:t>”</w:t>
      </w:r>
      <w:r>
        <w:rPr>
          <w:rFonts w:ascii="Arial" w:hAnsi="Arial"/>
          <w:color w:val="000000"/>
          <w:sz w:val="20"/>
        </w:rPr>
        <w:t>) and the Company (“</w:t>
      </w:r>
      <w:r>
        <w:rPr>
          <w:rFonts w:ascii="Arial" w:hAnsi="Arial"/>
          <w:b/>
          <w:i/>
          <w:color w:val="000000"/>
          <w:sz w:val="20"/>
        </w:rPr>
        <w:t>Unit Agreement</w:t>
      </w:r>
      <w:r>
        <w:rPr>
          <w:color w:val="000000"/>
        </w:rPr>
        <w:t>”</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Ordinary Shares, the Debt Securities, the Warrants and the Units are collectively referred to herein as the “</w:t>
      </w:r>
      <w:r>
        <w:rPr>
          <w:rFonts w:ascii="Arial" w:hAnsi="Arial"/>
          <w:b/>
          <w:i/>
          <w:color w:val="000000"/>
          <w:sz w:val="20"/>
        </w:rPr>
        <w:t>Securities</w:t>
      </w:r>
      <w:r>
        <w:rPr>
          <w:rFonts w:ascii="Arial" w:hAnsi="Arial"/>
          <w:color w:val="000000"/>
          <w:sz w:val="20"/>
        </w:rPr>
        <w:t>.” The Securities are being registered for offer and sale from time to time pursuant to Rule 415 under the Securities Act.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In rendering this opinion, we have examined and relied upon the Registration Statement, the Base Prospectus and such other records, documents, certificates, opinions,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w:t>
      </w:r>
      <w:r>
        <w:rPr>
          <w:rFonts w:ascii="Times New Roman" w:hAnsi="Times New Roman"/>
          <w:color w:val="000000"/>
          <w:sz w:val="20"/>
        </w:rPr>
        <w:t xml:space="preserve">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shd w:fill="FFFFFF" w:val="clear"/>
            <w:tcMar>
              <w:top w:w="0" w:type="dxa"/>
              <w:left w:w="0" w:type="dxa"/>
              <w:bottom w:w="0" w:type="dxa"/>
              <w:right w:w="0" w:type="dxa"/>
            </w:tcMar>
            <w:vAlign w:val="center"/>
          </w:tcPr>
          <w:p>
            <w:pPr>
              <w:pStyle w:val="TableContents"/>
              <w:bidi w:val="0"/>
              <w:spacing w:before="43" w:after="20"/>
              <w:jc w:val="center"/>
              <w:rPr/>
            </w:pPr>
            <w:r>
              <w:rPr/>
              <w:t> </w:t>
            </w:r>
          </w:p>
        </w:tc>
      </w:tr>
    </w:tbl>
    <w:p>
      <w:pPr>
        <w:pStyle w:val="HorizontalLine"/>
        <w:pBdr>
          <w:bottom w:val="double" w:sz="2" w:space="0" w:color="808080"/>
        </w:pBdr>
        <w:bidi w:val="0"/>
        <w:spacing w:before="0" w:after="283"/>
        <w:jc w:val="left"/>
        <w:rPr/>
      </w:pPr>
      <w:r>
        <w:rPr/>
      </w:r>
    </w:p>
    <w:tbl>
      <w:tblPr>
        <w:tblW w:w="2456" w:type="dxa"/>
        <w:jc w:val="left"/>
        <w:tblInd w:w="0" w:type="dxa"/>
        <w:tblLayout w:type="fixed"/>
        <w:tblCellMar>
          <w:top w:w="28" w:type="dxa"/>
          <w:left w:w="28" w:type="dxa"/>
          <w:bottom w:w="28" w:type="dxa"/>
          <w:right w:w="28" w:type="dxa"/>
        </w:tblCellMar>
      </w:tblPr>
      <w:tblGrid>
        <w:gridCol w:w="2203"/>
        <w:gridCol w:w="253"/>
      </w:tblGrid>
      <w:tr>
        <w:trPr/>
        <w:tc>
          <w:tcPr>
            <w:tcW w:w="22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203" w:type="dxa"/>
            <w:tcBorders/>
            <w:tcMar>
              <w:top w:w="0" w:type="dxa"/>
              <w:left w:w="0" w:type="dxa"/>
              <w:bottom w:w="0" w:type="dxa"/>
              <w:right w:w="0" w:type="dxa"/>
            </w:tcMar>
            <w:vAlign w:val="center"/>
          </w:tcPr>
          <w:p>
            <w:pPr>
              <w:pStyle w:val="TableContents"/>
              <w:bidi w:val="0"/>
              <w:spacing w:before="53" w:after="30"/>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ind w:left="0" w:right="0" w:firstLine="62"/>
              <w:jc w:val="left"/>
              <w:rPr/>
            </w:pPr>
            <w:r>
              <w:rPr/>
              <w:t> </w:t>
            </w:r>
          </w:p>
        </w:tc>
      </w:tr>
      <w:tr>
        <w:trPr/>
        <w:tc>
          <w:tcPr>
            <w:tcW w:w="2203" w:type="dxa"/>
            <w:tcBorders/>
            <w:tcMar>
              <w:top w:w="0" w:type="dxa"/>
              <w:left w:w="0" w:type="dxa"/>
              <w:bottom w:w="0" w:type="dxa"/>
              <w:right w:w="0" w:type="dxa"/>
            </w:tcMar>
            <w:vAlign w:val="center"/>
          </w:tcPr>
          <w:p>
            <w:pPr>
              <w:pStyle w:val="TableContents"/>
              <w:bidi w:val="0"/>
              <w:spacing w:before="53" w:after="283"/>
              <w:ind w:left="0" w:right="0" w:firstLine="62"/>
              <w:jc w:val="left"/>
              <w:rPr/>
            </w:pPr>
            <w:r>
              <w:rPr/>
              <w:drawing>
                <wp:inline distT="0" distB="0" distL="0" distR="0">
                  <wp:extent cx="1295400" cy="419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3"/>
                          <a:stretch>
                            <a:fillRect/>
                          </a:stretch>
                        </pic:blipFill>
                        <pic:spPr bwMode="auto">
                          <a:xfrm>
                            <a:off x="0" y="0"/>
                            <a:ext cx="1295400" cy="419100"/>
                          </a:xfrm>
                          <a:prstGeom prst="rect">
                            <a:avLst/>
                          </a:prstGeom>
                        </pic:spPr>
                      </pic:pic>
                    </a:graphicData>
                  </a:graphic>
                </wp:inline>
              </w:drawing>
            </w:r>
          </w:p>
          <w:p>
            <w:pPr>
              <w:pStyle w:val="TableContents"/>
              <w:bidi w:val="0"/>
              <w:spacing w:before="0" w:after="30"/>
              <w:ind w:left="0" w:right="0" w:firstLine="62"/>
              <w:jc w:val="right"/>
              <w:rPr/>
            </w:pPr>
            <w:r>
              <w:rPr/>
              <w:t> </w:t>
            </w:r>
          </w:p>
        </w:tc>
        <w:tc>
          <w:tcPr>
            <w:tcW w:w="253" w:type="dxa"/>
            <w:tcBorders/>
            <w:tcMar>
              <w:top w:w="0" w:type="dxa"/>
              <w:left w:w="0" w:type="dxa"/>
              <w:bottom w:w="0" w:type="dxa"/>
              <w:right w:w="0" w:type="dxa"/>
            </w:tcMar>
            <w:vAlign w:val="center"/>
          </w:tcPr>
          <w:p>
            <w:pPr>
              <w:pStyle w:val="TableContents"/>
              <w:bidi w:val="0"/>
              <w:spacing w:before="0" w:after="283"/>
              <w:ind w:left="0" w:right="0" w:firstLine="55"/>
              <w:jc w:val="left"/>
              <w:rPr/>
            </w:pPr>
            <w:r>
              <w:rPr/>
              <w:t> </w:t>
            </w:r>
          </w:p>
        </w:tc>
      </w:tr>
      <w:tr>
        <w:trPr/>
        <w:tc>
          <w:tcPr>
            <w:tcW w:w="2456" w:type="dxa"/>
            <w:gridSpan w:val="2"/>
            <w:tcBorders/>
            <w:tcMar>
              <w:top w:w="0" w:type="dxa"/>
              <w:left w:w="0" w:type="dxa"/>
              <w:bottom w:w="0" w:type="dxa"/>
              <w:right w:w="0" w:type="dxa"/>
            </w:tcMar>
            <w:vAlign w:val="center"/>
          </w:tcPr>
          <w:p>
            <w:pPr>
              <w:pStyle w:val="TableContents"/>
              <w:bidi w:val="0"/>
              <w:spacing w:before="53" w:after="283"/>
              <w:ind w:left="0" w:right="0" w:firstLine="55"/>
              <w:jc w:val="left"/>
              <w:rPr>
                <w:rFonts w:ascii="Arial" w:hAnsi="Arial"/>
                <w:color w:val="000000"/>
                <w:sz w:val="20"/>
              </w:rPr>
            </w:pPr>
            <w:r>
              <w:rPr>
                <w:rFonts w:ascii="Arial" w:hAnsi="Arial"/>
                <w:color w:val="000000"/>
                <w:sz w:val="20"/>
              </w:rPr>
              <w:t>Oculis Holding AG</w:t>
            </w:r>
          </w:p>
          <w:p>
            <w:pPr>
              <w:pStyle w:val="TableContents"/>
              <w:bidi w:val="0"/>
              <w:ind w:left="0" w:right="0" w:firstLine="55"/>
              <w:jc w:val="left"/>
              <w:rPr>
                <w:rFonts w:ascii="Arial" w:hAnsi="Arial"/>
                <w:color w:val="000000"/>
                <w:sz w:val="20"/>
              </w:rPr>
            </w:pPr>
            <w:r>
              <w:rPr>
                <w:rFonts w:ascii="Arial" w:hAnsi="Arial"/>
                <w:color w:val="000000"/>
                <w:sz w:val="20"/>
              </w:rPr>
              <w:t>March 4, 2026</w:t>
            </w:r>
          </w:p>
          <w:p>
            <w:pPr>
              <w:pStyle w:val="TableContents"/>
              <w:bidi w:val="0"/>
              <w:spacing w:before="0" w:after="30"/>
              <w:ind w:left="0" w:right="0" w:firstLine="55"/>
              <w:jc w:val="left"/>
              <w:rPr>
                <w:rFonts w:ascii="Arial" w:hAnsi="Arial"/>
                <w:color w:val="000000"/>
                <w:sz w:val="20"/>
              </w:rPr>
            </w:pPr>
            <w:r>
              <w:rPr>
                <w:rFonts w:ascii="Arial" w:hAnsi="Arial"/>
                <w:color w:val="000000"/>
                <w:sz w:val="20"/>
              </w:rPr>
              <w:t>Page 2</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authenticity of certificates of public officials; and the due authorization, execution and delivery of all documents. As to certain factual matters, we have relied upon a certificate of an officer of the Company and have not independently verified such matters.</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We are not hereby rendering any opinion with respect to any Ordinary Shares issuable upon the conversion or exercise, as applicable, of any Debt Securities, any Warrants, or any Securities that are components of Units. We have also assumed that with respect to any Debt Securities issuable upon the exercise of any Warrants or as a component of Units, the applicable Warrants or Units will be valid and legally binding obligations of the Company, except as may be limited by applicable bankruptcy, insolvency, reorganization, arrangement, moratorium or other similar laws affecting creditors’ rights, and subject to general equity principles and to limitations on availability of equitable relief including, without limitation, specific performance.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We have assumed that (i) the Company is validly existing under the laws of Switzerland, has the corporate power to enter into and perform its obligations under the Debt Securities, the Indenture, the Warrants and the Units in accordance with their terms, (ii) upon issuance, the Company will have duly authorized, executed and delivered the Debt Securities, the Indenture, the Warrants and the Units in accordance with its organizational documents and the laws of Switzerland, (iii) any Ordinary Shares issued upon conversion of the Debt Securities, upon exercise of Warrants, or in connection with any Units will be duly authorized, validly issued, fully paid and nonassessable, and (iv) the execution and delivery, and performance by the Company of its obligations under, the Debt Securities, the Indenture, the Warrants and the Units will not violate the laws of Switzerland or any other applicable laws (excepting from such assumption the laws of the State of New York). We have also assumed that any Debt Securities offered under the Registration Statement and the related Indenture will be executed in the forms filed as exhibits to the Registration Statement.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Our opinion herein is expressed solely with respect to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On the basis of the foregoing, in reliance thereon, and subject to the assumptions, qualifications, limitations and exceptions set forth herein, we are of the opinion that:</w:t>
      </w:r>
    </w:p>
    <w:p>
      <w:pPr>
        <w:pStyle w:val="TextBody"/>
        <w:bidi w:val="0"/>
        <w:jc w:val="both"/>
        <w:rPr>
          <w:rFonts w:ascii="Times New Roman" w:hAnsi="Times New Roman"/>
          <w:sz w:val="20"/>
        </w:rPr>
      </w:pPr>
      <w:r>
        <w:rPr>
          <w:rFonts w:ascii="Arial" w:hAnsi="Arial"/>
          <w:b/>
          <w:color w:val="000000"/>
          <w:sz w:val="20"/>
        </w:rPr>
        <w:t xml:space="preserve">1. </w:t>
      </w:r>
      <w:r>
        <w:rPr>
          <w:rFonts w:ascii="Arial" w:hAnsi="Arial"/>
          <w:color w:val="000000"/>
          <w:sz w:val="20"/>
        </w:rPr>
        <w:t>With respect to any series of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has been duly executed and delivered by the Company and the Trustee and has been qualified under the Trust Indenture Act of 1939, as amended; (iv) the terms of the Debt Securities and their issuance and sale, including as to any Ordinary Shares to be issued on the conversion thereof, have been duly authorized by the Company by all necessary corporate action and the Indenture has been qualified under the Trust Indenture Act of 1939, as amended;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Company’s then operative articles of association (the “</w:t>
      </w:r>
      <w:r>
        <w:rPr>
          <w:rFonts w:ascii="Arial" w:hAnsi="Arial"/>
          <w:b/>
          <w:i/>
          <w:color w:val="000000"/>
          <w:sz w:val="20"/>
        </w:rPr>
        <w:t>Articles of Association</w:t>
      </w:r>
      <w:r>
        <w:rPr>
          <w:rFonts w:ascii="Times New Roman" w:hAnsi="Times New Roman"/>
          <w:color w:val="000000"/>
          <w:sz w:val="20"/>
        </w:rPr>
        <w:t>”</w:t>
      </w:r>
      <w:r>
        <w:rPr>
          <w:rFonts w:ascii="Arial" w:hAnsi="Arial"/>
          <w:color w:val="000000"/>
          <w:sz w:val="20"/>
        </w:rPr>
        <w:t>), and so as to comply with any requirement or restriction imposed by any court or governmental body having jurisdiction over the Company; and (vi) the notes representing the Debt</w:t>
      </w:r>
      <w:r>
        <w:rPr>
          <w:rFonts w:ascii="Times New Roman" w:hAnsi="Times New Roman"/>
          <w:color w:val="000000"/>
          <w:sz w:val="20"/>
        </w:rPr>
        <w:t xml:space="preserve"> </w:t>
      </w:r>
    </w:p>
    <w:p>
      <w:pPr>
        <w:pStyle w:val="TextBody"/>
        <w:bidi w:val="0"/>
        <w:jc w:val="center"/>
        <w:rPr>
          <w:rFonts w:ascii="Arial" w:hAnsi="Arial"/>
          <w:color w:val="000000"/>
          <w:sz w:val="14"/>
        </w:rPr>
      </w:pPr>
      <w:r>
        <w:rPr>
          <w:rFonts w:ascii="Arial" w:hAnsi="Arial"/>
          <w:color w:val="000000"/>
          <w:sz w:val="14"/>
        </w:rPr>
        <w:t>COOLEY LLP 500 BOYLSTON STREET 14TH FLOOR BOSTON, MA 02116</w:t>
      </w:r>
    </w:p>
    <w:p>
      <w:pPr>
        <w:pStyle w:val="TextBody"/>
        <w:bidi w:val="0"/>
        <w:jc w:val="center"/>
        <w:rPr>
          <w:rFonts w:ascii="Arial" w:hAnsi="Arial"/>
          <w:color w:val="000000"/>
          <w:sz w:val="14"/>
        </w:rPr>
      </w:pPr>
      <w:r>
        <w:rPr>
          <w:rFonts w:ascii="Arial" w:hAnsi="Arial"/>
          <w:color w:val="000000"/>
          <w:sz w:val="14"/>
        </w:rPr>
        <w:t>T: +1 (617) 937 2300 F: +1 (617) 937 2400 COOLEY.COM</w:t>
      </w:r>
    </w:p>
    <w:p>
      <w:pPr>
        <w:pStyle w:val="HorizontalLine"/>
        <w:pBdr>
          <w:bottom w:val="double" w:sz="2" w:space="0" w:color="808080"/>
        </w:pBdr>
        <w:bidi w:val="0"/>
        <w:spacing w:before="0" w:after="283"/>
        <w:jc w:val="left"/>
        <w:rPr/>
      </w:pPr>
      <w:r>
        <w:rPr/>
      </w:r>
    </w:p>
    <w:tbl>
      <w:tblPr>
        <w:tblW w:w="2456" w:type="dxa"/>
        <w:jc w:val="left"/>
        <w:tblInd w:w="0" w:type="dxa"/>
        <w:tblLayout w:type="fixed"/>
        <w:tblCellMar>
          <w:top w:w="28" w:type="dxa"/>
          <w:left w:w="28" w:type="dxa"/>
          <w:bottom w:w="28" w:type="dxa"/>
          <w:right w:w="28" w:type="dxa"/>
        </w:tblCellMar>
      </w:tblPr>
      <w:tblGrid>
        <w:gridCol w:w="2203"/>
        <w:gridCol w:w="253"/>
      </w:tblGrid>
      <w:tr>
        <w:trPr/>
        <w:tc>
          <w:tcPr>
            <w:tcW w:w="22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203" w:type="dxa"/>
            <w:tcBorders/>
            <w:tcMar>
              <w:top w:w="0" w:type="dxa"/>
              <w:left w:w="0" w:type="dxa"/>
              <w:bottom w:w="0" w:type="dxa"/>
              <w:right w:w="0" w:type="dxa"/>
            </w:tcMar>
            <w:vAlign w:val="center"/>
          </w:tcPr>
          <w:p>
            <w:pPr>
              <w:pStyle w:val="TableContents"/>
              <w:bidi w:val="0"/>
              <w:spacing w:before="53" w:after="30"/>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ind w:left="0" w:right="0" w:firstLine="62"/>
              <w:jc w:val="left"/>
              <w:rPr/>
            </w:pPr>
            <w:r>
              <w:rPr/>
              <w:t> </w:t>
            </w:r>
          </w:p>
        </w:tc>
      </w:tr>
      <w:tr>
        <w:trPr/>
        <w:tc>
          <w:tcPr>
            <w:tcW w:w="2203" w:type="dxa"/>
            <w:tcBorders/>
            <w:tcMar>
              <w:top w:w="0" w:type="dxa"/>
              <w:left w:w="0" w:type="dxa"/>
              <w:bottom w:w="0" w:type="dxa"/>
              <w:right w:w="0" w:type="dxa"/>
            </w:tcMar>
            <w:vAlign w:val="center"/>
          </w:tcPr>
          <w:p>
            <w:pPr>
              <w:pStyle w:val="TableContents"/>
              <w:bidi w:val="0"/>
              <w:spacing w:before="53" w:after="283"/>
              <w:ind w:left="0" w:right="0" w:firstLine="62"/>
              <w:jc w:val="left"/>
              <w:rPr/>
            </w:pPr>
            <w:r>
              <w:rPr/>
              <w:drawing>
                <wp:inline distT="0" distB="0" distL="0" distR="0">
                  <wp:extent cx="1295400" cy="419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4"/>
                          <a:stretch>
                            <a:fillRect/>
                          </a:stretch>
                        </pic:blipFill>
                        <pic:spPr bwMode="auto">
                          <a:xfrm>
                            <a:off x="0" y="0"/>
                            <a:ext cx="1295400" cy="419100"/>
                          </a:xfrm>
                          <a:prstGeom prst="rect">
                            <a:avLst/>
                          </a:prstGeom>
                        </pic:spPr>
                      </pic:pic>
                    </a:graphicData>
                  </a:graphic>
                </wp:inline>
              </w:drawing>
            </w:r>
          </w:p>
          <w:p>
            <w:pPr>
              <w:pStyle w:val="TableContents"/>
              <w:bidi w:val="0"/>
              <w:spacing w:before="0" w:after="30"/>
              <w:ind w:left="0" w:right="0" w:firstLine="62"/>
              <w:jc w:val="right"/>
              <w:rPr/>
            </w:pPr>
            <w:r>
              <w:rPr/>
              <w:t> </w:t>
            </w:r>
          </w:p>
        </w:tc>
        <w:tc>
          <w:tcPr>
            <w:tcW w:w="253" w:type="dxa"/>
            <w:tcBorders/>
            <w:tcMar>
              <w:top w:w="0" w:type="dxa"/>
              <w:left w:w="0" w:type="dxa"/>
              <w:bottom w:w="0" w:type="dxa"/>
              <w:right w:w="0" w:type="dxa"/>
            </w:tcMar>
            <w:vAlign w:val="center"/>
          </w:tcPr>
          <w:p>
            <w:pPr>
              <w:pStyle w:val="TableContents"/>
              <w:bidi w:val="0"/>
              <w:spacing w:before="0" w:after="283"/>
              <w:ind w:left="0" w:right="0" w:firstLine="55"/>
              <w:jc w:val="left"/>
              <w:rPr/>
            </w:pPr>
            <w:r>
              <w:rPr/>
              <w:t> </w:t>
            </w:r>
          </w:p>
        </w:tc>
      </w:tr>
      <w:tr>
        <w:trPr/>
        <w:tc>
          <w:tcPr>
            <w:tcW w:w="2456" w:type="dxa"/>
            <w:gridSpan w:val="2"/>
            <w:tcBorders/>
            <w:tcMar>
              <w:top w:w="0" w:type="dxa"/>
              <w:left w:w="0" w:type="dxa"/>
              <w:bottom w:w="0" w:type="dxa"/>
              <w:right w:w="0" w:type="dxa"/>
            </w:tcMar>
            <w:vAlign w:val="center"/>
          </w:tcPr>
          <w:p>
            <w:pPr>
              <w:pStyle w:val="TableContents"/>
              <w:bidi w:val="0"/>
              <w:spacing w:before="53" w:after="283"/>
              <w:ind w:left="0" w:right="0" w:firstLine="55"/>
              <w:jc w:val="left"/>
              <w:rPr>
                <w:rFonts w:ascii="Arial" w:hAnsi="Arial"/>
                <w:color w:val="000000"/>
                <w:sz w:val="20"/>
              </w:rPr>
            </w:pPr>
            <w:r>
              <w:rPr>
                <w:rFonts w:ascii="Arial" w:hAnsi="Arial"/>
                <w:color w:val="000000"/>
                <w:sz w:val="20"/>
              </w:rPr>
              <w:t>Oculis Holding AG</w:t>
            </w:r>
          </w:p>
          <w:p>
            <w:pPr>
              <w:pStyle w:val="TableContents"/>
              <w:bidi w:val="0"/>
              <w:ind w:left="0" w:right="0" w:firstLine="55"/>
              <w:jc w:val="left"/>
              <w:rPr>
                <w:rFonts w:ascii="Arial" w:hAnsi="Arial"/>
                <w:color w:val="000000"/>
                <w:sz w:val="20"/>
              </w:rPr>
            </w:pPr>
            <w:r>
              <w:rPr>
                <w:rFonts w:ascii="Arial" w:hAnsi="Arial"/>
                <w:color w:val="000000"/>
                <w:sz w:val="20"/>
              </w:rPr>
              <w:t>March 4, 2026</w:t>
            </w:r>
          </w:p>
          <w:p>
            <w:pPr>
              <w:pStyle w:val="TableContents"/>
              <w:bidi w:val="0"/>
              <w:spacing w:before="0" w:after="30"/>
              <w:ind w:left="0" w:right="0" w:firstLine="55"/>
              <w:jc w:val="left"/>
              <w:rPr>
                <w:rFonts w:ascii="Arial" w:hAnsi="Arial"/>
                <w:color w:val="000000"/>
                <w:sz w:val="20"/>
              </w:rPr>
            </w:pPr>
            <w:r>
              <w:rPr>
                <w:rFonts w:ascii="Arial" w:hAnsi="Arial"/>
                <w:color w:val="000000"/>
                <w:sz w:val="20"/>
              </w:rPr>
              <w:t>Page 3</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or settlement of Units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jc w:val="both"/>
        <w:rPr>
          <w:rFonts w:ascii="Times New Roman" w:hAnsi="Times New Roman"/>
          <w:sz w:val="20"/>
        </w:rPr>
      </w:pPr>
      <w:r>
        <w:rPr>
          <w:rFonts w:ascii="Arial" w:hAnsi="Arial"/>
          <w:b/>
          <w:color w:val="000000"/>
          <w:sz w:val="20"/>
        </w:rPr>
        <w:t xml:space="preserve">2. </w:t>
      </w:r>
      <w:r>
        <w:rPr>
          <w:rFonts w:ascii="Arial" w:hAnsi="Arial"/>
          <w:color w:val="000000"/>
          <w:sz w:val="20"/>
        </w:rPr>
        <w:t>With respect to the Warrants issued under a Warrant Agreement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Warrants and any Warrant Agreement have been duly authorized by the Company and the Warrant Agent by all necessary corporate action; (iii) the applicable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applicable Warrant Agreement and as described in the Registration Statement, the Base Prospectus and the related Prospectus Supplement(s), so as to be in compliance with and not violate any applicable law or result in a default under or breach of any agreement or instrument binding upon the Company, so as to be in conformity with the Articles of Association,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or the settlement of Units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3.</w:t>
      </w:r>
      <w:r>
        <w:rPr>
          <w:rFonts w:ascii="Times New Roman" w:hAnsi="Times New Roman"/>
          <w:color w:val="000000"/>
          <w:sz w:val="20"/>
        </w:rPr>
        <w:t xml:space="preserve"> </w:t>
      </w:r>
      <w:r>
        <w:rPr>
          <w:rFonts w:ascii="Arial" w:hAnsi="Arial"/>
          <w:color w:val="000000"/>
          <w:sz w:val="20"/>
        </w:rPr>
        <w:t>With respect to the Units issued under a Unit Agreement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Unit Agreement has been duly authorized by the Company and the Unit Agent by all necessary corporate action; (iii) the applicable Unit Agreement has been duly executed and delivered by the Company and the Unit Agent; (iv) the issuance and terms of the Units, including as to any Ordinary Shares, Debt Securities or Warrants that are components of such Units, have been duly authorized by the Company by all necessary corporate action; (v) the terms of the Units, including as to any Ordinary Shares, Debt Securities or Warrants that are components of such Units, and of their issuance and sale have been duly established in conformity with the applicable Unit Agreement and as described in the Registration Statement, the Base Prospectus and the related Prospectus Supplement(s), so as to be in compliance with and not violate any applicable law or result in a default under or breach of any agreement or instrument binding upon the Company, so as to be in conformity with the Articles of Association, and so as to comply with any requirement or restriction imposed by any court or governmental body having jurisdiction over the Company; and (vi) the Units, including as to any Ordinary Shares, Debt Securities or Warrants that are components of such Units, have been duly executed and delivered by the Company and authenticated by the Unit Agent pursuant to the applicable Unit Agreement and delivered against payment therefor, then the</w:t>
      </w:r>
      <w:r>
        <w:rPr>
          <w:rFonts w:ascii="Times New Roman" w:hAnsi="Times New Roman"/>
          <w:color w:val="000000"/>
          <w:sz w:val="20"/>
        </w:rPr>
        <w:t xml:space="preserve"> </w:t>
      </w:r>
    </w:p>
    <w:p>
      <w:pPr>
        <w:pStyle w:val="TextBody"/>
        <w:bidi w:val="0"/>
        <w:jc w:val="center"/>
        <w:rPr>
          <w:rFonts w:ascii="Arial" w:hAnsi="Arial"/>
          <w:color w:val="000000"/>
          <w:sz w:val="14"/>
        </w:rPr>
      </w:pPr>
      <w:r>
        <w:rPr>
          <w:rFonts w:ascii="Arial" w:hAnsi="Arial"/>
          <w:color w:val="000000"/>
          <w:sz w:val="14"/>
        </w:rPr>
        <w:t>COOLEY LLP 500 BOYLSTON STREET 14TH FLOOR BOSTON, MA 02116</w:t>
      </w:r>
    </w:p>
    <w:p>
      <w:pPr>
        <w:pStyle w:val="TextBody"/>
        <w:bidi w:val="0"/>
        <w:jc w:val="center"/>
        <w:rPr>
          <w:rFonts w:ascii="Arial" w:hAnsi="Arial"/>
          <w:color w:val="000000"/>
          <w:sz w:val="14"/>
        </w:rPr>
      </w:pPr>
      <w:r>
        <w:rPr>
          <w:rFonts w:ascii="Arial" w:hAnsi="Arial"/>
          <w:color w:val="000000"/>
          <w:sz w:val="14"/>
        </w:rPr>
        <w:t>T: +1 (617) 937 2300 F: +1 (617) 937 2400 COOLEY.COM</w:t>
      </w:r>
    </w:p>
    <w:p>
      <w:pPr>
        <w:pStyle w:val="HorizontalLine"/>
        <w:pBdr>
          <w:bottom w:val="double" w:sz="2" w:space="0" w:color="808080"/>
        </w:pBdr>
        <w:bidi w:val="0"/>
        <w:spacing w:before="0" w:after="283"/>
        <w:jc w:val="left"/>
        <w:rPr/>
      </w:pPr>
      <w:r>
        <w:rPr/>
      </w:r>
    </w:p>
    <w:tbl>
      <w:tblPr>
        <w:tblW w:w="2456" w:type="dxa"/>
        <w:jc w:val="left"/>
        <w:tblInd w:w="0" w:type="dxa"/>
        <w:tblLayout w:type="fixed"/>
        <w:tblCellMar>
          <w:top w:w="28" w:type="dxa"/>
          <w:left w:w="28" w:type="dxa"/>
          <w:bottom w:w="28" w:type="dxa"/>
          <w:right w:w="28" w:type="dxa"/>
        </w:tblCellMar>
      </w:tblPr>
      <w:tblGrid>
        <w:gridCol w:w="2203"/>
        <w:gridCol w:w="253"/>
      </w:tblGrid>
      <w:tr>
        <w:trPr/>
        <w:tc>
          <w:tcPr>
            <w:tcW w:w="22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203" w:type="dxa"/>
            <w:tcBorders/>
            <w:tcMar>
              <w:top w:w="0" w:type="dxa"/>
              <w:left w:w="0" w:type="dxa"/>
              <w:bottom w:w="0" w:type="dxa"/>
              <w:right w:w="0" w:type="dxa"/>
            </w:tcMar>
            <w:vAlign w:val="center"/>
          </w:tcPr>
          <w:p>
            <w:pPr>
              <w:pStyle w:val="TableContents"/>
              <w:bidi w:val="0"/>
              <w:spacing w:before="53" w:after="30"/>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ind w:left="0" w:right="0" w:firstLine="62"/>
              <w:jc w:val="left"/>
              <w:rPr/>
            </w:pPr>
            <w:r>
              <w:rPr/>
              <w:t> </w:t>
            </w:r>
          </w:p>
        </w:tc>
      </w:tr>
      <w:tr>
        <w:trPr/>
        <w:tc>
          <w:tcPr>
            <w:tcW w:w="2203" w:type="dxa"/>
            <w:tcBorders/>
            <w:tcMar>
              <w:top w:w="0" w:type="dxa"/>
              <w:left w:w="0" w:type="dxa"/>
              <w:bottom w:w="0" w:type="dxa"/>
              <w:right w:w="0" w:type="dxa"/>
            </w:tcMar>
            <w:vAlign w:val="center"/>
          </w:tcPr>
          <w:p>
            <w:pPr>
              <w:pStyle w:val="TableContents"/>
              <w:bidi w:val="0"/>
              <w:spacing w:before="53" w:after="283"/>
              <w:ind w:left="0" w:right="0" w:firstLine="62"/>
              <w:jc w:val="left"/>
              <w:rPr/>
            </w:pPr>
            <w:r>
              <w:rPr/>
              <w:drawing>
                <wp:inline distT="0" distB="0" distL="0" distR="0">
                  <wp:extent cx="1295400" cy="4191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5"/>
                          <a:stretch>
                            <a:fillRect/>
                          </a:stretch>
                        </pic:blipFill>
                        <pic:spPr bwMode="auto">
                          <a:xfrm>
                            <a:off x="0" y="0"/>
                            <a:ext cx="1295400" cy="419100"/>
                          </a:xfrm>
                          <a:prstGeom prst="rect">
                            <a:avLst/>
                          </a:prstGeom>
                        </pic:spPr>
                      </pic:pic>
                    </a:graphicData>
                  </a:graphic>
                </wp:inline>
              </w:drawing>
            </w:r>
          </w:p>
          <w:p>
            <w:pPr>
              <w:pStyle w:val="TableContents"/>
              <w:bidi w:val="0"/>
              <w:spacing w:before="0" w:after="30"/>
              <w:ind w:left="0" w:right="0" w:firstLine="62"/>
              <w:jc w:val="right"/>
              <w:rPr/>
            </w:pPr>
            <w:r>
              <w:rPr/>
              <w:t> </w:t>
            </w:r>
          </w:p>
        </w:tc>
        <w:tc>
          <w:tcPr>
            <w:tcW w:w="253" w:type="dxa"/>
            <w:tcBorders/>
            <w:tcMar>
              <w:top w:w="0" w:type="dxa"/>
              <w:left w:w="0" w:type="dxa"/>
              <w:bottom w:w="0" w:type="dxa"/>
              <w:right w:w="0" w:type="dxa"/>
            </w:tcMar>
            <w:vAlign w:val="center"/>
          </w:tcPr>
          <w:p>
            <w:pPr>
              <w:pStyle w:val="TableContents"/>
              <w:bidi w:val="0"/>
              <w:spacing w:before="0" w:after="283"/>
              <w:ind w:left="0" w:right="0" w:firstLine="55"/>
              <w:jc w:val="left"/>
              <w:rPr/>
            </w:pPr>
            <w:r>
              <w:rPr/>
              <w:t> </w:t>
            </w:r>
          </w:p>
        </w:tc>
      </w:tr>
      <w:tr>
        <w:trPr/>
        <w:tc>
          <w:tcPr>
            <w:tcW w:w="2456" w:type="dxa"/>
            <w:gridSpan w:val="2"/>
            <w:tcBorders/>
            <w:tcMar>
              <w:top w:w="0" w:type="dxa"/>
              <w:left w:w="0" w:type="dxa"/>
              <w:bottom w:w="0" w:type="dxa"/>
              <w:right w:w="0" w:type="dxa"/>
            </w:tcMar>
            <w:vAlign w:val="center"/>
          </w:tcPr>
          <w:p>
            <w:pPr>
              <w:pStyle w:val="TableContents"/>
              <w:bidi w:val="0"/>
              <w:spacing w:before="53" w:after="283"/>
              <w:ind w:left="0" w:right="0" w:firstLine="55"/>
              <w:jc w:val="left"/>
              <w:rPr>
                <w:rFonts w:ascii="Arial" w:hAnsi="Arial"/>
                <w:color w:val="000000"/>
                <w:sz w:val="20"/>
              </w:rPr>
            </w:pPr>
            <w:r>
              <w:rPr>
                <w:rFonts w:ascii="Arial" w:hAnsi="Arial"/>
                <w:color w:val="000000"/>
                <w:sz w:val="20"/>
              </w:rPr>
              <w:t>Oculis Holding AG</w:t>
            </w:r>
          </w:p>
          <w:p>
            <w:pPr>
              <w:pStyle w:val="TableContents"/>
              <w:bidi w:val="0"/>
              <w:ind w:left="0" w:right="0" w:firstLine="55"/>
              <w:jc w:val="left"/>
              <w:rPr>
                <w:rFonts w:ascii="Arial" w:hAnsi="Arial"/>
                <w:color w:val="000000"/>
                <w:sz w:val="20"/>
              </w:rPr>
            </w:pPr>
            <w:r>
              <w:rPr>
                <w:rFonts w:ascii="Arial" w:hAnsi="Arial"/>
                <w:color w:val="000000"/>
                <w:sz w:val="20"/>
              </w:rPr>
              <w:t>March 4, 2026</w:t>
            </w:r>
          </w:p>
          <w:p>
            <w:pPr>
              <w:pStyle w:val="TableContents"/>
              <w:bidi w:val="0"/>
              <w:spacing w:before="0" w:after="30"/>
              <w:ind w:left="0" w:right="0" w:firstLine="55"/>
              <w:jc w:val="left"/>
              <w:rPr>
                <w:rFonts w:ascii="Arial" w:hAnsi="Arial"/>
                <w:color w:val="000000"/>
                <w:sz w:val="20"/>
              </w:rPr>
            </w:pPr>
            <w:r>
              <w:rPr>
                <w:rFonts w:ascii="Arial" w:hAnsi="Arial"/>
                <w:color w:val="000000"/>
                <w:sz w:val="20"/>
              </w:rPr>
              <w:t>Page 4</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Units, when issued and sold in accordance with the applicable Unit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jc w:val="both"/>
        <w:rPr>
          <w:rFonts w:ascii="Arial" w:hAnsi="Arial"/>
          <w:color w:val="000000"/>
          <w:sz w:val="20"/>
        </w:rPr>
      </w:pPr>
      <w:r>
        <w:rPr>
          <w:rFonts w:ascii="Arial" w:hAnsi="Arial"/>
          <w:color w:val="000000"/>
          <w:sz w:val="20"/>
        </w:rPr>
        <w:t>We hereby consent to the filing of this opinion as an exhibit to the Registration Statement and to the reference to our firm under the caption “Legal Matters” in the Base Prospectus. In giving such consent, we do not thereby admit that we are in the category of persons whose consent is required under Section 7 of the Securities Act or the rules and regulations of the Commission thereunder.</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Sincerely,</w:t>
      </w:r>
    </w:p>
    <w:p>
      <w:pPr>
        <w:pStyle w:val="TextBody"/>
        <w:bidi w:val="0"/>
        <w:spacing w:before="0" w:after="240"/>
        <w:jc w:val="both"/>
        <w:rPr>
          <w:rFonts w:ascii="Arial" w:hAnsi="Arial"/>
          <w:color w:val="000000"/>
          <w:sz w:val="20"/>
        </w:rPr>
      </w:pPr>
      <w:r>
        <w:rPr>
          <w:rFonts w:ascii="Arial" w:hAnsi="Arial"/>
          <w:color w:val="000000"/>
          <w:sz w:val="20"/>
        </w:rPr>
        <w:t>Cooley LLP</w:t>
      </w:r>
    </w:p>
    <w:p>
      <w:pPr>
        <w:pStyle w:val="TextBody"/>
        <w:bidi w:val="0"/>
        <w:spacing w:before="0" w:after="240"/>
        <w:jc w:val="both"/>
        <w:rPr/>
      </w:pPr>
      <w:r>
        <w:rPr/>
        <w:t> </w:t>
      </w:r>
    </w:p>
    <w:p>
      <w:pPr>
        <w:pStyle w:val="TextBody"/>
        <w:bidi w:val="0"/>
        <w:jc w:val="left"/>
        <w:rPr>
          <w:rFonts w:ascii="Times New Roman" w:hAnsi="Times New Roman"/>
          <w:sz w:val="20"/>
        </w:rPr>
      </w:pPr>
      <w:r>
        <w:rPr>
          <w:rFonts w:ascii="Arial" w:hAnsi="Arial"/>
          <w:color w:val="000000"/>
          <w:sz w:val="20"/>
        </w:rPr>
        <w:t xml:space="preserve">By: </w:t>
      </w:r>
      <w:r>
        <w:rPr>
          <w:rFonts w:ascii="Arial" w:hAnsi="Arial"/>
          <w:color w:val="000000"/>
          <w:sz w:val="20"/>
          <w:u w:val="single"/>
        </w:rPr>
        <w:t xml:space="preserve">/s/ Eric Blanchard </w:t>
      </w:r>
    </w:p>
    <w:p>
      <w:pPr>
        <w:pStyle w:val="TextBody"/>
        <w:bidi w:val="0"/>
        <w:jc w:val="both"/>
        <w:rPr>
          <w:rFonts w:ascii="Arial" w:hAnsi="Arial"/>
          <w:color w:val="000000"/>
          <w:sz w:val="20"/>
        </w:rPr>
      </w:pPr>
      <w:r>
        <w:rPr>
          <w:rFonts w:ascii="Arial" w:hAnsi="Arial"/>
          <w:color w:val="000000"/>
          <w:sz w:val="20"/>
        </w:rPr>
        <w:t>Eric Blanchard</w:t>
      </w:r>
    </w:p>
    <w:p>
      <w:pPr>
        <w:pStyle w:val="TextBody"/>
        <w:bidi w:val="0"/>
        <w:jc w:val="center"/>
        <w:rPr>
          <w:rFonts w:ascii="Arial" w:hAnsi="Arial"/>
          <w:color w:val="000000"/>
          <w:sz w:val="14"/>
        </w:rPr>
      </w:pPr>
      <w:r>
        <w:rPr>
          <w:rFonts w:ascii="Arial" w:hAnsi="Arial"/>
          <w:color w:val="000000"/>
          <w:sz w:val="14"/>
        </w:rPr>
        <w:t>COOLEY LLP 500 BOYLSTON STREET 14TH FLOOR BOSTON, MA 02116</w:t>
      </w:r>
    </w:p>
    <w:p>
      <w:pPr>
        <w:pStyle w:val="TextBody"/>
        <w:bidi w:val="0"/>
        <w:jc w:val="center"/>
        <w:rPr>
          <w:rFonts w:ascii="Arial" w:hAnsi="Arial"/>
          <w:color w:val="000000"/>
          <w:sz w:val="14"/>
        </w:rPr>
      </w:pPr>
      <w:r>
        <w:rPr>
          <w:rFonts w:ascii="Arial" w:hAnsi="Arial"/>
          <w:color w:val="000000"/>
          <w:sz w:val="14"/>
        </w:rPr>
        <w:t>T: +1 (617) 937 2300 F: +1 (617) 937 2400 COOLEY.COM</w:t>
      </w:r>
    </w:p>
    <w:p>
      <w:pPr>
        <w:pStyle w:val="HorizontalLine"/>
        <w:pBdr>
          <w:bottom w:val="double" w:sz="2" w:space="0" w:color="808080"/>
        </w:pBdr>
        <w:bidi w:val="0"/>
        <w:spacing w:before="0" w:after="283"/>
        <w:jc w:val="left"/>
        <w:rPr/>
      </w:pPr>
      <w:r>
        <w:rPr/>
      </w:r>
    </w:p>
    <w:p>
      <w:pPr>
        <w:pStyle w:val="TextBody"/>
        <w:bidi w:val="0"/>
        <w:jc w:val="right"/>
        <w:rPr/>
      </w:pPr>
      <w:bookmarkStart w:id="55" w:name="ocs-ex23_1.htm"/>
      <w:bookmarkStart w:id="56" w:name="ksocsex23_1"/>
      <w:bookmarkEnd w:id="55"/>
      <w:bookmarkEnd w:id="56"/>
      <w:r>
        <w:rPr/>
        <w:t> </w:t>
      </w:r>
      <w:r>
        <w:br w:type="page"/>
      </w:r>
    </w:p>
    <w:p>
      <w:pPr>
        <w:pStyle w:val="TextBody"/>
        <w:bidi w:val="0"/>
        <w:jc w:val="right"/>
        <w:rPr>
          <w:rFonts w:ascii="Georgia;serif" w:hAnsi="Georgia;serif"/>
          <w:b/>
          <w:color w:val="000000"/>
          <w:sz w:val="20"/>
        </w:rPr>
      </w:pPr>
      <w:r>
        <w:rPr>
          <w:rFonts w:ascii="Georgia;serif" w:hAnsi="Georgia;serif"/>
          <w:b/>
          <w:color w:val="000000"/>
          <w:sz w:val="20"/>
        </w:rPr>
        <w:t>Exhibit 23.1</w:t>
      </w:r>
    </w:p>
    <w:p>
      <w:pPr>
        <w:pStyle w:val="TextBody"/>
        <w:bidi w:val="0"/>
        <w:spacing w:before="480" w:after="48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spacing w:before="0" w:after="120"/>
        <w:jc w:val="left"/>
        <w:rPr>
          <w:rFonts w:ascii="Times New Roman" w:hAnsi="Times New Roman"/>
          <w:sz w:val="20"/>
        </w:rPr>
      </w:pPr>
      <w:r>
        <w:rPr>
          <w:rFonts w:ascii="Georgia;serif" w:hAnsi="Georgia;serif"/>
          <w:color w:val="000000"/>
          <w:sz w:val="20"/>
        </w:rPr>
        <w:t>We hereby consent to the incorporation by reference in this Registration Statement on Form F-3 of Oculis Holding AG of our report dated March 4, 2026</w:t>
      </w:r>
      <w:r>
        <w:rPr>
          <w:rFonts w:ascii="Times New Roman" w:hAnsi="Times New Roman"/>
          <w:color w:val="000000"/>
          <w:sz w:val="20"/>
        </w:rPr>
        <w:t xml:space="preserve"> </w:t>
      </w:r>
      <w:r>
        <w:rPr>
          <w:rFonts w:ascii="Georgia;serif" w:hAnsi="Georgia;serif"/>
          <w:color w:val="000000"/>
          <w:sz w:val="20"/>
        </w:rPr>
        <w:t>relating to the financial statements and the effectiveness of internal control over financial reporting, which appears in Oculis Holding AG's Annual Report on Form 20-F for the year ended December 31, 2025. We also consent to the reference to us under the heading “Experts”</w:t>
      </w:r>
      <w:r>
        <w:rPr>
          <w:rFonts w:ascii="Times New Roman" w:hAnsi="Times New Roman"/>
          <w:color w:val="000000"/>
          <w:sz w:val="20"/>
        </w:rPr>
        <w:t xml:space="preserve"> </w:t>
      </w:r>
      <w:r>
        <w:rPr>
          <w:rFonts w:ascii="Georgia;serif" w:hAnsi="Georgia;serif"/>
          <w:color w:val="000000"/>
          <w:sz w:val="20"/>
        </w:rPr>
        <w:t>in such Registration Statement.</w:t>
      </w:r>
    </w:p>
    <w:p>
      <w:pPr>
        <w:pStyle w:val="TextBody"/>
        <w:bidi w:val="0"/>
        <w:spacing w:before="0" w:after="120"/>
        <w:jc w:val="left"/>
        <w:rPr/>
      </w:pPr>
      <w:r>
        <w:rPr/>
        <w:t> </w:t>
      </w:r>
    </w:p>
    <w:p>
      <w:pPr>
        <w:pStyle w:val="TextBody"/>
        <w:bidi w:val="0"/>
        <w:spacing w:before="120" w:after="283"/>
        <w:jc w:val="left"/>
        <w:rPr>
          <w:rFonts w:ascii="Times New Roman" w:hAnsi="Times New Roman"/>
          <w:sz w:val="20"/>
        </w:rPr>
      </w:pPr>
      <w:r>
        <w:rPr>
          <w:rFonts w:ascii="Georgia;serif" w:hAnsi="Georgia;serif"/>
          <w:color w:val="000000"/>
          <w:sz w:val="20"/>
        </w:rPr>
        <w:t>/s/ PricewaterhouseCoopers SA</w:t>
      </w:r>
      <w:r>
        <w:rPr>
          <w:rFonts w:ascii="Times New Roman" w:hAnsi="Times New Roman"/>
          <w:color w:val="000000"/>
          <w:sz w:val="20"/>
        </w:rPr>
        <w:t xml:space="preserve"> </w:t>
      </w:r>
    </w:p>
    <w:p>
      <w:pPr>
        <w:pStyle w:val="TextBody"/>
        <w:bidi w:val="0"/>
        <w:spacing w:before="240" w:after="283"/>
        <w:jc w:val="left"/>
        <w:rPr>
          <w:rFonts w:ascii="Georgia;serif" w:hAnsi="Georgia;serif"/>
          <w:color w:val="000000"/>
          <w:sz w:val="20"/>
        </w:rPr>
      </w:pPr>
      <w:r>
        <w:rPr>
          <w:rFonts w:ascii="Georgia;serif" w:hAnsi="Georgia;serif"/>
          <w:color w:val="000000"/>
          <w:sz w:val="20"/>
        </w:rPr>
        <w:br/>
        <w:t>Lausanne, Switzerland</w:t>
        <w:br/>
        <w:t>March 4, 2026</w:t>
      </w:r>
    </w:p>
    <w:p>
      <w:pPr>
        <w:pStyle w:val="TextBody"/>
        <w:bidi w:val="0"/>
        <w:jc w:val="right"/>
        <w:rPr>
          <w:rFonts w:ascii="Georgia;serif" w:hAnsi="Georgia;serif"/>
          <w:color w:val="000000"/>
          <w:sz w:val="20"/>
        </w:rPr>
      </w:pPr>
      <w:r>
        <w:rPr>
          <w:rFonts w:ascii="Georgia;serif" w:hAnsi="Georgia;serif"/>
          <w:color w:val="000000"/>
          <w:sz w:val="20"/>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57" w:name="ocs-exfiling_fees.htm"/>
      <w:bookmarkStart w:id="58" w:name="ksocsexfiling_fees"/>
      <w:bookmarkStart w:id="59" w:name="ocs-exfiling_fees.htm"/>
      <w:bookmarkStart w:id="60" w:name="ksocsexfiling_fees"/>
      <w:bookmarkEnd w:id="59"/>
      <w:bookmarkEnd w:id="60"/>
      <w:r>
        <w:br w:type="page"/>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Oculis Holding AG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8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Ordinary shares, nominal value of CHF 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Ordinary shares, nominal value of CHF 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$ 68,749,984.50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$ 9,494.37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Ordinary shares, nominal value of CHF 0.01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$ 31,250,015.50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F-3 </w:t>
            </w:r>
          </w:p>
        </w:tc>
        <w:tc>
          <w:tcPr>
            <w:tcW w:w="1021" w:type="dxa"/>
            <w:tcBorders/>
            <w:shd w:fill="E7E7E2" w:val="clear"/>
            <w:vAlign w:val="center"/>
          </w:tcPr>
          <w:p>
            <w:pPr>
              <w:pStyle w:val="TableContents"/>
              <w:bidi w:val="0"/>
              <w:spacing w:before="0" w:after="283"/>
              <w:jc w:val="center"/>
              <w:rPr/>
            </w:pPr>
            <w:r>
              <w:rPr/>
              <w:t xml:space="preserve">333-278409 </w:t>
            </w:r>
          </w:p>
        </w:tc>
        <w:tc>
          <w:tcPr>
            <w:tcW w:w="1021" w:type="dxa"/>
            <w:tcBorders/>
            <w:shd w:fill="E7E7E2" w:val="clear"/>
            <w:vAlign w:val="center"/>
          </w:tcPr>
          <w:p>
            <w:pPr>
              <w:pStyle w:val="TableContents"/>
              <w:bidi w:val="0"/>
              <w:spacing w:before="0" w:after="283"/>
              <w:jc w:val="center"/>
              <w:rPr/>
            </w:pPr>
            <w:r>
              <w:rPr/>
              <w:t xml:space="preserve">04/03/2024 </w:t>
            </w:r>
          </w:p>
        </w:tc>
        <w:tc>
          <w:tcPr>
            <w:tcW w:w="1321" w:type="dxa"/>
            <w:tcBorders/>
            <w:shd w:fill="E7E7E2" w:val="clear"/>
            <w:vAlign w:val="center"/>
          </w:tcPr>
          <w:p>
            <w:pPr>
              <w:pStyle w:val="TableContents"/>
              <w:bidi w:val="0"/>
              <w:spacing w:before="0" w:after="283"/>
              <w:jc w:val="right"/>
              <w:rPr/>
            </w:pPr>
            <w:r>
              <w:rPr/>
              <w:t xml:space="preserve">$ 4,612.50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61" w:name="MaxAggtOfferingPrice"/>
            <w:bookmarkEnd w:id="61"/>
            <w:r>
              <w:rPr/>
              <w:t xml:space="preserve">$ 100,000,000.00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62" w:name="TotalFeeAmt"/>
            <w:bookmarkEnd w:id="62"/>
            <w:r>
              <w:rPr/>
              <w:t xml:space="preserve">$ 9,494.37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3" w:name="TotalPreviouslyPaidAmt"/>
            <w:bookmarkEnd w:id="6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4" w:name="TotalOffsetAmt"/>
            <w:bookmarkEnd w:id="6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5" w:name="NetFeeAmt"/>
            <w:bookmarkEnd w:id="65"/>
            <w:r>
              <w:rPr/>
              <w:t xml:space="preserve">$ 9,494.37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320"/>
        <w:gridCol w:w="8686"/>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Pursuant to Rule 416 under the Securities Act of 1933, as amended, or the Securities Act, this registration statement shall also cover any additional shares of the registrant's securities that become issuable by reason of any share split, share dividend or similar transaction. (2) An unspecified maximum aggregate offering price and number of securities of each identified class is being registered and may from time to time be offered at unspecified prices. (3) In accordance with Rules 456(b) and 457(r) under the Securities Act, the registrant is deferring payment of the entire registration fee other than the fees in connection with the $100,000,000 of the registrant's ordinary shares that may be issued and sold from time to time under the Amended and Restated Sales Agreement, dated March 4, 2026, with Leerink Partners LLC, as sales agent. In connection with the other securities offered hereby, the registrant will pay "pay-as-you-go registration fees" in accordance with Rule 456(b) under the Securities Act. The registrant will calculate the registration fee applicable to an offer of securities pursuant to this registration statement based on the fee rate in effect on the date of such fee payment. Pursuant to Rule 415(a)(6) under the Securities Act, the securities registered pursuant to this registration statement include the Unsold Securities (as defined below) being carried forward, and the filing fees previously paid in connection with the Unsold Securities will be applied to the filing fees for the securities being registered in this registration statement.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(2) An unspecified maximum aggregate offering price and number of securities of each identified class is being registered and may from time to time be offered at unspecified prices. (4) Pursuant to Rule 415(a)(6) under the Securities Act, this registration statement includes $31,250,015.50 of unsold securities, or the Unsold Securities, of the registrant that had been previously registered pursuant to the registration statement on Form F-3 (File No. 333-278409) initially filed on April 1, 2024, and declared effective on April 3, 2024, or the Prior Registration Statement. In connection with the registration of the Unsold Securities on the Prior Registration Statement, the registrant paid a registration fee of $4,612.50. No additional filing fee is due with respect to the Unsold Securities included in this registration statement. Pursuant to Rule 415(a)(6), the offering of the Unsold Securities under the Prior Registration Statement will be deemed terminated as of the time of filing this registration statement.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6" w:type="dxa"/>
            <w:gridSpan w:val="2"/>
            <w:tcBorders/>
            <w:vAlign w:val="center"/>
          </w:tcPr>
          <w:p>
            <w:pPr>
              <w:pStyle w:val="TableContents"/>
              <w:bidi w:val="0"/>
              <w:spacing w:before="0" w:after="283"/>
              <w:jc w:val="left"/>
              <w:rPr/>
            </w:pPr>
            <w:r>
              <w:rPr/>
              <w:t xml:space="preserve">(1) Pursuant to Rule 416 under the Securities Act of 1933, as amended, or the Securities Act, this registration statement shall also cover any additional shares of the registrant's securities that become issuable by reason of any share split, share dividend or similar transaction. (2) An unspecified maximum aggregate offering price and number of securities of each identified class is being registered and may from time to time be offered at unspecified prices. (3) In accordance with Rules 456(b) and 457(r) under the Securities Act, the registrant is deferring payment of the entire registration fee other than the fees in connection with the $100,000,000 of the registrant's ordinary shares that may be issued and sold from time to time under the Amended and Restated Sales Agreement, dated March 4, 2026, with Leerink Partners LLC, as sales agent. In connection with the other securities offered hereby, the registrant will pay "pay-as-you-go registration fees" in accordance with Rule 456(b) under the Securities Act. The registrant will calculate the registration fee applicable to an offer of securities pursuant to this registration statement based on the fee rate in effect on the date of such fee payment. Pursuant to Rule 415(a)(6) under the Securities Act, the securities registered pursuant to this registration statement include the Unsold Securities (as defined below) being carried forward, and the filing fees previously paid in connection with the Unsold Securities will be applied to the filing fees for the securities being registered in this registration statement.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6" w:type="dxa"/>
            <w:gridSpan w:val="2"/>
            <w:tcBorders/>
            <w:vAlign w:val="center"/>
          </w:tcPr>
          <w:p>
            <w:pPr>
              <w:pStyle w:val="TableContents"/>
              <w:bidi w:val="0"/>
              <w:spacing w:before="0" w:after="283"/>
              <w:jc w:val="left"/>
              <w:rPr/>
            </w:pPr>
            <w:r>
              <w:rPr/>
              <w:t xml:space="preserve">(1) Pursuant to Rule 416 under the Securities Act of 1933, as amended, or the Securities Act, this registration statement shall also cover any additional shares of the registrant's securities that become issuable by reason of any share split, share dividend or similar transaction. (2) An unspecified maximum aggregate offering price and number of securities of each identified class is being registered and may from time to time be offered at unspecified prices. (3) In accordance with Rules 456(b) and 457(r) under the Securities Act, the registrant is deferring payment of the entire registration fee other than the fees in connection with the $100,000,000 of the registrant's ordinary shares that may be issued and sold from time to time under the Amended and Restated Sales Agreement, dated March 4, 2026, with Leerink Partners LLC, as sales agent. In connection with the other securities offered hereby, the registrant will pay "pay-as-you-go registration fees" in accordance with Rule 456(b) under the Securities Act. The registrant will calculate the registration fee applicable to an offer of securities pursuant to this registration statement based on the fee rate in effect on the date of such fee payment. Pursuant to Rule 415(a)(6) under the Securities Act, the securities registered pursuant to this registration statement include the Unsold Securities (as defined below) being carried forward, and the filing fees previously paid in connection with the Unsold Securities will be applied to the filing fees for the securities being registered in this registration statement.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6" w:type="dxa"/>
            <w:gridSpan w:val="2"/>
            <w:tcBorders/>
            <w:vAlign w:val="center"/>
          </w:tcPr>
          <w:p>
            <w:pPr>
              <w:pStyle w:val="TableContents"/>
              <w:bidi w:val="0"/>
              <w:spacing w:before="0" w:after="283"/>
              <w:jc w:val="left"/>
              <w:rPr/>
            </w:pPr>
            <w:r>
              <w:rPr/>
              <w:t xml:space="preserve">(1) Pursuant to Rule 416 under the Securities Act of 1933, as amended, or the Securities Act, this registration statement shall also cover any additional shares of the registrant's securities that become issuable by reason of any share split, share dividend or similar transaction. (2) An unspecified maximum aggregate offering price and number of securities of each identified class is being registered and may from time to time be offered at unspecified prices. (3) In accordance with Rules 456(b) and 457(r) under the Securities Act, the registrant is deferring payment of the entire registration fee other than the fees in connection with the $100,000,000 of the registrant's ordinary shares that may be issued and sold from time to time under the Amended and Restated Sales Agreement, dated March 4, 2026, with Leerink Partners LLC, as sales agent. In connection with the other securities offered hereby, the registrant will pay "pay-as-you-go registration fees" in accordance with Rule 456(b) under the Securities Act. The registrant will calculate the registration fee applicable to an offer of securities pursuant to this registration statement based on the fee rate in effect on the date of such fee payment. Pursuant to Rule 415(a)(6) under the Securities Act, the securities registered pursuant to this registration statement include the Unsold Securities (as defined below) being carried forward, and the filing fees previously paid in connection with the Unsold Securities will be applied to the filing fees for the securities being registered in this registration statement.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6" w:type="dxa"/>
            <w:gridSpan w:val="2"/>
            <w:tcBorders/>
            <w:vAlign w:val="center"/>
          </w:tcPr>
          <w:p>
            <w:pPr>
              <w:pStyle w:val="TableContents"/>
              <w:bidi w:val="0"/>
              <w:spacing w:before="0" w:after="283"/>
              <w:jc w:val="left"/>
              <w:rPr/>
            </w:pPr>
            <w:r>
              <w:rPr/>
              <w:t xml:space="preserve">(4) Pursuant to Rule 415(a)(6) under the Securities Act, this registration statement includes $31,250,015.50 of unsold securities, or the Unsold Securities, of the registrant that had been previously registered pursuant to the registration statement on Form F-3 (File No. 333-278409) initially filed on April 1, 2024, and declared effective on April 3, 2024, or the Prior Registration Statement. In connection with the registration of the Unsold Securities on the Prior Registration Statement, the registrant paid a registration fee of $4,612.50. No additional filing fee is due with respect to the Unsold Securities included in this registration statement. Pursuant to Rule 415(a)(6), the offering of the Unsold Securities under the Prior Registration Statement will be deemed terminated as of the time of filing this registration statement.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 w:name="Verdana">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53530/000119312523054545/d469614d8a12b.htm" TargetMode="External"/><Relationship Id="rId4" Type="http://schemas.openxmlformats.org/officeDocument/2006/relationships/hyperlink" Target="https://www.sec.gov/ix?doc=/Archives/edgar/data/0001953530/000119312526091446/ocs-20251231.htm" TargetMode="External"/><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hyperlink" Target="https://www.sec.gov/Archives/edgar/data/1953530/000119312523054545/d469614d8a12b.htm" TargetMode="External"/><Relationship Id="rId8" Type="http://schemas.openxmlformats.org/officeDocument/2006/relationships/hyperlink" Target="https://www.sec.gov/ix?doc=/Archives/edgar/data/0001953530/000119312526091446/ocs-20251231.htm" TargetMode="External"/><Relationship Id="rId9" Type="http://schemas.openxmlformats.org/officeDocument/2006/relationships/image" Target="media/image2.jpeg"/><Relationship Id="rId10" Type="http://schemas.openxmlformats.org/officeDocument/2006/relationships/hyperlink" Target="https://www.sec.gov/Archives/edgar/data/1953530/000119312526091446/ocs-ex1_1.htm" TargetMode="External"/><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4.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58165</Words>
  <Characters>301552</Characters>
  <CharactersWithSpaces>358394</CharactersWithSpaces>
  <Paragraphs>2450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