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Oculis Holding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CHF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BVCF IV,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2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2,436,902.00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2,436,902.00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2,436,902.00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180"/>
          </w:cols>
          <w:pgMar w:left="320" w:top="111" w:right="12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Notes to Rows 6, 8 and 9: See Item 2(a) below. Notes to Row 11: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58,932,987 Ordinary Shares issued and outstanding of the Issuer as of February 13,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BEYEOTECH</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2,436,902.00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2,436,902.00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2,436,902.00</w:t>
      </w:r>
    </w:p>
    <w:p>
      <w:pPr>
        <w:sectPr>
          <w:pgSz w:w="11900" w:h="16838" w:orient="portrait"/>
          <w:cols w:equalWidth="0" w:num="1">
            <w:col w:w="10340"/>
          </w:cols>
          <w:pgMar w:left="320" w:top="111" w:right="12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4.14 %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Notes to Rows 6, 8 and 9: See Item 2(a) below. Notes to Row 11: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58,932,987 Ordinary Shares issued and outstanding of the Issuer as of February 13,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BVCF IV GP,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340"/>
          </w:cols>
          <w:pgMar w:left="320" w:top="111" w:right="12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2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2,436,902.00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2,436,902.00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2,436,902.00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180"/>
          </w:cols>
          <w:pgMar w:left="320" w:top="111" w:right="12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Notes to Rows 6, 8 and 9: See Item 2(a) below. Notes to Row 11: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58,932,987 Ordinary Shares issued and outstanding of the Issuer as of February 13, 2026.</w:t>
      </w:r>
    </w:p>
    <w:p>
      <w:pPr>
        <w:sectPr>
          <w:pgSz w:w="11900" w:h="16838" w:orient="portrait"/>
          <w:cols w:equalWidth="0" w:num="1">
            <w:col w:w="10340"/>
          </w:cols>
          <w:pgMar w:left="320" w:top="111" w:right="1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340"/>
          </w:cols>
          <w:pgMar w:left="320" w:top="111" w:right="1239" w:bottom="0" w:gutter="0" w:footer="0" w:header="0"/>
          <w:type w:val="continuous"/>
        </w:sectPr>
      </w:pPr>
    </w:p>
    <w:bookmarkStart w:id="3" w:name="page4"/>
    <w:bookmarkEnd w:id="3"/>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Zhi Yang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68" w:orient="portrait"/>
          <w:cols w:equalWidth="0" w:num="1">
            <w:col w:w="11160"/>
          </w:cols>
          <w:pgMar w:left="320" w:top="189"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2,436,902.00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2,436,902.00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2,436,902.00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8" w:orient="portrait"/>
          <w:cols w:equalWidth="0" w:num="2">
            <w:col w:w="1100" w:space="60"/>
            <w:col w:w="10000"/>
          </w:cols>
          <w:pgMar w:left="320" w:top="189" w:right="419" w:bottom="0" w:gutter="0" w:footer="0" w:header="0"/>
          <w:type w:val="continuous"/>
        </w:sectPr>
      </w:pPr>
    </w:p>
    <w:p>
      <w:pPr>
        <w:spacing w:after="0" w:line="70" w:lineRule="exact"/>
        <w:rPr>
          <w:sz w:val="20"/>
          <w:szCs w:val="20"/>
          <w:color w:val="auto"/>
        </w:rPr>
      </w:pPr>
    </w:p>
    <w:p>
      <w:pPr>
        <w:ind w:right="8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Notes to Rows 6, 8 and 9: See Item 2(a) below. Notes to Row 11: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58,932,987 Ordinary Shares issued and outstanding of the Issuer as of February 13,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Oculis Holding AG</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Bahnhofstrasse 20 Zug, V8, CH-6300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6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statement is filed by (i) BVCF IV, L.P. ("Fund"), a limited partnership incorporated under the laws of the Cayman Islands, (ii) BEYEOTECH ("Beyeotech"), a company organized and existing under the laws of the Cayman Islands, (iii) BVCF IV GP, Ltd. ("GP"), a limited company incorporated under the laws of the Cayman Islands, and (iv) Mr. Zhi Yang, a director and sole shareholder of GP (Fund, Beyeotech, GP and Mr. Zhi Yang are collectively referred to as the "Reporting Persons"). Beyeotech directly holds the 2,436,902 Ordinary Shares being reported in this statement. Beyeotech is a wholly-owned subsidiary of Fund, GP is the general partner of Fund and Mr. Zhi Yang is</w:t>
      </w:r>
    </w:p>
    <w:p>
      <w:pPr>
        <w:sectPr>
          <w:pgSz w:w="11900" w:h="16868" w:orient="portrait"/>
          <w:cols w:equalWidth="0" w:num="1">
            <w:col w:w="11160"/>
          </w:cols>
          <w:pgMar w:left="320" w:top="189" w:right="419" w:bottom="0" w:gutter="0" w:footer="0" w:header="0"/>
          <w:type w:val="continuous"/>
        </w:sectPr>
      </w:pPr>
    </w:p>
    <w:bookmarkStart w:id="4" w:name="page5"/>
    <w:bookmarkEnd w:id="4"/>
    <w:p>
      <w:pPr>
        <w:ind w:left="920"/>
        <w:spacing w:after="0" w:line="236" w:lineRule="auto"/>
        <w:rPr>
          <w:sz w:val="20"/>
          <w:szCs w:val="20"/>
          <w:color w:val="auto"/>
        </w:rPr>
      </w:pPr>
      <w:r>
        <w:rPr>
          <w:rFonts w:ascii="Times New Roman" w:cs="Times New Roman" w:eastAsia="Times New Roman" w:hAnsi="Times New Roman"/>
          <w:sz w:val="22"/>
          <w:szCs w:val="22"/>
          <w:color w:val="auto"/>
        </w:rPr>
        <w:t>the sole shareholder and director of GP. GP, by virtue of it being the general partner of Fund, may be deemed to have voting control and investment discretion over the securities held by Beyeotech. Mr. Zhi Yang, by virtue of being the director and sole shareholder of GP, may be deemed to have voting control and investment discretion over the securities held by Beyeotech. Each of the Reporting Persons has entered into a Joint Filing Agreement, dated April 28, 2023, pursuant to which such Reporting Persons have agreed to file this statement jointly in accordance with the provisions of Rule 13d-1(k)(1) under the Securities Exchange Act of 1934, as amended.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8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Beyeotech is 190 Elgin Avenue, George Town, Grand Cayman KY1-9008, Cayman Islands. The address of the principal business office of each of Fund, GP and Mr. Zhi Yang is 763 Mengzi Road, Suite 2604, Shanghai, China 200023.</w:t>
      </w:r>
    </w:p>
    <w:p>
      <w:pPr>
        <w:sectPr>
          <w:pgSz w:w="11900" w:h="16838" w:orient="portrait"/>
          <w:cols w:equalWidth="0" w:num="1">
            <w:col w:w="11020"/>
          </w:cols>
          <w:pgMar w:left="360" w:top="112" w:right="51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4 of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CHF 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00"/>
          </w:cols>
          <w:pgMar w:left="360" w:top="112" w:right="51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each cover page.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 5 of each cover page.</w:t>
      </w:r>
    </w:p>
    <w:p>
      <w:pPr>
        <w:spacing w:after="0" w:line="287" w:lineRule="exact"/>
        <w:rPr>
          <w:sz w:val="20"/>
          <w:szCs w:val="20"/>
          <w:color w:val="auto"/>
        </w:rPr>
      </w:pPr>
    </w:p>
    <w:p>
      <w:pPr>
        <w:ind w:left="920" w:right="6120" w:firstLine="6"/>
        <w:spacing w:after="0" w:line="486" w:lineRule="auto"/>
        <w:tabs>
          <w:tab w:leader="none" w:pos="123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of each cover page.</w:t>
      </w:r>
    </w:p>
    <w:p>
      <w:pPr>
        <w:spacing w:after="0" w:line="1" w:lineRule="exact"/>
        <w:rPr>
          <w:rFonts w:ascii="Times New Roman" w:cs="Times New Roman" w:eastAsia="Times New Roman" w:hAnsi="Times New Roman"/>
          <w:sz w:val="22"/>
          <w:szCs w:val="22"/>
          <w:color w:val="auto"/>
        </w:rPr>
      </w:pPr>
    </w:p>
    <w:p>
      <w:pPr>
        <w:ind w:left="920" w:right="5200" w:firstLine="6"/>
        <w:spacing w:after="0" w:line="486" w:lineRule="auto"/>
        <w:tabs>
          <w:tab w:leader="none" w:pos="129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each cover page.</w:t>
      </w:r>
    </w:p>
    <w:p>
      <w:pPr>
        <w:spacing w:after="0" w:line="1" w:lineRule="exact"/>
        <w:rPr>
          <w:rFonts w:ascii="Times New Roman" w:cs="Times New Roman" w:eastAsia="Times New Roman" w:hAnsi="Times New Roman"/>
          <w:sz w:val="22"/>
          <w:szCs w:val="22"/>
          <w:color w:val="auto"/>
        </w:rPr>
      </w:pPr>
    </w:p>
    <w:p>
      <w:pPr>
        <w:ind w:left="920" w:right="5000" w:firstLine="6"/>
        <w:spacing w:after="0" w:line="486" w:lineRule="auto"/>
        <w:tabs>
          <w:tab w:leader="none" w:pos="12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each cover page.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020"/>
          </w:cols>
          <w:pgMar w:left="360" w:top="112" w:right="51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BVCF IV,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BVCF IV GP, Ltd., its general partner /s/ Zhi</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Yang</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Zhi Yang/Director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BEYEOTECH</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Bernard Yang Feng</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Bernard Yang Feng/Director</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BVCF IV GP, Ltd.</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Zhi Yang</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Zhi Yang/Director</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Zhi Yang</w:t>
      </w:r>
    </w:p>
    <w:p>
      <w:pPr>
        <w:spacing w:after="0" w:line="152" w:lineRule="exact"/>
        <w:rPr>
          <w:sz w:val="20"/>
          <w:szCs w:val="20"/>
          <w:color w:val="auto"/>
        </w:rPr>
      </w:pPr>
    </w:p>
    <w:p>
      <w:pPr>
        <w:ind w:left="2340"/>
        <w:spacing w:after="0"/>
        <w:tabs>
          <w:tab w:leader="none" w:pos="3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Zhi Yang</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Zhi Yang</w:t>
      </w:r>
    </w:p>
    <w:p>
      <w:pPr>
        <w:spacing w:after="0" w:line="44" w:lineRule="exact"/>
        <w:rPr>
          <w:sz w:val="20"/>
          <w:szCs w:val="20"/>
          <w:color w:val="auto"/>
        </w:rPr>
      </w:pPr>
    </w:p>
    <w:p>
      <w:pPr>
        <w:ind w:left="2340"/>
        <w:spacing w:after="0"/>
        <w:tabs>
          <w:tab w:leader="none" w:pos="3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 dated April 28, 2023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https://www.sec.gov/Archives/edgar/data/1761158/000119312523131200/d499516dex991.htm</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2026-03-27T05:31:14Z</dcterms:created>
  <dcterms:modified xsi:type="dcterms:W3CDTF">2026-03-27T05:31:14Z</dcterms:modified>
</cp:coreProperties>
</file>