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6-k_agm_results_2026.htm"/>
      <w:bookmarkStart w:id="1" w:name="ks6k_agm_results_2026"/>
      <w:bookmarkEnd w:id="0"/>
      <w:bookmarkEnd w:id="1"/>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Month of May 2026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No. 001-41636)</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Oculis Holding AG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(Translation of registrant's name into English)</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Bahnhofstrasse 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CH-6300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Zug, Switzerland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tbl>
      <w:tblPr>
        <w:tblW w:w="2402" w:type="dxa"/>
        <w:jc w:val="left"/>
        <w:tblInd w:w="0" w:type="dxa"/>
        <w:tblLayout w:type="fixed"/>
        <w:tblCellMar>
          <w:top w:w="28" w:type="dxa"/>
          <w:left w:w="28" w:type="dxa"/>
          <w:bottom w:w="28" w:type="dxa"/>
          <w:right w:w="28" w:type="dxa"/>
        </w:tblCellMar>
      </w:tblPr>
      <w:tblGrid>
        <w:gridCol w:w="118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INFORMATION CONTAINED IN THIS REPORT ON FORM 6-K</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14, 2026, Oculis Holding AG (the “Registrant”) published the results of its 2026 Annual General Meeting held at Ochsen-Zug, Kolinplatz 11, CH-6300 Zug, Switzerland, on May 13, 2026 at 12:00 p.m. CEST (the “Meeting”). The press release and the Registrant’s latest Articles of Association, as amended by the shareholders at the Meeting, are furnished hereto as Exhibits 99.1 and 99.2,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99.2 is hereby incorporated by reference into the Registrant’s Registration Statements on Form S-8 (File No. 333-271938 and 333-287806) and Form F-3 (File Nos. 333-294011, 333-278409, 333-271063 and 333-291426).</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3808" w:type="dxa"/>
        <w:jc w:val="left"/>
        <w:tblInd w:w="0" w:type="dxa"/>
        <w:tblLayout w:type="fixed"/>
        <w:tblCellMar>
          <w:top w:w="28" w:type="dxa"/>
          <w:left w:w="28" w:type="dxa"/>
          <w:bottom w:w="28" w:type="dxa"/>
          <w:right w:w="28" w:type="dxa"/>
        </w:tblCellMar>
      </w:tblPr>
      <w:tblGrid>
        <w:gridCol w:w="751"/>
        <w:gridCol w:w="146"/>
        <w:gridCol w:w="291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hyperlink w:anchor="ocs-ex99_1.htm">
              <w:r>
                <w:rPr>
                  <w:rStyle w:val="InternetLink"/>
                  <w:rFonts w:ascii="Times New Roman" w:hAnsi="Times New Roman"/>
                  <w:color w:val="0000FF"/>
                  <w:sz w:val="20"/>
                  <w:u w:val="single"/>
                </w:rPr>
                <w:t>Press Release dated May 14,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hyperlink w:anchor="ocs-ex99_2.htm">
              <w:r>
                <w:rPr>
                  <w:rStyle w:val="InternetLink"/>
                  <w:rFonts w:ascii="Times New Roman" w:hAnsi="Times New Roman"/>
                  <w:color w:val="0000FF"/>
                  <w:sz w:val="20"/>
                  <w:u w:val="single"/>
                </w:rPr>
                <w:t>Articles of Association</w:t>
              </w:r>
            </w:hyperlink>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4631" w:type="dxa"/>
        <w:jc w:val="left"/>
        <w:tblInd w:w="0" w:type="dxa"/>
        <w:tblLayout w:type="fixed"/>
        <w:tblCellMar>
          <w:top w:w="28" w:type="dxa"/>
          <w:left w:w="28" w:type="dxa"/>
          <w:bottom w:w="28" w:type="dxa"/>
          <w:right w:w="28" w:type="dxa"/>
        </w:tblCellMar>
      </w:tblPr>
      <w:tblGrid>
        <w:gridCol w:w="1741"/>
        <w:gridCol w:w="109"/>
        <w:gridCol w:w="146"/>
        <w:gridCol w:w="109"/>
        <w:gridCol w:w="406"/>
        <w:gridCol w:w="109"/>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OCULIS HOLDING AG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Sylvia Cheung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Sylvia Cheung</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ocs-ex99_1.htm"/>
      <w:bookmarkStart w:id="3" w:name="ksocs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28384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962025"/>
                    </a:xfrm>
                    <a:prstGeom prst="rect">
                      <a:avLst/>
                    </a:prstGeom>
                  </pic:spPr>
                </pic:pic>
              </a:graphicData>
            </a:graphic>
          </wp:inline>
        </w:drawing>
      </w:r>
    </w:p>
    <w:p>
      <w:pPr>
        <w:pStyle w:val="TextBody"/>
        <w:bidi w:val="0"/>
        <w:jc w:val="left"/>
        <w:rPr/>
      </w:pPr>
      <w:r>
        <w:rPr/>
        <w:t> </w:t>
      </w:r>
    </w:p>
    <w:p>
      <w:pPr>
        <w:pStyle w:val="TextBody"/>
        <w:bidi w:val="0"/>
        <w:jc w:val="center"/>
        <w:rPr>
          <w:rFonts w:ascii="Aptos;sans-serif" w:hAnsi="Aptos;sans-serif"/>
          <w:b/>
          <w:color w:val="000000"/>
          <w:sz w:val="28"/>
        </w:rPr>
      </w:pPr>
      <w:r>
        <w:rPr>
          <w:rFonts w:ascii="Aptos;sans-serif" w:hAnsi="Aptos;sans-serif"/>
          <w:b/>
          <w:color w:val="000000"/>
          <w:sz w:val="28"/>
        </w:rPr>
        <w:t>Oculis Publishes Results of 2026 Annual General Meeting and Announces Election of Gregory D. Perry to its Board of Directors</w:t>
      </w:r>
    </w:p>
    <w:p>
      <w:pPr>
        <w:pStyle w:val="TextBody"/>
        <w:bidi w:val="0"/>
        <w:jc w:val="center"/>
        <w:rPr/>
      </w:pPr>
      <w:r>
        <w:rPr/>
        <w:t> </w:t>
      </w:r>
    </w:p>
    <w:p>
      <w:pPr>
        <w:pStyle w:val="TextBody"/>
        <w:bidi w:val="0"/>
        <w:spacing w:before="0" w:after="160"/>
        <w:jc w:val="both"/>
        <w:rPr>
          <w:rFonts w:ascii="Times New Roman" w:hAnsi="Times New Roman"/>
          <w:sz w:val="20"/>
        </w:rPr>
      </w:pPr>
      <w:r>
        <w:rPr>
          <w:rFonts w:ascii="Aptos;sans-serif" w:hAnsi="Aptos;sans-serif"/>
          <w:color w:val="000000"/>
          <w:sz w:val="22"/>
        </w:rPr>
        <w:t>ZUG, Switzerland, May 14, 2026 – Oculis Holding AG (Nasdaq: OCS / XICE: OCS) (“Oculis” or the “Company”), today announced the results from its 2026 Annual General Meeting held on May 13, 2026 at Ochsen-Zug, Kolinplatz 11, CH-6300 Zug, Switzerland, at 12:00 p.m. CEST, including the election of Gregory D. Perry to its Board of Directors.</w:t>
      </w:r>
      <w:r>
        <w:rPr>
          <w:rFonts w:ascii="Times New Roman" w:hAnsi="Times New Roman"/>
          <w:color w:val="000000"/>
          <w:sz w:val="20"/>
        </w:rPr>
        <w:t xml:space="preserve"> </w:t>
      </w:r>
    </w:p>
    <w:p>
      <w:pPr>
        <w:pStyle w:val="TextBody"/>
        <w:bidi w:val="0"/>
        <w:spacing w:before="0" w:after="160"/>
        <w:jc w:val="both"/>
        <w:rPr>
          <w:rFonts w:ascii="Aptos;sans-serif" w:hAnsi="Aptos;sans-serif"/>
          <w:b/>
          <w:i/>
          <w:color w:val="000000"/>
          <w:sz w:val="22"/>
        </w:rPr>
      </w:pPr>
      <w:r>
        <w:rPr>
          <w:rFonts w:ascii="Aptos;sans-serif" w:hAnsi="Aptos;sans-serif"/>
          <w:b/>
          <w:i/>
          <w:color w:val="000000"/>
          <w:sz w:val="22"/>
        </w:rPr>
        <w:t>2026 Annual General Meeting Results</w:t>
      </w:r>
    </w:p>
    <w:p>
      <w:pPr>
        <w:pStyle w:val="TextBody"/>
        <w:bidi w:val="0"/>
        <w:spacing w:before="0" w:after="160"/>
        <w:jc w:val="both"/>
        <w:rPr>
          <w:rFonts w:ascii="Times New Roman" w:hAnsi="Times New Roman"/>
          <w:sz w:val="20"/>
        </w:rPr>
      </w:pPr>
      <w:r>
        <w:rPr>
          <w:rFonts w:ascii="Aptos;sans-serif" w:hAnsi="Aptos;sans-serif"/>
          <w:color w:val="000000"/>
          <w:sz w:val="22"/>
        </w:rPr>
        <w:t>The Company’s shareholders approved all agenda items.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The shareholders approved the 2025 Annual Report including the 2025 Annual (Statutory) Financial Statements and the 2025 Consolidated Financial Statements.</w:t>
      </w:r>
      <w:r>
        <w:rPr>
          <w:rFonts w:ascii="Times New Roman" w:hAnsi="Times New Roman"/>
          <w:color w:val="000000"/>
          <w:sz w:val="20"/>
        </w:rPr>
        <w:t xml:space="preserve"> </w:t>
      </w:r>
    </w:p>
    <w:p>
      <w:pPr>
        <w:pStyle w:val="TextBody"/>
        <w:bidi w:val="0"/>
        <w:spacing w:before="0" w:after="160"/>
        <w:jc w:val="both"/>
        <w:rPr>
          <w:rFonts w:ascii="Aptos;sans-serif" w:hAnsi="Aptos;sans-serif"/>
          <w:color w:val="000000"/>
          <w:sz w:val="22"/>
        </w:rPr>
      </w:pPr>
      <w:r>
        <w:rPr>
          <w:rFonts w:ascii="Aptos;sans-serif" w:hAnsi="Aptos;sans-serif"/>
          <w:color w:val="000000"/>
          <w:sz w:val="22"/>
        </w:rPr>
        <w:t>The shareholders acknowledged that on a standalone statutory financial statement basis, the Company incurred a loss of CHF 33,670,000 with respect to the financial year ended December 31, 2025, and resolved that the accumulated balance sheet loss of CHF 80,247,000 shall be carried forward to the new accounts.</w:t>
      </w:r>
    </w:p>
    <w:p>
      <w:pPr>
        <w:pStyle w:val="TextBody"/>
        <w:bidi w:val="0"/>
        <w:spacing w:before="0" w:after="160"/>
        <w:jc w:val="both"/>
        <w:rPr>
          <w:rFonts w:ascii="Times New Roman" w:hAnsi="Times New Roman"/>
          <w:sz w:val="20"/>
        </w:rPr>
      </w:pPr>
      <w:r>
        <w:rPr>
          <w:rFonts w:ascii="Aptos;sans-serif" w:hAnsi="Aptos;sans-serif"/>
          <w:color w:val="000000"/>
          <w:sz w:val="22"/>
        </w:rPr>
        <w:t>The members of the Board of Directors and the Executive Committee were granted discharge for their activities in 2025.</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Anthony Rosenberg was re-elected as member and chairperson of the Board of Directors. Christina Ackermann, Lionel Carnot, Arshad M. Khanani, Martijn Kleijwegt, Geraldine O’Keeffe, Riad Sherif and Robert K. Warner were re-elected as members of the Board of Directors. Gregory D. Perry was elected as a member of the Board of Directors. Lionel Carnot, Geraldine O'Keeffe and Gregory D. Perry were elected as members of the Compensation Committee. PricewaterhouseCoopers SA (Lausanne) was re-elected as Statutory Auditors. Blum &amp; Partner AG (Zug) was elected as Independent Proxy.</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The shareholders approved the compensation for the non-executive members of the Board of Directors: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 xml:space="preserve">Total maximum amount of fixed (non-performance-related) compensation for the non-executive members of the Board of Directors until the end of the Company’s 2027 Annual General Meeting: USD 572,000.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jc w:val="both"/>
        <w:rPr>
          <w:rFonts w:ascii="Aptos;sans-serif" w:hAnsi="Aptos;sans-serif"/>
          <w:color w:val="000000"/>
          <w:sz w:val="22"/>
        </w:rPr>
      </w:pPr>
      <w:r>
        <w:rPr>
          <w:rFonts w:ascii="Aptos;sans-serif" w:hAnsi="Aptos;sans-serif"/>
          <w:color w:val="000000"/>
          <w:sz w:val="22"/>
        </w:rPr>
        <w:t xml:space="preserve">Maximum value of equity or equity-based compensation for eight non-executive members of the Board of Directors until the end of the Company's 2027 Annual General Meeting: USD 2,150,000 (excluding employer social security and pension contributions). </w:t>
      </w:r>
    </w:p>
    <w:p>
      <w:pPr>
        <w:pStyle w:val="TextBody"/>
        <w:bidi w:val="0"/>
        <w:spacing w:before="0" w:after="160"/>
        <w:jc w:val="both"/>
        <w:rPr>
          <w:rFonts w:ascii="Times New Roman" w:hAnsi="Times New Roman"/>
          <w:sz w:val="20"/>
        </w:rPr>
      </w:pPr>
      <w:r>
        <w:rPr>
          <w:rFonts w:ascii="Aptos;sans-serif" w:hAnsi="Aptos;sans-serif"/>
          <w:color w:val="000000"/>
          <w:sz w:val="22"/>
        </w:rPr>
        <w:br/>
        <w:t>The shareholders approved the compensation for members of the Executive Committee: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 xml:space="preserve">Total maximum amount of fixed (non-performance-related) compensation for three members of the Executive Committee for the calendar year 2027 and payable in 2027: USD 2,500,000.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 xml:space="preserve">Total maximum amount of variable compensation for three members of the Executive Committee for the calendar year 2026 and payable in 2027 of USD 1,800,000.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jc w:val="both"/>
        <w:rPr>
          <w:rFonts w:ascii="Aptos;sans-serif" w:hAnsi="Aptos;sans-serif"/>
          <w:color w:val="000000"/>
          <w:sz w:val="22"/>
        </w:rPr>
      </w:pPr>
      <w:r>
        <w:rPr>
          <w:rFonts w:ascii="Aptos;sans-serif" w:hAnsi="Aptos;sans-serif"/>
          <w:color w:val="000000"/>
          <w:sz w:val="22"/>
        </w:rPr>
        <w:t xml:space="preserve">Maximum value of equity-based compensation for three members of the Executive Committee until the end of the calendar year 2027: USD 18,000,000 (excluding employer social security and pension contributions). </w:t>
      </w:r>
    </w:p>
    <w:p>
      <w:pPr>
        <w:pStyle w:val="TextBody"/>
        <w:bidi w:val="0"/>
        <w:spacing w:before="0" w:after="160"/>
        <w:jc w:val="both"/>
        <w:rPr>
          <w:rFonts w:ascii="Times New Roman" w:hAnsi="Times New Roman"/>
          <w:sz w:val="20"/>
        </w:rPr>
      </w:pPr>
      <w:r>
        <w:rPr>
          <w:rFonts w:ascii="Aptos;sans-serif" w:hAnsi="Aptos;sans-serif"/>
          <w:color w:val="000000"/>
          <w:sz w:val="22"/>
        </w:rPr>
        <w:br/>
        <w:t>The shareholders approved, in a non-binding advisory vote, the 2025 Compensation Report of the Company.</w:t>
      </w:r>
      <w:r>
        <w:rPr>
          <w:rFonts w:ascii="Times New Roman" w:hAnsi="Times New Roman"/>
          <w:color w:val="000000"/>
          <w:sz w:val="20"/>
        </w:rPr>
        <w:t xml:space="preserve"> </w:t>
      </w:r>
    </w:p>
    <w:p>
      <w:pPr>
        <w:pStyle w:val="TextBody"/>
        <w:bidi w:val="0"/>
        <w:spacing w:before="0" w:after="160"/>
        <w:jc w:val="both"/>
        <w:rPr>
          <w:rFonts w:ascii="Aptos;sans-serif" w:hAnsi="Aptos;sans-serif"/>
          <w:color w:val="000000"/>
          <w:sz w:val="22"/>
        </w:rPr>
      </w:pPr>
      <w:r>
        <w:rPr>
          <w:rFonts w:ascii="Aptos;sans-serif" w:hAnsi="Aptos;sans-serif"/>
          <w:color w:val="000000"/>
          <w:sz w:val="22"/>
        </w:rPr>
        <w:t>The shareholders approved a capital band of 31,020,888 registered shares resulting in a capital band between CHF 620,417.76 and CHF 930,626.64, and the related amendment of paragraphs 1 through 3 of article 3a of the articles of association in the form that will be published on the website of the Company at https://investors.oculis.com/corporate-governance following their registration with the Zug Commercial Register.</w:t>
      </w:r>
    </w:p>
    <w:p>
      <w:pPr>
        <w:pStyle w:val="TextBody"/>
        <w:bidi w:val="0"/>
        <w:spacing w:before="0" w:after="160"/>
        <w:jc w:val="both"/>
        <w:rPr>
          <w:rFonts w:ascii="Times New Roman" w:hAnsi="Times New Roman"/>
          <w:sz w:val="20"/>
        </w:rPr>
      </w:pPr>
      <w:r>
        <w:rPr>
          <w:rFonts w:ascii="Aptos;sans-serif" w:hAnsi="Aptos;sans-serif"/>
          <w:color w:val="000000"/>
          <w:sz w:val="22"/>
        </w:rPr>
        <w:t>The shareholders approved a conditional share capital for employees and individuals of comparable positions in the maximum amount of CHF 126,777.00 by the issuance of 12,677,700 registered shares and the related amendment of article 3c, paragraph 1 of the articles of association in the form that will be published on the website of the Company at https://investors.oculis.com/corporate-governance following their registration with the Zug Commercial Register.</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2"/>
        </w:rPr>
        <w:t>Detailed voting results will be available on the website of the Company at https://investors.oculis.com/events-presentations.</w:t>
      </w:r>
      <w:r>
        <w:rPr>
          <w:rFonts w:ascii="Times New Roman" w:hAnsi="Times New Roman"/>
          <w:color w:val="000000"/>
          <w:sz w:val="20"/>
        </w:rPr>
        <w:t xml:space="preserve"> </w:t>
      </w:r>
    </w:p>
    <w:p>
      <w:pPr>
        <w:pStyle w:val="TextBody"/>
        <w:bidi w:val="0"/>
        <w:spacing w:before="0" w:after="160"/>
        <w:jc w:val="both"/>
        <w:rPr>
          <w:rFonts w:ascii="Aptos;sans-serif" w:hAnsi="Aptos;sans-serif"/>
          <w:b/>
          <w:i/>
          <w:color w:val="000000"/>
          <w:sz w:val="22"/>
        </w:rPr>
      </w:pPr>
      <w:r>
        <w:rPr>
          <w:rFonts w:ascii="Aptos;sans-serif" w:hAnsi="Aptos;sans-serif"/>
          <w:b/>
          <w:i/>
          <w:color w:val="000000"/>
          <w:sz w:val="22"/>
        </w:rPr>
        <w:t>New Director Gregory D. Perry</w:t>
      </w:r>
    </w:p>
    <w:p>
      <w:pPr>
        <w:pStyle w:val="TextBody"/>
        <w:bidi w:val="0"/>
        <w:spacing w:before="0" w:after="160"/>
        <w:jc w:val="both"/>
        <w:rPr>
          <w:rFonts w:ascii="Aptos;sans-serif" w:hAnsi="Aptos;sans-serif"/>
          <w:color w:val="000000"/>
          <w:sz w:val="22"/>
        </w:rPr>
      </w:pPr>
      <w:r>
        <w:rPr>
          <w:rFonts w:ascii="Aptos;sans-serif" w:hAnsi="Aptos;sans-serif"/>
          <w:color w:val="000000"/>
          <w:sz w:val="22"/>
        </w:rPr>
        <w:t>Gregory D. Perry served as Chief Financial Officer of Merus N.V. from June 2023 until January 2026, following its acquisition by Genmab in December 2025. Mr. Perry also served as audit committee chair at Merus from May 2016 to June 2023. From May 2018 until his retirement in April 2022, Mr. Perry served as the Chief Financial Officer at Finch Therapeutics Group. Mr. Perry served as the Chief Financial and Administrative Officer of Novelion Therapeutics Inc. from November 2016 to December 2017. Prior to Novelion, Mr. Perry was Chief Financial Officer of Aegerion Pharmaceuticals Inc. from July 2015 until its merger with Novelion in November 2016. He has also served as CFO of several additional biotechnology companies, and earlier in his career he held various financial leadership roles within ImmunoGen, Domantis Ltd., Transkaryotic Therapeutics, Honeywell and General Electric. Mr. Perry received a B.A. in Economics and Political Science from Amherst College.</w:t>
      </w:r>
    </w:p>
    <w:p>
      <w:pPr>
        <w:pStyle w:val="TextBody"/>
        <w:bidi w:val="0"/>
        <w:spacing w:before="0" w:after="160"/>
        <w:jc w:val="both"/>
        <w:rPr>
          <w:rFonts w:ascii="Times New Roman" w:hAnsi="Times New Roman"/>
          <w:sz w:val="20"/>
        </w:rPr>
      </w:pPr>
      <w:r>
        <w:rPr>
          <w:rFonts w:ascii="Aptos;sans-serif" w:hAnsi="Aptos;sans-serif"/>
          <w:color w:val="000000"/>
          <w:sz w:val="22"/>
        </w:rPr>
        <w:t>Anthony Rosenberg, Chairman of Oculis’ Board of Directors, commented: “On behalf of the Board, I am pleased to welcome Gregory Perry to Oculis. Greg is a seasoned financial leader and strategic architect with more than two decades of experience across the transatlantic biotech sector. His ‘dual-market’ fluency and proven ability to guide European-based companies through the rigorous expectations of the U.S. capital markets, particularly Nasdaq, set him apart. He brings a unique combination of governance maturity, financial expertise, and a strong track</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160"/>
        <w:jc w:val="both"/>
        <w:rPr>
          <w:rFonts w:ascii="Aptos;sans-serif" w:hAnsi="Aptos;sans-serif"/>
          <w:color w:val="000000"/>
          <w:sz w:val="22"/>
        </w:rPr>
      </w:pPr>
      <w:r>
        <w:rPr>
          <w:rFonts w:ascii="Aptos;sans-serif" w:hAnsi="Aptos;sans-serif"/>
          <w:color w:val="000000"/>
          <w:sz w:val="22"/>
        </w:rPr>
        <w:t>record of scaling innovative companies within complex capital markets regulatory frameworks. Greg’s international perspective and strategic foresight will be invaluable as we continue to execute our strategy, drive long-term shareholder value, and advance transformative treatment candidates for patients with ophthalmic and neuro-ophthalmic diseases.”</w:t>
      </w:r>
    </w:p>
    <w:p>
      <w:pPr>
        <w:pStyle w:val="TextBody"/>
        <w:bidi w:val="0"/>
        <w:spacing w:before="0" w:after="160"/>
        <w:jc w:val="both"/>
        <w:rPr>
          <w:rFonts w:ascii="Aptos;sans-serif" w:hAnsi="Aptos;sans-serif"/>
          <w:b/>
          <w:i/>
          <w:color w:val="000000"/>
          <w:sz w:val="22"/>
        </w:rPr>
      </w:pPr>
      <w:r>
        <w:rPr>
          <w:rFonts w:ascii="Aptos;sans-serif" w:hAnsi="Aptos;sans-serif"/>
          <w:b/>
          <w:i/>
          <w:color w:val="000000"/>
          <w:sz w:val="22"/>
        </w:rPr>
        <w:t>Articles of Association; Treasury Shares</w:t>
      </w:r>
    </w:p>
    <w:p>
      <w:pPr>
        <w:pStyle w:val="TextBody"/>
        <w:bidi w:val="0"/>
        <w:spacing w:before="0" w:after="160"/>
        <w:jc w:val="both"/>
        <w:rPr>
          <w:rFonts w:ascii="Aptos;sans-serif" w:hAnsi="Aptos;sans-serif"/>
          <w:color w:val="000000"/>
          <w:sz w:val="22"/>
        </w:rPr>
      </w:pPr>
      <w:r>
        <w:rPr>
          <w:rFonts w:ascii="Aptos;sans-serif" w:hAnsi="Aptos;sans-serif"/>
          <w:color w:val="000000"/>
          <w:sz w:val="22"/>
        </w:rPr>
        <w:t>Following the filing of the Company's updated Articles of Association on May 13, 2026, the total number of registered shares as set forth therein increased to 62,041,776. This number of shares includes the issuance of 2,872,301 registered shares, reflecting settlement of 795,013 shares issued in connection with the exercise or vesting of equity awards under the Company's Stock Option and Incentive Plan Regulation 2023 and 2,077,288 shares issued through EBAC warrant exercises pursuant to the Company's Articles of Association during the period from January 1, 2025 to March 31, 2026. This increase will be registered with the Zug Commercial Register following the processing of the filing containing the Company's updated Articles of Association dated May 13, 2026.</w:t>
      </w:r>
    </w:p>
    <w:p>
      <w:pPr>
        <w:pStyle w:val="TextBody"/>
        <w:bidi w:val="0"/>
        <w:spacing w:before="0" w:after="160"/>
        <w:jc w:val="both"/>
        <w:rPr>
          <w:rFonts w:ascii="Aptos;sans-serif" w:hAnsi="Aptos;sans-serif"/>
          <w:color w:val="000000"/>
          <w:sz w:val="22"/>
        </w:rPr>
      </w:pPr>
      <w:r>
        <w:rPr>
          <w:rFonts w:ascii="Aptos;sans-serif" w:hAnsi="Aptos;sans-serif"/>
          <w:color w:val="000000"/>
          <w:sz w:val="22"/>
        </w:rPr>
        <w:t>On May 13, 2026, the Company's Board of Directors approved the issuance of 5,750,400 registered ordinary shares out of the capital band approved by the shareholders, to be recorded as treasury shares (the "New Shares") to enable future sales, if any, under the existing sales agreement with Leerink Partners LLC relating to the Company's at-the-market ("ATM") offering program or for other offerings under the Company's existing registration statement on Form F-3. Upon implementation of the above decision, the total number of registered shares as set forth in the Company's Articles of Association will be brought up to 67,792,176. The New Shares, once issued, will not be immediately sold under the ATM offering program or otherwise, and will be held in reserve as treasury shares at which point the Company will own 9.15% of its registered shares.</w:t>
      </w:r>
    </w:p>
    <w:p>
      <w:pPr>
        <w:pStyle w:val="TextBody"/>
        <w:bidi w:val="0"/>
        <w:spacing w:before="0" w:after="160"/>
        <w:jc w:val="both"/>
        <w:rPr>
          <w:rFonts w:ascii="Aptos;sans-serif" w:hAnsi="Aptos;sans-serif"/>
          <w:b/>
          <w:color w:val="000000"/>
          <w:sz w:val="22"/>
        </w:rPr>
      </w:pPr>
      <w:r>
        <w:rPr>
          <w:rFonts w:ascii="Aptos;sans-serif" w:hAnsi="Aptos;sans-serif"/>
          <w:b/>
          <w:color w:val="000000"/>
          <w:sz w:val="22"/>
        </w:rPr>
        <w:t>About Oculis</w:t>
      </w:r>
    </w:p>
    <w:p>
      <w:pPr>
        <w:pStyle w:val="TextBody"/>
        <w:bidi w:val="0"/>
        <w:spacing w:before="0" w:after="160"/>
        <w:jc w:val="both"/>
        <w:rPr>
          <w:rFonts w:ascii="Aptos;sans-serif" w:hAnsi="Aptos;sans-serif"/>
          <w:color w:val="000000"/>
          <w:sz w:val="22"/>
        </w:rPr>
      </w:pPr>
      <w:r>
        <w:rPr>
          <w:rFonts w:ascii="Aptos;sans-serif" w:hAnsi="Aptos;sans-serif"/>
          <w:color w:val="000000"/>
          <w:sz w:val="22"/>
        </w:rPr>
        <w:t>Oculis is a global biopharmaceutical company (Nasdaq: OCS; XICE: OCS) focused on breakthrough innovations to address significant unmet medical needs in neuro-ophthalmology and ophthalmology. Oculis’ highly differentiated late-stage clinical pipeline includes three core product candidates: OCS-01, an eye drop in pivotal registration studies, aiming to become the first non-invasive topical treatment for diabetic macular edema (DME); Licaminlimab, a novel, topical anti-TNFα in registrational trial, which is being developed with a genotype-based approach to drive precision medicine in dry eye disease (DED), and Privosegtor, a breakthrough neuroprotective candidate in the PIONEER program which consists of studies intended to support registration plans for treatment in optic neuropathies like optic neuritis (ON) and non-arteritic anterior ischemic optic neuropathy (NAION), with potentially broad clinical applications in various other neuro-ophthalmic and neurological diseases. Headquartered in Switzerland with operations in the U.S., Iceland and Switzerland, Oculis is led by an experienced management team with a successful track record and supported by leading international healthcare investors.</w:t>
      </w:r>
    </w:p>
    <w:p>
      <w:pPr>
        <w:pStyle w:val="TextBody"/>
        <w:bidi w:val="0"/>
        <w:spacing w:before="0" w:after="160"/>
        <w:jc w:val="both"/>
        <w:rPr>
          <w:rFonts w:ascii="Times New Roman" w:hAnsi="Times New Roman"/>
          <w:sz w:val="20"/>
        </w:rPr>
      </w:pPr>
      <w:r>
        <w:rPr>
          <w:rFonts w:ascii="Aptos;sans-serif" w:hAnsi="Aptos;sans-serif"/>
          <w:color w:val="000000"/>
          <w:sz w:val="22"/>
        </w:rPr>
        <w:t>For more information, please visit: www.oculis.com</w:t>
      </w:r>
      <w:r>
        <w:rPr>
          <w:rFonts w:ascii="Times New Roman" w:hAnsi="Times New Roman"/>
          <w:color w:val="000000"/>
          <w:sz w:val="20"/>
        </w:rPr>
        <w:t xml:space="preserve"> </w:t>
      </w:r>
    </w:p>
    <w:p>
      <w:pPr>
        <w:pStyle w:val="TextBody"/>
        <w:bidi w:val="0"/>
        <w:spacing w:before="0" w:after="160"/>
        <w:jc w:val="both"/>
        <w:rPr>
          <w:rFonts w:ascii="Aptos;sans-serif" w:hAnsi="Aptos;sans-serif"/>
          <w:b/>
          <w:color w:val="000000"/>
          <w:sz w:val="22"/>
        </w:rPr>
      </w:pPr>
      <w:r>
        <w:rPr>
          <w:rFonts w:ascii="Aptos;sans-serif" w:hAnsi="Aptos;sans-serif"/>
          <w:b/>
          <w:color w:val="000000"/>
          <w:sz w:val="22"/>
        </w:rPr>
        <w:t>Oculis Contacts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160"/>
        <w:jc w:val="left"/>
        <w:rPr>
          <w:rFonts w:ascii="Times New Roman" w:hAnsi="Times New Roman"/>
          <w:sz w:val="20"/>
        </w:rPr>
      </w:pPr>
      <w:r>
        <w:rPr>
          <w:rFonts w:ascii="Aptos;sans-serif" w:hAnsi="Aptos;sans-serif"/>
          <w:color w:val="000000"/>
          <w:sz w:val="22"/>
        </w:rPr>
        <w:t>Ms. Sylvia Cheung, CFO</w:t>
        <w:br/>
      </w:r>
      <w:r>
        <w:rPr>
          <w:rFonts w:ascii="Aptos;sans-serif" w:hAnsi="Aptos;sans-serif"/>
          <w:color w:val="467886"/>
          <w:sz w:val="22"/>
        </w:rPr>
        <w:t>sylvia.cheung@oculis.com</w:t>
      </w:r>
    </w:p>
    <w:p>
      <w:pPr>
        <w:pStyle w:val="TextBody"/>
        <w:bidi w:val="0"/>
        <w:spacing w:before="0" w:after="160"/>
        <w:jc w:val="left"/>
        <w:rPr>
          <w:rFonts w:ascii="Times New Roman" w:hAnsi="Times New Roman"/>
          <w:sz w:val="20"/>
        </w:rPr>
      </w:pPr>
      <w:r>
        <w:rPr>
          <w:rFonts w:ascii="Aptos;sans-serif" w:hAnsi="Aptos;sans-serif"/>
          <w:b/>
          <w:color w:val="000000"/>
          <w:sz w:val="22"/>
        </w:rPr>
        <w:t>Investor Relations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xml:space="preserve">LifeSci Advisors </w:t>
        <w:br/>
        <w:t xml:space="preserve">Corey Davis, Ph.D. </w:t>
        <w:br/>
      </w:r>
      <w:r>
        <w:rPr>
          <w:rFonts w:ascii="Aptos;sans-serif" w:hAnsi="Aptos;sans-serif"/>
          <w:color w:val="467886"/>
          <w:sz w:val="22"/>
        </w:rPr>
        <w:t>cdavis@lifesciadvisors.com</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Media Relations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xml:space="preserve">ICR Healthcare </w:t>
        <w:br/>
        <w:t xml:space="preserve">Amber Fennell / David Daley / Sean Leous </w:t>
        <w:br/>
      </w:r>
      <w:r>
        <w:rPr>
          <w:rFonts w:ascii="Aptos;sans-serif" w:hAnsi="Aptos;sans-serif"/>
          <w:color w:val="467886"/>
          <w:sz w:val="22"/>
        </w:rPr>
        <w:t>oculis@icrhealthcare.com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bookmarkStart w:id="4" w:name="ocs-ex99_2.htm"/>
      <w:bookmarkStart w:id="5" w:name="ksocsex99_2"/>
      <w:bookmarkEnd w:id="4"/>
      <w:bookmarkEnd w:id="5"/>
      <w:r>
        <w:rPr/>
        <w:t> </w:t>
      </w:r>
      <w:r>
        <w:br w:type="page"/>
      </w:r>
    </w:p>
    <w:p>
      <w:pPr>
        <w:pStyle w:val="TextBody"/>
        <w:bidi w:val="0"/>
        <w:jc w:val="right"/>
        <w:rPr>
          <w:rFonts w:ascii="Times New Roman" w:hAnsi="Times New Roman"/>
          <w:sz w:val="20"/>
        </w:rPr>
      </w:pPr>
      <w:r>
        <w:rPr>
          <w:rFonts w:ascii="Verdana;sans-serif" w:hAnsi="Verdana;sans-serif"/>
          <w:b/>
          <w:color w:val="000000"/>
          <w:sz w:val="24"/>
        </w:rPr>
        <w:br/>
      </w:r>
      <w:r>
        <w:rPr>
          <w:rFonts w:ascii="Times New Roman" w:hAnsi="Times New Roman"/>
          <w:color w:val="000000"/>
          <w:sz w:val="20"/>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22"/>
        <w:gridCol w:w="1606"/>
        <w:gridCol w:w="4477"/>
      </w:tblGrid>
      <w:tr>
        <w:trPr/>
        <w:tc>
          <w:tcPr>
            <w:tcW w:w="412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477" w:type="dxa"/>
            <w:tcBorders/>
            <w:vAlign w:val="center"/>
          </w:tcPr>
          <w:p>
            <w:pPr>
              <w:pStyle w:val="TableContents"/>
              <w:bidi w:val="0"/>
              <w:spacing w:before="0" w:after="283"/>
              <w:jc w:val="left"/>
              <w:rPr>
                <w:sz w:val="4"/>
                <w:szCs w:val="4"/>
              </w:rPr>
            </w:pPr>
            <w:r>
              <w:rPr>
                <w:sz w:val="4"/>
                <w:szCs w:val="4"/>
              </w:rPr>
            </w:r>
          </w:p>
        </w:tc>
      </w:tr>
      <w:tr>
        <w:trPr/>
        <w:tc>
          <w:tcPr>
            <w:tcW w:w="4122" w:type="dxa"/>
            <w:tcBorders/>
            <w:tcMar>
              <w:top w:w="0" w:type="dxa"/>
              <w:left w:w="0" w:type="dxa"/>
              <w:bottom w:w="0" w:type="dxa"/>
              <w:right w:w="0" w:type="dxa"/>
            </w:tcMar>
            <w:vAlign w:val="center"/>
          </w:tcPr>
          <w:p>
            <w:pPr>
              <w:pStyle w:val="Heading1"/>
              <w:bidi w:val="0"/>
              <w:spacing w:before="120" w:after="120"/>
              <w:jc w:val="left"/>
              <w:rPr>
                <w:rFonts w:ascii="Times New Roman" w:hAnsi="Times New Roman"/>
                <w:sz w:val="20"/>
              </w:rPr>
            </w:pPr>
            <w:r>
              <w:rPr>
                <w:rFonts w:ascii="Calibri Light;sans-serif" w:hAnsi="Calibri Light;sans-serif"/>
                <w:caps/>
                <w:color w:val="000000"/>
                <w:sz w:val="20"/>
              </w:rPr>
              <w:t>Articles of association</w:t>
              <w:br/>
            </w:r>
            <w:r>
              <w:rPr>
                <w:rFonts w:ascii="Calibri Light;sans-serif" w:hAnsi="Calibri Light;sans-serif"/>
                <w:color w:val="000000"/>
                <w:sz w:val="20"/>
              </w:rPr>
              <w:t>of</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 xml:space="preserve">Oculis Holding AG </w:t>
              <w:br/>
              <w:t>(Oculis Holding SA)</w:t>
              <w:br/>
              <w:t>(Oculis Holding Ltd)</w:t>
            </w:r>
          </w:p>
          <w:p>
            <w:pPr>
              <w:pStyle w:val="TableContents"/>
              <w:bidi w:val="0"/>
              <w:spacing w:before="0" w:after="120"/>
              <w:jc w:val="center"/>
              <w:rPr/>
            </w:pPr>
            <w:r>
              <w:rPr/>
              <w:t> </w:t>
            </w:r>
          </w:p>
          <w:p>
            <w:pPr>
              <w:pStyle w:val="TableContents"/>
              <w:bidi w:val="0"/>
              <w:spacing w:before="0" w:after="120"/>
              <w:jc w:val="center"/>
              <w:rPr>
                <w:rFonts w:ascii="Times New Roman" w:hAnsi="Times New Roman"/>
                <w:sz w:val="20"/>
              </w:rPr>
            </w:pPr>
            <w:r>
              <w:rPr>
                <w:rFonts w:ascii="Calibri Light;sans-serif" w:hAnsi="Calibri Light;sans-serif"/>
                <w:b/>
                <w:color w:val="000000"/>
                <w:sz w:val="20"/>
              </w:rPr>
              <w:t>with registered office in</w:t>
            </w:r>
            <w:r>
              <w:rPr>
                <w:rFonts w:ascii="Times New Roman" w:hAnsi="Times New Roman"/>
                <w:color w:val="000000"/>
                <w:sz w:val="20"/>
              </w:rPr>
              <w:t xml:space="preserve"> </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Zug</w:t>
            </w:r>
          </w:p>
          <w:p>
            <w:pPr>
              <w:pStyle w:val="TableContents"/>
              <w:bidi w:val="0"/>
              <w:spacing w:before="0" w:after="120"/>
              <w:jc w:val="center"/>
              <w:rPr>
                <w:rFonts w:ascii="Calibri Light;sans-serif" w:hAnsi="Calibri Light;sans-serif"/>
                <w:color w:val="000000"/>
                <w:sz w:val="20"/>
              </w:rPr>
            </w:pPr>
            <w:r>
              <w:rPr>
                <w:rFonts w:ascii="Calibri Light;sans-serif" w:hAnsi="Calibri Light;sans-serif"/>
                <w:color w:val="000000"/>
                <w:sz w:val="20"/>
              </w:rPr>
              <w:t>(Translation; in case of controversy the German text shall prevail)</w:t>
            </w:r>
          </w:p>
          <w:p>
            <w:pPr>
              <w:pStyle w:val="TableContents"/>
              <w:bidi w:val="0"/>
              <w:spacing w:before="0" w:after="120"/>
              <w:jc w:val="center"/>
              <w:rPr/>
            </w:pPr>
            <w:r>
              <w:rPr/>
              <w:t> </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477" w:type="dxa"/>
            <w:tcBorders/>
            <w:tcMar>
              <w:top w:w="0" w:type="dxa"/>
              <w:left w:w="0" w:type="dxa"/>
              <w:bottom w:w="0" w:type="dxa"/>
              <w:right w:w="0" w:type="dxa"/>
            </w:tcMar>
            <w:vAlign w:val="center"/>
          </w:tcPr>
          <w:p>
            <w:pPr>
              <w:pStyle w:val="Heading1"/>
              <w:bidi w:val="0"/>
              <w:spacing w:before="120" w:after="120"/>
              <w:jc w:val="left"/>
              <w:rPr>
                <w:rFonts w:ascii="Times New Roman" w:hAnsi="Times New Roman"/>
                <w:sz w:val="20"/>
              </w:rPr>
            </w:pPr>
            <w:r>
              <w:rPr>
                <w:rFonts w:ascii="Calibri Light;sans-serif" w:hAnsi="Calibri Light;sans-serif"/>
                <w:caps/>
                <w:color w:val="000000"/>
                <w:sz w:val="20"/>
              </w:rPr>
              <w:t>STATUTEN</w:t>
              <w:br/>
            </w:r>
            <w:r>
              <w:rPr>
                <w:rFonts w:ascii="Calibri Light;sans-serif" w:hAnsi="Calibri Light;sans-serif"/>
                <w:color w:val="000000"/>
                <w:sz w:val="20"/>
              </w:rPr>
              <w:t>der</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 xml:space="preserve">Oculis Holding AG </w:t>
              <w:br/>
              <w:t>(Oculis Holding SA)</w:t>
              <w:br/>
              <w:t>(Oculis Holding Ltd)</w:t>
            </w:r>
          </w:p>
          <w:p>
            <w:pPr>
              <w:pStyle w:val="TableContents"/>
              <w:bidi w:val="0"/>
              <w:spacing w:before="0" w:after="120"/>
              <w:jc w:val="center"/>
              <w:rPr/>
            </w:pPr>
            <w:r>
              <w:rPr/>
              <w:t> </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mit Sitz in</w:t>
            </w:r>
          </w:p>
          <w:p>
            <w:pPr>
              <w:pStyle w:val="TableContents"/>
              <w:bidi w:val="0"/>
              <w:spacing w:before="0" w:after="120"/>
              <w:ind w:left="0" w:right="0" w:firstLine="790"/>
              <w:jc w:val="center"/>
              <w:rPr>
                <w:rFonts w:ascii="Calibri Light;sans-serif" w:hAnsi="Calibri Light;sans-serif"/>
                <w:b/>
                <w:color w:val="000000"/>
                <w:sz w:val="20"/>
              </w:rPr>
            </w:pPr>
            <w:r>
              <w:rPr>
                <w:rFonts w:ascii="Calibri Light;sans-serif" w:hAnsi="Calibri Light;sans-serif"/>
                <w:b/>
                <w:color w:val="000000"/>
                <w:sz w:val="20"/>
              </w:rPr>
              <w:t>Zug</w:t>
            </w:r>
          </w:p>
        </w:tc>
      </w:tr>
      <w:tr>
        <w:trPr/>
        <w:tc>
          <w:tcPr>
            <w:tcW w:w="4122"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I. Corporate Name, Registered Office, Duration and Purpose of the Company</w:t>
            </w:r>
          </w:p>
        </w:tc>
        <w:tc>
          <w:tcPr>
            <w:tcW w:w="1606"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477"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I. Firma, Sitz, Dauer und Zweck der Gesellschaft</w:t>
            </w:r>
          </w:p>
        </w:tc>
      </w:tr>
      <w:tr>
        <w:trPr/>
        <w:tc>
          <w:tcPr>
            <w:tcW w:w="4122"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Times New Roman" w:hAnsi="Times New Roman"/>
                <w:sz w:val="20"/>
              </w:rPr>
            </w:pPr>
            <w:r>
              <w:rPr>
                <w:rFonts w:ascii="Calibri Light;sans-serif" w:hAnsi="Calibri Light;sans-serif"/>
                <w:b/>
                <w:color w:val="000000"/>
                <w:sz w:val="20"/>
              </w:rPr>
              <w:t>Article 1 Corporate Name, Registered Office and Duration</w:t>
            </w:r>
            <w:r>
              <w:rPr>
                <w:rFonts w:ascii="Times New Roman" w:hAnsi="Times New Roman"/>
                <w:color w:val="000000"/>
                <w:sz w:val="20"/>
              </w:rPr>
              <w:t xml:space="preserve"> </w:t>
            </w:r>
          </w:p>
          <w:p>
            <w:pPr>
              <w:pStyle w:val="TableContents"/>
              <w:bidi w:val="0"/>
              <w:spacing w:before="0" w:after="120"/>
              <w:ind w:left="0" w:right="0" w:firstLine="1357"/>
              <w:jc w:val="left"/>
              <w:rPr>
                <w:rFonts w:ascii="Times New Roman" w:hAnsi="Times New Roman"/>
                <w:sz w:val="20"/>
              </w:rPr>
            </w:pPr>
            <w:r>
              <w:rPr>
                <w:rFonts w:ascii="Calibri Light;sans-serif" w:hAnsi="Calibri Light;sans-serif"/>
                <w:color w:val="000000"/>
                <w:sz w:val="20"/>
              </w:rPr>
              <w:t>Under the name</w:t>
            </w:r>
            <w:r>
              <w:rPr>
                <w:rFonts w:ascii="Times New Roman" w:hAnsi="Times New Roman"/>
                <w:color w:val="000000"/>
                <w:sz w:val="20"/>
              </w:rPr>
              <w:t xml:space="preserve"> </w:t>
            </w:r>
          </w:p>
          <w:p>
            <w:pPr>
              <w:pStyle w:val="TableContents"/>
              <w:bidi w:val="0"/>
              <w:spacing w:before="0" w:after="120"/>
              <w:ind w:left="0" w:right="0" w:firstLine="1357"/>
              <w:jc w:val="center"/>
              <w:rPr>
                <w:rFonts w:ascii="Calibri Light;sans-serif" w:hAnsi="Calibri Light;sans-serif"/>
                <w:color w:val="000000"/>
                <w:sz w:val="20"/>
              </w:rPr>
            </w:pPr>
            <w:r>
              <w:rPr>
                <w:rFonts w:ascii="Calibri Light;sans-serif" w:hAnsi="Calibri Light;sans-serif"/>
                <w:color w:val="000000"/>
                <w:sz w:val="20"/>
              </w:rPr>
              <w:t xml:space="preserve">Oculis Holding AG </w:t>
              <w:br/>
              <w:t>(Oculis Holding SA)</w:t>
              <w:br/>
              <w:t>(Oculis Holding Ltd)</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 company limited by shares which is subject to the provisions of articles 620 et seq. of the Swiss Code of Obligations (CO) exists with registered office in Zug (Switzerland) (the "Company"). The duration of the Company is unlimited.</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477"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Times New Roman" w:hAnsi="Times New Roman"/>
                <w:sz w:val="20"/>
              </w:rPr>
            </w:pPr>
            <w:r>
              <w:rPr>
                <w:rFonts w:ascii="Calibri Light;sans-serif" w:hAnsi="Calibri Light;sans-serif"/>
                <w:b/>
                <w:color w:val="000000"/>
                <w:sz w:val="20"/>
              </w:rPr>
              <w:t>Artikel 1 Firma, Sitz und Dauer</w:t>
              <w:br/>
            </w:r>
            <w:r>
              <w:rPr>
                <w:rFonts w:ascii="Times New Roman" w:hAnsi="Times New Roman"/>
                <w:color w:val="000000"/>
                <w:sz w:val="20"/>
              </w:rPr>
              <w:t> </w:t>
            </w:r>
          </w:p>
          <w:p>
            <w:pPr>
              <w:pStyle w:val="TableContents"/>
              <w:bidi w:val="0"/>
              <w:spacing w:before="0" w:after="120"/>
              <w:ind w:left="0" w:right="0" w:firstLine="1355"/>
              <w:jc w:val="left"/>
              <w:rPr>
                <w:rFonts w:ascii="Times New Roman" w:hAnsi="Times New Roman"/>
                <w:sz w:val="20"/>
              </w:rPr>
            </w:pPr>
            <w:r>
              <w:rPr>
                <w:rFonts w:ascii="Calibri Light;sans-serif" w:hAnsi="Calibri Light;sans-serif"/>
                <w:color w:val="000000"/>
                <w:sz w:val="20"/>
              </w:rPr>
              <w:t>Unter der Firma</w:t>
            </w:r>
            <w:r>
              <w:rPr>
                <w:rFonts w:ascii="Times New Roman" w:hAnsi="Times New Roman"/>
                <w:color w:val="000000"/>
                <w:sz w:val="20"/>
              </w:rPr>
              <w:t xml:space="preserve"> </w:t>
            </w:r>
          </w:p>
          <w:p>
            <w:pPr>
              <w:pStyle w:val="TableContents"/>
              <w:bidi w:val="0"/>
              <w:spacing w:before="0" w:after="120"/>
              <w:ind w:left="0" w:right="0" w:firstLine="1355"/>
              <w:jc w:val="center"/>
              <w:rPr>
                <w:rFonts w:ascii="Calibri Light;sans-serif" w:hAnsi="Calibri Light;sans-serif"/>
                <w:color w:val="000000"/>
                <w:sz w:val="20"/>
              </w:rPr>
            </w:pPr>
            <w:r>
              <w:rPr>
                <w:rFonts w:ascii="Calibri Light;sans-serif" w:hAnsi="Calibri Light;sans-serif"/>
                <w:color w:val="000000"/>
                <w:sz w:val="20"/>
              </w:rPr>
              <w:t xml:space="preserve">Oculis Holding AG </w:t>
              <w:br/>
              <w:t>(Oculis Holding SA)</w:t>
              <w:br/>
              <w:t>(Oculis Holding Ltd)</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besteht eine Aktiengesellschaft gemäss Artikeln 620 ff. OR mit Sitz in Zug (Schweiz) (die "Gesellschaft"). Die Dauer der Gesellschaft ist unbeschränkt.</w:t>
            </w:r>
          </w:p>
        </w:tc>
      </w:tr>
      <w:tr>
        <w:trPr/>
        <w:tc>
          <w:tcPr>
            <w:tcW w:w="4122"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2 Purpose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purpose of the Company is to acquire, hold, manage and sell interests in companies of all kinds in Switzerland and abroad, in particular in the areas of research and development in the field of pharmaceutical products, including biological and biotechnological products, as well as the production and commercialisation of such products.</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477"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2 Zweck</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Gesellschaft bezweckt den Erwerb, das Halten, die Verwaltung und die Veräusserung von Beteiligungen an Gesellschaften aller Art in der Schweiz und im Ausland, insbesondere in den Bereichen Forschung und Entwicklung auf dem Gebiet von pharmazeutischen Produkten, einschliesslich biologischen und biotechnologischen Produkten, sowie die Herstellung und Kommerzialisierung derartiger Produkte.</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w:t>
      </w:r>
    </w:p>
    <w:tbl>
      <w:tblPr>
        <w:tblW w:w="10205" w:type="dxa"/>
        <w:jc w:val="left"/>
        <w:tblInd w:w="0" w:type="dxa"/>
        <w:tblLayout w:type="fixed"/>
        <w:tblCellMar>
          <w:top w:w="28" w:type="dxa"/>
          <w:left w:w="28" w:type="dxa"/>
          <w:bottom w:w="28" w:type="dxa"/>
          <w:right w:w="28" w:type="dxa"/>
        </w:tblCellMar>
      </w:tblPr>
      <w:tblGrid>
        <w:gridCol w:w="3831"/>
        <w:gridCol w:w="1606"/>
        <w:gridCol w:w="4768"/>
      </w:tblGrid>
      <w:tr>
        <w:trPr/>
        <w:tc>
          <w:tcPr>
            <w:tcW w:w="383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768" w:type="dxa"/>
            <w:tcBorders/>
            <w:vAlign w:val="center"/>
          </w:tcPr>
          <w:p>
            <w:pPr>
              <w:pStyle w:val="TableContents"/>
              <w:bidi w:val="0"/>
              <w:spacing w:before="0" w:after="283"/>
              <w:jc w:val="left"/>
              <w:rPr>
                <w:sz w:val="4"/>
                <w:szCs w:val="4"/>
              </w:rPr>
            </w:pPr>
            <w:r>
              <w:rPr>
                <w:sz w:val="4"/>
                <w:szCs w:val="4"/>
              </w:rPr>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Company may purchase, hold and sell patents, copyrights, trademarks and other intellectual property rights as well as licenses of any kind.</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Patente, Urheberrechte, Marken und andere Immaterialgüterrechte sowie Lizenzen jeder Art erwerben, halten und veräussern.</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Company may engage in and carry out any and all commercial, financial or other activity, which is directly or indirectly related to the purpose of the Company. The Company may purchase, hold and sell shares or interests in other companies in Switzerland or abroad. It may establish and maintain branches and subsidiaries in Switzerland and abroad.</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alle kommerziellen, finanziellen und anderen Tätigkeiten ausüben, welche mit dem Zweck der Gesellschaft direkt oder indirekt im Zusammenhang stehen. Die Gesellschaft kann Beteiligungen an anderen Unternehmen im In- und Ausland erwerben, halten und veräussern. Sie kann Zweigniederlassungen und Tochtergesellschaften im In- und Ausland errichten.</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Company may purchase, hold and sell real estate and carry out other investments.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ind w:left="0" w:right="0" w:firstLine="790"/>
              <w:jc w:val="left"/>
              <w:rPr>
                <w:rFonts w:ascii="Calibri Light;sans-serif" w:hAnsi="Calibri Light;sans-serif"/>
                <w:color w:val="000000"/>
                <w:sz w:val="20"/>
              </w:rPr>
            </w:pPr>
            <w:r>
              <w:rPr>
                <w:rFonts w:ascii="Calibri Light;sans-serif" w:hAnsi="Calibri Light;sans-serif"/>
                <w:color w:val="000000"/>
                <w:sz w:val="20"/>
              </w:rPr>
              <w:t>Die Gesellschaft kann Grundstücke erwerben, verwalten und veräussern sowie Vermögensanlagen anderer Art tätige.</w:t>
            </w:r>
          </w:p>
        </w:tc>
      </w:tr>
      <w:tr>
        <w:trPr/>
        <w:tc>
          <w:tcPr>
            <w:tcW w:w="383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II. SHARE CAPITAL, SHARES AND SHARE REGISTER</w:t>
            </w:r>
          </w:p>
        </w:tc>
        <w:tc>
          <w:tcPr>
            <w:tcW w:w="1606"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768" w:type="dxa"/>
            <w:tcBorders/>
            <w:tcMar>
              <w:top w:w="0" w:type="dxa"/>
              <w:left w:w="0" w:type="dxa"/>
              <w:bottom w:w="0" w:type="dxa"/>
              <w:right w:w="0" w:type="dxa"/>
            </w:tcMar>
            <w:vAlign w:val="center"/>
          </w:tcPr>
          <w:p>
            <w:pPr>
              <w:pStyle w:val="Heading1"/>
              <w:bidi w:val="0"/>
              <w:spacing w:before="360" w:after="360"/>
              <w:ind w:left="0" w:right="0" w:firstLine="1355"/>
              <w:jc w:val="left"/>
              <w:rPr>
                <w:rFonts w:ascii="Calibri Light;sans-serif" w:hAnsi="Calibri Light;sans-serif"/>
                <w:caps/>
                <w:color w:val="000000"/>
                <w:sz w:val="20"/>
              </w:rPr>
            </w:pPr>
            <w:r>
              <w:rPr>
                <w:rFonts w:ascii="Calibri Light;sans-serif" w:hAnsi="Calibri Light;sans-serif"/>
                <w:caps/>
                <w:color w:val="000000"/>
                <w:sz w:val="20"/>
              </w:rPr>
              <w:t>II. AKTIENKAPITAL, AKTIEN UND AKTIENBUCH</w:t>
            </w:r>
          </w:p>
        </w:tc>
      </w:tr>
      <w:tr>
        <w:trPr/>
        <w:tc>
          <w:tcPr>
            <w:tcW w:w="383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 Share Capital and Shares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share capital of the Company is CHF 620'417.76 and is fully paid-in. It is divided into 62'041'776 registered shares with a nominal value of CHF 0.01 each.</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 Aktienkapital und Aktien</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der Gesellschaft beträgt CHF 620'417.76 und ist voll liberiert. Es ist in 62'041'776 Namenaktien mit einem Nennwert von je CHF 0.01 eingeteilt.</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3a Capital Band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Company has a capital band between CHF 620'417.76 (lower limit) and CHF 930'626.64 (upper limit).</w:t>
            </w:r>
          </w:p>
        </w:tc>
        <w:tc>
          <w:tcPr>
            <w:tcW w:w="1606" w:type="dxa"/>
            <w:tcBorders/>
            <w:tcMar>
              <w:top w:w="0" w:type="dxa"/>
              <w:left w:w="0" w:type="dxa"/>
              <w:bottom w:w="0" w:type="dxa"/>
              <w:right w:w="0" w:type="dxa"/>
            </w:tcMar>
            <w:vAlign w:val="center"/>
          </w:tcPr>
          <w:p>
            <w:pPr>
              <w:pStyle w:val="Heading1"/>
              <w:bidi w:val="0"/>
              <w:spacing w:before="120" w:after="283"/>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3a Kapitalband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Gesellschaft hat ein Kapitalband zwischen CHF 620'417.76 (untere Grenze) und CHF 930'626.64 (obere Grenze).</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is authorized to increase the share capital up to the upper limit at any time and as often as required until 13 May 2031.</w:t>
            </w:r>
          </w:p>
        </w:tc>
        <w:tc>
          <w:tcPr>
            <w:tcW w:w="1606" w:type="dxa"/>
            <w:tcBorders/>
            <w:tcMar>
              <w:top w:w="0" w:type="dxa"/>
              <w:left w:w="0" w:type="dxa"/>
              <w:bottom w:w="0" w:type="dxa"/>
              <w:right w:w="0" w:type="dxa"/>
            </w:tcMar>
            <w:vAlign w:val="center"/>
          </w:tcPr>
          <w:p>
            <w:pPr>
              <w:pStyle w:val="Heading1"/>
              <w:bidi w:val="0"/>
              <w:spacing w:before="120" w:after="283"/>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ist ermächtigt, bis zum 13. Mai 2031 das Aktienkapital jederzeit und beliebig oft bis zur oberen Grenze zu erhöhen.</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increase must be effected by issuing a maximum of 31'020'888 registered shares with a par value of CHF 0.01, to be fully paid up. After a change in par value, the new par value shall also apply within the scope of the capital band. A capital reduction is excluded.</w:t>
            </w:r>
          </w:p>
        </w:tc>
        <w:tc>
          <w:tcPr>
            <w:tcW w:w="1606" w:type="dxa"/>
            <w:tcBorders/>
            <w:tcMar>
              <w:top w:w="0" w:type="dxa"/>
              <w:left w:w="0" w:type="dxa"/>
              <w:bottom w:w="0" w:type="dxa"/>
              <w:right w:w="0" w:type="dxa"/>
            </w:tcMar>
            <w:vAlign w:val="center"/>
          </w:tcPr>
          <w:p>
            <w:pPr>
              <w:pStyle w:val="Heading1"/>
              <w:bidi w:val="0"/>
              <w:spacing w:before="120" w:after="283"/>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Erhöhung hat durch Ausgabe von maximal 31'020'888 vollständig zu liberierenden Namenaktien im Nennwert von CHF 0.01 zu erfolgen. Nach einer Nennwertveränderung gilt der neue Nennwert auch im Rahmen des Kapitalbandes. Eine Kapitalherabsetzung wird ausgeschlossen.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w:t>
      </w:r>
    </w:p>
    <w:tbl>
      <w:tblPr>
        <w:tblW w:w="10205" w:type="dxa"/>
        <w:jc w:val="left"/>
        <w:tblInd w:w="0" w:type="dxa"/>
        <w:tblLayout w:type="fixed"/>
        <w:tblCellMar>
          <w:top w:w="28" w:type="dxa"/>
          <w:left w:w="28" w:type="dxa"/>
          <w:bottom w:w="28" w:type="dxa"/>
          <w:right w:w="28" w:type="dxa"/>
        </w:tblCellMar>
      </w:tblPr>
      <w:tblGrid>
        <w:gridCol w:w="4773"/>
        <w:gridCol w:w="251"/>
        <w:gridCol w:w="5181"/>
      </w:tblGrid>
      <w:tr>
        <w:trPr/>
        <w:tc>
          <w:tcPr>
            <w:tcW w:w="47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81" w:type="dxa"/>
            <w:tcBorders/>
            <w:vAlign w:val="center"/>
          </w:tcPr>
          <w:p>
            <w:pPr>
              <w:pStyle w:val="TableContents"/>
              <w:bidi w:val="0"/>
              <w:spacing w:before="0" w:after="283"/>
              <w:jc w:val="left"/>
              <w:rPr>
                <w:sz w:val="4"/>
                <w:szCs w:val="4"/>
              </w:rPr>
            </w:pPr>
            <w:r>
              <w:rPr>
                <w:sz w:val="4"/>
                <w:szCs w:val="4"/>
              </w:rPr>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the share capital increases as a result of an increase from conditional capital pursuant to Article 3b, 3c, 43d or 3e of these articles of association, the upper and lower limits of the capital range shall increase in an amount corresponding to such increase in the share capital.</w:t>
            </w:r>
          </w:p>
        </w:tc>
        <w:tc>
          <w:tcPr>
            <w:tcW w:w="251" w:type="dxa"/>
            <w:tcBorders/>
            <w:tcMar>
              <w:top w:w="0" w:type="dxa"/>
              <w:left w:w="0" w:type="dxa"/>
              <w:bottom w:w="0" w:type="dxa"/>
              <w:right w:w="0" w:type="dxa"/>
            </w:tcMar>
            <w:vAlign w:val="center"/>
          </w:tcPr>
          <w:p>
            <w:pPr>
              <w:pStyle w:val="Heading1"/>
              <w:bidi w:val="0"/>
              <w:spacing w:before="120" w:after="283"/>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Erhöht sich das Aktienkapital aufgrund einer Erhöhung aus bedingtem Kapital gemäss Art 3b, 3c, 3d oder 3e der Statuten, so erhöhen sich die obere und die untere Grenze des Kapitalbands entsprechend dem Umfang der Erhöhung des Aktienkapitals.</w:t>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An increase of the share capital (i) by subscription of shares based on an offer signed by a financial institution, an association, another third party or third parties, followed by an offer to the then existing shareholders of the Company, (ii) by subscription of shares at par value out of the Company's equity with a view towards the (private) placement or sale of these shares as part of a fast and flexible fundraising process as well as (iii) in partial amounts is permitted.</w:t>
            </w:r>
          </w:p>
        </w:tc>
        <w:tc>
          <w:tcPr>
            <w:tcW w:w="251" w:type="dxa"/>
            <w:tcBorders/>
            <w:tcMar>
              <w:top w:w="0" w:type="dxa"/>
              <w:left w:w="0" w:type="dxa"/>
              <w:bottom w:w="0" w:type="dxa"/>
              <w:right w:w="0" w:type="dxa"/>
            </w:tcMar>
            <w:vAlign w:val="center"/>
          </w:tcPr>
          <w:p>
            <w:pPr>
              <w:pStyle w:val="Heading1"/>
              <w:bidi w:val="0"/>
              <w:spacing w:before="120" w:after="283"/>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Eine Erhöhung des Aktienkapitals (i) durch die Zeichnung von Aktien aufgrund eines von einem Finanzinstitut, eines Verbandes, einer anderen Drittpartei oder Drittparteien unterzeichneten Angebots, gefolgt von einem Angebot gegenüber den zu diesem Zeitpunkt bestehenden Aktionären der Gesellschaft, (ii) durch Zeichnung von Aktien zum Nennwert aus dem Eigenkapital der Gesellschaft mit Hinblick auf die (private) Platzierung oder der Verkauf dieser Aktien im Rahmen eines schnellen und flexiblen Fundraising-Prozesses sowie (iii) in Teilbeträgen ist zulässig.</w:t>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Der Verwaltungsrat soll den Ausgabezeitpunkt, den Bezugspreis, die Art und Weise der Liberierung, das Datum, ab welchem die Aktien zum Bezug einer Dividende berechtigen, die Bedingungen zur Ausübung der Bezugsrechte sowie die Zuteilung nicht ausgeübter Bezugsrechte festlegen. Der Verwaltungsrat kann bestimmen, dass nicht ausgeübte Bezugsrechte verfallen oder er kann Drittparteien solche Rechte oder Aktien, für welche die Bezugsrechte nicht ausgeübt wurden, zu Marktbedingungen zuteilen oder sie sonst im Interesse der Gesellschaft verwenden.</w:t>
            </w:r>
            <w:r>
              <w:rPr>
                <w:rFonts w:ascii="Times New Roman" w:hAnsi="Times New Roman"/>
                <w:color w:val="000000"/>
                <w:sz w:val="20"/>
              </w:rPr>
              <w:t xml:space="preserve"> </w:t>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is authorized to withdraw or limit the preemptive rights of the shareholders and to allot them to third parties: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if the issue price of the new registered shares is determined by reference to the market price; or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for the acquisition of an enterprise,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 xml:space="preserve">Der Verwaltungsrat ist ermächtigt, das Bezugsrecht der Aktionäre auszuschliessen oder Dritten zuzuteilen: </w:t>
              <w:br/>
            </w:r>
            <w:r>
              <w:rPr>
                <w:rFonts w:ascii="Times New Roman" w:hAnsi="Times New Roman"/>
                <w:color w:val="000000"/>
                <w:sz w:val="2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falls der Ausgabepreis der neuen Aktien anhand des Marktwertes festgelegt wird; oder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für die Übernahme eines Unternehmens, den Teil eines Unternehmens oder Beteiligungen oder für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w:t>
      </w:r>
    </w:p>
    <w:tbl>
      <w:tblPr>
        <w:tblW w:w="10205" w:type="dxa"/>
        <w:jc w:val="left"/>
        <w:tblInd w:w="0" w:type="dxa"/>
        <w:tblLayout w:type="fixed"/>
        <w:tblCellMar>
          <w:top w:w="28" w:type="dxa"/>
          <w:left w:w="28" w:type="dxa"/>
          <w:bottom w:w="28" w:type="dxa"/>
          <w:right w:w="28" w:type="dxa"/>
        </w:tblCellMar>
      </w:tblPr>
      <w:tblGrid>
        <w:gridCol w:w="3750"/>
        <w:gridCol w:w="578"/>
        <w:gridCol w:w="5877"/>
      </w:tblGrid>
      <w:tr>
        <w:trPr/>
        <w:tc>
          <w:tcPr>
            <w:tcW w:w="375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77"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750" w:type="dxa"/>
            <w:tcBorders/>
            <w:tcMar>
              <w:top w:w="0" w:type="dxa"/>
              <w:left w:w="0" w:type="dxa"/>
              <w:bottom w:w="0" w:type="dxa"/>
              <w:right w:w="0" w:type="dxa"/>
            </w:tcMar>
            <w:vAlign w:val="center"/>
          </w:tcPr>
          <w:p>
            <w:pPr>
              <w:pStyle w:val="TableContents"/>
              <w:bidi w:val="0"/>
              <w:spacing w:before="0" w:after="0"/>
              <w:jc w:val="both"/>
              <w:rPr/>
            </w:pPr>
            <w:r>
              <w:rPr>
                <w:rFonts w:ascii="Calibri Light;sans-serif" w:hAnsi="Calibri Light;sans-serif"/>
                <w:color w:val="000000"/>
                <w:sz w:val="20"/>
              </w:rPr>
              <w:t xml:space="preserve">part of an enterprise or participations, or for the financing or refinancing of any of such acquisition, or in the event of share placement for the financing or refinancing of such placement; or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pPr>
            <w:r>
              <w:rPr>
                <w:rFonts w:ascii="Calibri Light;sans-serif" w:hAnsi="Calibri Light;sans-serif"/>
                <w:color w:val="000000"/>
                <w:sz w:val="20"/>
              </w:rPr>
              <w:t xml:space="preserve">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for purposes of granting an over-allotment option (</w:t>
            </w:r>
            <w:r>
              <w:rPr>
                <w:rFonts w:ascii="Calibri Light;sans-serif" w:hAnsi="Calibri Light;sans-serif"/>
                <w:i/>
                <w:color w:val="000000"/>
                <w:sz w:val="20"/>
              </w:rPr>
              <w:t>Greenshoe</w:t>
            </w:r>
            <w:r>
              <w:rPr>
                <w:rFonts w:ascii="Calibri Light;sans-serif" w:hAnsi="Calibri Light;sans-serif"/>
                <w:color w:val="000000"/>
                <w:sz w:val="20"/>
              </w:rPr>
              <w:t xml:space="preserve">) or an option to subscribe additional shares to the respective initial purchaser(s) or underwriter(s) in a placement or sale of registered shares; or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pPr>
            <w:r>
              <w:rPr>
                <w:rFonts w:ascii="Calibri Light;sans-serif" w:hAnsi="Calibri Light;sans-serif"/>
                <w:color w:val="000000"/>
                <w:sz w:val="20"/>
              </w:rPr>
              <w:t xml:space="preserve">for raising of capital (including private placements) in a fast and flexible way, which probably could not be reached without the exclusion of the statutory pre-emptive right of the existing shareholders;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for other valid grounds in the sense of article 652b para. 2 CO; or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t>
            </w:r>
          </w:p>
        </w:tc>
        <w:tc>
          <w:tcPr>
            <w:tcW w:w="578"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c>
          <w:tcPr>
            <w:tcW w:w="5877"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die Finanzierung oder Refinanzierung solcher Erwerbe, oder im Falle einer Aktienplatzierung für die Finanzierung oder Refinanzierung solcher Platzierungen;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zum Zweck der Erweiterung der Aktionärskreises der Gesellschaft in bestimmten finanziellen oder Investorenmärkten, für die Zwecke der Beteiligung von strategischen Partnern, oder im Zusammenhang mit der Auflistung oder Meldung neuer Namenaktien an inländischen oder ausländischen Börsen;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zum Zweck der Gewährung einer Mehrzuteilungsoption (</w:t>
            </w:r>
            <w:r>
              <w:rPr>
                <w:rFonts w:ascii="Calibri Light;sans-serif" w:hAnsi="Calibri Light;sans-serif"/>
                <w:i/>
                <w:color w:val="000000"/>
                <w:sz w:val="20"/>
              </w:rPr>
              <w:t>Greenshoe</w:t>
            </w:r>
            <w:r>
              <w:rPr>
                <w:rFonts w:ascii="Calibri Light;sans-serif" w:hAnsi="Calibri Light;sans-serif"/>
                <w:color w:val="000000"/>
                <w:sz w:val="20"/>
              </w:rPr>
              <w:t>) oder eine Option zur Zeichnung von zusätzlichen Aktien an die betreffenden Erstkäufer oder Festübernehmer im Rahmen einer Aktienplatzierung oder eines Aktienverkaufs;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um Kapital (inklusive durch private Vermittlung) in schneller und flexibler Weise zu beschaffen, welches wahrscheinlich ohne den Ausschluss der gesetzlichen Vorkaufsrechte der existierenden Aktionäre nicht erhoben werden könnte; oder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aus anderen, gemäss Artikel 652 Abs. 2 OR zulässigen Gründen; oder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einem Aktionär oder einer Gruppe von Aktionären folgend, die gemeinsam mehr als 15% des im Handelsregister eingetragenen Aktienkapitals halten und den übrigen Aktionären auf Empfehlung des Verwaltungsrats hin kein Übernahmeangebot unterbreitet haben, oder im Rahmen der Abwehr eines tatsächlichen, drohenden oder etwaigen Übernahmeversuchs, für den der Verwaltungsrat, nach Konsultation eines unabhängigen Finanzberaters, keine Zustimmungsempfehlung abgegeben hat, da das Übernahmeangebot vom Verwaltungsrat den Aktionären gegenüber als finanziell zu wenig angemessen betrachtet wird.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5</w:t>
      </w:r>
    </w:p>
    <w:tbl>
      <w:tblPr>
        <w:tblW w:w="10205" w:type="dxa"/>
        <w:jc w:val="left"/>
        <w:tblInd w:w="0" w:type="dxa"/>
        <w:tblLayout w:type="fixed"/>
        <w:tblCellMar>
          <w:top w:w="28" w:type="dxa"/>
          <w:left w:w="28" w:type="dxa"/>
          <w:bottom w:w="28" w:type="dxa"/>
          <w:right w:w="28" w:type="dxa"/>
        </w:tblCellMar>
      </w:tblPr>
      <w:tblGrid>
        <w:gridCol w:w="3644"/>
        <w:gridCol w:w="1606"/>
        <w:gridCol w:w="4955"/>
      </w:tblGrid>
      <w:tr>
        <w:trPr/>
        <w:tc>
          <w:tcPr>
            <w:tcW w:w="364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644"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with an independent financial adviser retained by it, has not recommended to the shareholders acceptance on the basis that the Board of Directors has not found the takeover bid to be financially fair to the shareholders.</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and any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55"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sowie jeder Transfer von Namenaktien unterliegen den Einschränkungen in Artikel 4 dieser Statuten.</w:t>
            </w:r>
          </w:p>
        </w:tc>
      </w:tr>
      <w:tr>
        <w:trPr/>
        <w:tc>
          <w:tcPr>
            <w:tcW w:w="3644"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Times New Roman" w:hAnsi="Times New Roman"/>
                <w:sz w:val="20"/>
              </w:rPr>
            </w:pPr>
            <w:r>
              <w:rPr>
                <w:rFonts w:ascii="Calibri Light;sans-serif" w:hAnsi="Calibri Light;sans-serif"/>
                <w:b/>
                <w:color w:val="000000"/>
                <w:sz w:val="20"/>
              </w:rPr>
              <w:t xml:space="preserve">Article 3b Conditional Share Capital for Bonds and Similar Debt Instruments </w:t>
              <w:br/>
            </w:r>
            <w:r>
              <w:rPr>
                <w:rFonts w:ascii="Times New Roman" w:hAnsi="Times New Roman"/>
                <w:color w:val="000000"/>
                <w:sz w:val="20"/>
              </w:rPr>
              <w:t> </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share capital of the Company may be increased by the maximum amount of CHF 67'500.00 by issuing up to 6'750'000 fully paid-up registered shares with a nominal value of CHF 0.01 each, through the exercise of conversion and/or option rights or warrants or granted in connection with bonds or similar instruments, assumed, issued or to be issued by the Company or by its subsidiaries, including convertible debt instruments. The exercise of the conversion and/or option rights and the waiver of such right shall be made in writing on paper or in electronic form.</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955"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3b Bedingtes Aktienkapital für Anleihensobligationen oder ähnliche Instrumente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der Gesellschaft wird im Maximalbetrag von CHF 67'500.00 erhöht durch Ausgabe von höchstens 6'750'000 vollständig zu liberierenden Namenaktien mit einem Nennwert von je CHF 0.01 durch Ausübung von Wandlungs- und/oder Optionsrechten, welche im Zusammenhang mit van der Gesellschaft oder ihren Tochtergesellschaften übernommenen oder emittierten Anleihensobligationen oder ähnlichen Instrumenten eingeräumt wurden oder werden, einschliesslich Wandelanleihen. Die Form der Ausübung der Wandlungs- und/oder Optionsrechte und des Verzichts auf dieses Recht erfolgt auf schriftlichem Weg auf Papier oder in elektronischer Form.</w:t>
            </w:r>
          </w:p>
        </w:tc>
      </w:tr>
      <w:tr>
        <w:trPr/>
        <w:tc>
          <w:tcPr>
            <w:tcW w:w="36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Shareholders' subscription rights for these shares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(1) the instruments are to be placed at</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5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Das Bezugsrecht der Aktionäre ist für diese Aktien ausgeschlossen. Das Vorwegzeichnungsrecht der Aktionäre in Bezug auf neue Anleihensobligationen oder ähnliche Instrumente kann durch Beschluss des Verwaltungsrates zu folgenden Zwecken eingeschränkt oder ausgeschlossen werden: Finanzierung und Refinanzierung des Erwerbs von Unternehmen, Unternehmensteilen, Beteiligungen, oder von der Gesellschaft geplanten neuen Investitionen, oder für die Ausgabe von Anleihensobligationen oder ähnlichen Instrumenten auf internationalen Kapitalmärkten oder mittels Privatplatzierungen. Falls Vorwegzeichnungsrechte ausgeschlossen werden, müssen (1) die Instrumente zu Marktkonditionen platziert werden, (2) 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6</w:t>
      </w:r>
    </w:p>
    <w:tbl>
      <w:tblPr>
        <w:tblW w:w="10205" w:type="dxa"/>
        <w:jc w:val="left"/>
        <w:tblInd w:w="0" w:type="dxa"/>
        <w:tblLayout w:type="fixed"/>
        <w:tblCellMar>
          <w:top w:w="28" w:type="dxa"/>
          <w:left w:w="28" w:type="dxa"/>
          <w:bottom w:w="28" w:type="dxa"/>
          <w:right w:w="28" w:type="dxa"/>
        </w:tblCellMar>
      </w:tblPr>
      <w:tblGrid>
        <w:gridCol w:w="3321"/>
        <w:gridCol w:w="1606"/>
        <w:gridCol w:w="5278"/>
      </w:tblGrid>
      <w:tr>
        <w:trPr/>
        <w:tc>
          <w:tcPr>
            <w:tcW w:w="332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278" w:type="dxa"/>
            <w:tcBorders/>
            <w:vAlign w:val="center"/>
          </w:tcPr>
          <w:p>
            <w:pPr>
              <w:pStyle w:val="TableContents"/>
              <w:bidi w:val="0"/>
              <w:spacing w:before="0" w:after="283"/>
              <w:jc w:val="left"/>
              <w:rPr>
                <w:sz w:val="4"/>
                <w:szCs w:val="4"/>
              </w:rPr>
            </w:pPr>
            <w:r>
              <w:rPr>
                <w:sz w:val="4"/>
                <w:szCs w:val="4"/>
              </w:rPr>
            </w:r>
          </w:p>
        </w:tc>
      </w:tr>
      <w:tr>
        <w:trPr/>
        <w:tc>
          <w:tcPr>
            <w:tcW w:w="332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market conditions, (2) the exercise period is not to exceed ten years from the date of issue of option rights and twenty years for conversion rights and (3) the conversion or exercise price for the new shares is to be set at least in line with the market conditions prevailing at the date on which the instruments are issued. In addition, advance subscription rights can also be excluded if the instruments to be issued are granted or issued within the context of a larger transaction concluded at market conditions, in which case the conversion or exercise price for the new shares can be set by accounting for the general economic terms of the transaction, which may provide for the payment of the conversion or exercise price at nominal value, through a cashless settlement mechanism and/or through adjusted rights under the instruments themselves.</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Ausübungszeitraum darf zehn Jahre seit dem Ausgabedatum der Optionsrechte und 20 Jahre seit dem Ausgabedatum der Wandlungsrechte nicht überschreiten und (3) der Wandlungs- oder Ausübungspreis für die neuen Aktien muss mindestens gemäss den Marktbedingungen am Ausgabedatum der Instrumente festgelegt werden. Darüber hinaus kann das Vorwegzeichnungsrecht auch ausgeschlossen werden, wenn die auszugebenden Instrumente im Rahmen einer umfangreicheren, zu Marktbedingungen abgeschlossenen Transaktion gewährt oder ausgegeben werden; in diesem Fall kann der Wandlungs- oder Ausübungspreis für die neuen Aktien unter Berücksichtigung der allgemeinen wirtschaftlichen Bedingungen der Transaktion festgelegt werden, die die Zahlung des Wandlungs- oder Ausübungspreises zum Nennwert, durch einen bargeldlosen Abwicklungsmechanismus und/oder durch angepasste Rechte aus den Instrumenten selbst vorsehen können.</w:t>
            </w:r>
          </w:p>
        </w:tc>
      </w:tr>
      <w:tr>
        <w:trPr/>
        <w:tc>
          <w:tcPr>
            <w:tcW w:w="33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through the exercise of conversion rights or warrants and any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27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durch Ausübung von Wandelrechten oder Warrants sowie sämtliche weiteren Übertragungen von Namenaktien unterliegen den Übertragungsbeschränkungen gemäss Artikel 4 der Statuten.</w:t>
            </w:r>
          </w:p>
        </w:tc>
      </w:tr>
      <w:tr>
        <w:trPr/>
        <w:tc>
          <w:tcPr>
            <w:tcW w:w="332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3c Conditional Share Capital for Employee Benefit Plans</w:t>
            </w:r>
          </w:p>
          <w:p>
            <w:pPr>
              <w:pStyle w:val="TableContents"/>
              <w:bidi w:val="0"/>
              <w:spacing w:before="0" w:after="283"/>
              <w:ind w:left="0" w:right="0" w:firstLine="1355"/>
              <w:jc w:val="left"/>
              <w:rPr>
                <w:rFonts w:ascii="Times New Roman" w:hAnsi="Times New Roman"/>
                <w:sz w:val="20"/>
              </w:rPr>
            </w:pPr>
            <w:r>
              <w:rPr>
                <w:rFonts w:ascii="Calibri Light;sans-serif" w:hAnsi="Calibri Light;sans-serif"/>
                <w:color w:val="000000"/>
                <w:sz w:val="20"/>
              </w:rPr>
              <w:t>The share capital of the Company shall be increased by an amount not exceeding CHF 126’777.00 through the issue of a maximum of 12’677’700 registered shares, payable in full, each with a nominal value of CHF 0.01, in connection with the exercise of option rights or other equity-linked instruments granted to any employee of the Company or a subsidiary, and any consultant, members of the Board of Directors, or other person providing services to the Company or a subsidiary. The exercise of the option rights and the waiver of such right shall be</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27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3c Bedingtes Aktienkapital für Mitarbeiterbeteiligungspläne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kann durch die Ausgabe von höchstens 12‘677‘700 voll zu liberierenden Namenaktien im Nennwert von je CHF 0.01 um höchstens CHF 126‘777.00 durch Ausübung von Optionsrechten oder anderen eigenkapitalbasierten Instrumenten erhöht werden, welche Mitarbeitenden der Gesellschaft oder ihrer Tochtergesellschaften, Personen in vergleichbaren Positionen, Beratern, Verwaltungsratsmitgliedern oder anderen Personen, welche Dienstleistungen zu Gunsten der Gesellschaft erbringen, gewährt wurden. Die Form der Ausübung der Optionsrechte und des Verzichts auf dieses Recht erfolgt auf schriftlichem Weg auf Papier oder in elektronischer Form.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7</w:t>
      </w:r>
    </w:p>
    <w:tbl>
      <w:tblPr>
        <w:tblW w:w="10205" w:type="dxa"/>
        <w:jc w:val="left"/>
        <w:tblInd w:w="0" w:type="dxa"/>
        <w:tblLayout w:type="fixed"/>
        <w:tblCellMar>
          <w:top w:w="28" w:type="dxa"/>
          <w:left w:w="28" w:type="dxa"/>
          <w:bottom w:w="28" w:type="dxa"/>
          <w:right w:w="28" w:type="dxa"/>
        </w:tblCellMar>
      </w:tblPr>
      <w:tblGrid>
        <w:gridCol w:w="3651"/>
        <w:gridCol w:w="1606"/>
        <w:gridCol w:w="4948"/>
      </w:tblGrid>
      <w:tr>
        <w:trPr/>
        <w:tc>
          <w:tcPr>
            <w:tcW w:w="365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365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made in writing on paper or in electronic form.</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4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Das Bezugsrecht der Aktionäre ist für diese Aktien ausgeschlossen. Diese neuen Namenaktien können zu einem Preis unter dem aktuellen Marktpreis ausgegeben werden. Der Verwaltungsrat legt die genauen Bedingungen für die Ausgabe, einschliesslich des Ausgabepreises der Aktien fest.</w:t>
            </w:r>
          </w:p>
        </w:tc>
      </w:tr>
      <w:tr>
        <w:trPr/>
        <w:tc>
          <w:tcPr>
            <w:tcW w:w="365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in connection with employee participation and any further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4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im Zusammenhang der Mitarbeiterbeteiligung sowie sämtliche weiteren Übertragungen von Namenaktien unterliegen den Übertragungsbeschränkungen gemäss Artikel 4 der Statuten.</w:t>
            </w:r>
          </w:p>
        </w:tc>
      </w:tr>
      <w:tr>
        <w:trPr/>
        <w:tc>
          <w:tcPr>
            <w:tcW w:w="365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3d Conditional Share Capital for EBAC-Warrants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share capital shall be increased by an amount not exceeding CHF 18'978.17 through the issue of a maximum of 1'897'817 registered shares, payable in full, each with a nominal value of CHF 0.01. The increase of the share capital shall occur in connection with the share capital increase of 1 March 2023 through the exercise of conversion and/or option rights, which were assumed from, and allocated by, European Biotech Acquisition Corp. with registered seat in George Town, Cayman Islands and business address at EPFL Innovation Park Building D, 1015 Lausanne, Switzerland (EBAC), at an exercise price of USD 11.50 on the basis of a Warrant Assumption Agreement between the Company and Continental Stock Transfer &amp; Trust Company, with registered seat in New York (USA) as Warrant Agent. The exercise of conversion and/or option rights and the waiver of such right shall be made in writing on paper or in electronic form.</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94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3d Bedingtes Aktienkapital für EBAC-Warrants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kann durch die Ausgabe von höchstens 1'897'817 voll zu liberierenden Namenaktien im Nennwert von je CHF 0.01 um höchstens CHF 18'978.17 erhöht werden. Die Erhöhung des Aktienkapitals erfolgt im Zusammenhang mit der Kapitalerhöhung vom 1. März 2023 durch die Ausübung von Wandlungs- und/oder Optionsrechten, welche von European Biotech Acquisition Corp. mit Sitz in George Town, Cayman Islands und Geschäftsadresse an der EPFL Innovation Park Building D, 1015 Lausanne, Schweiz (EBAC), mit einem Ausübungspreis von USD 11.50 auf der Grundlage eines Warrant Assumption Agreements zwischen der Gesellschaft und Continental Stock Transfer &amp; Trust Company, mit Sitz in New York (USA) als Warrant Agent, übernommenen und eingeräumt wurden. Die Form der Ausübung der Wandlungs- und/oder Optionsrechte und des Verzichts auf dieses Recht erfolgt auf schriftlichem Weg auf Papier oder in elektronischer Form.</w:t>
            </w:r>
          </w:p>
        </w:tc>
      </w:tr>
      <w:tr>
        <w:trPr/>
        <w:tc>
          <w:tcPr>
            <w:tcW w:w="36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Only the bearers of such conversion and/or option rights shall be entitled to</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4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Zum Bezug der neuen Namenaktien sind die Inhaber von Wandlungs- und/oder Optionsrechten berechtigt.</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8</w:t>
      </w:r>
    </w:p>
    <w:tbl>
      <w:tblPr>
        <w:tblW w:w="10205" w:type="dxa"/>
        <w:jc w:val="left"/>
        <w:tblInd w:w="0" w:type="dxa"/>
        <w:tblLayout w:type="fixed"/>
        <w:tblCellMar>
          <w:top w:w="28" w:type="dxa"/>
          <w:left w:w="28" w:type="dxa"/>
          <w:bottom w:w="28" w:type="dxa"/>
          <w:right w:w="28" w:type="dxa"/>
        </w:tblCellMar>
      </w:tblPr>
      <w:tblGrid>
        <w:gridCol w:w="3421"/>
        <w:gridCol w:w="1606"/>
        <w:gridCol w:w="5178"/>
      </w:tblGrid>
      <w:tr>
        <w:trPr/>
        <w:tc>
          <w:tcPr>
            <w:tcW w:w="342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178" w:type="dxa"/>
            <w:tcBorders/>
            <w:vAlign w:val="center"/>
          </w:tcPr>
          <w:p>
            <w:pPr>
              <w:pStyle w:val="TableContents"/>
              <w:bidi w:val="0"/>
              <w:spacing w:before="0" w:after="283"/>
              <w:jc w:val="left"/>
              <w:rPr>
                <w:sz w:val="4"/>
                <w:szCs w:val="4"/>
              </w:rPr>
            </w:pPr>
            <w:r>
              <w:rPr>
                <w:sz w:val="4"/>
                <w:szCs w:val="4"/>
              </w:rPr>
            </w:r>
          </w:p>
        </w:tc>
      </w:tr>
      <w:tr>
        <w:trPr/>
        <w:tc>
          <w:tcPr>
            <w:tcW w:w="342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obtain such new registered shares. The terms and conditions of the exercise and/or conversion rights, such as the exercise and/or conversion price and period, the time of entitlement to dividends and the type of contributions shall be defined by the Board of Directors</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8"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Bezugsbedingungen, wie Ausübungs- und/oder Konvertierungspreis und -frist, Zeitpunkt der Dividendenberechtigung und Art der Einlagen, werden durch den Verwaltungsrat festgelegt.</w:t>
            </w:r>
          </w:p>
        </w:tc>
      </w:tr>
      <w:tr>
        <w:trPr/>
        <w:tc>
          <w:tcPr>
            <w:tcW w:w="34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shareholders' subscription rights are excluded for these shares. The shareholders’ advance subscription rights regarding these Warrants are excluded to abide by the obligations stemming from the Business Combination Agreement dated 17 October 2022 between EBAC and Oculis SA with registered seat in Ecublens (VD), Switzerland, and assumed by the Company.</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1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Das Bezugsrecht der Aktionäre ist für diese Aktien ausgeschlossen. Das Vorwegzeichnungsrecht der Aktionäre in Bezug auf diese Warrants ist ausgeschlossen, um die im Business Combination Agreement vom 17. Oktober 2022 zwischen EBAC und Oculis SA mit Sitz in Ecublens (VD), Schweiz, eingegangenen und von der Gesellschaft übernommenen Verpflichtungen zu erfüllen.</w:t>
            </w:r>
          </w:p>
        </w:tc>
      </w:tr>
      <w:tr>
        <w:trPr/>
        <w:tc>
          <w:tcPr>
            <w:tcW w:w="34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through the exercise of conversion and/or option rights and the further transfer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17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durch die Ausübung von Wandlungs- und/oder Optionsrechten sowie sämtliche weiteren Übertragungen von Namenaktien unterliegen den Übertragungsbeschränkungen gemäss Artikel 4 der Statuten.</w:t>
            </w:r>
          </w:p>
        </w:tc>
      </w:tr>
      <w:tr>
        <w:trPr/>
        <w:tc>
          <w:tcPr>
            <w:tcW w:w="342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3e Conditional Share Capital for Earn-Out Options</w:t>
            </w:r>
          </w:p>
          <w:p>
            <w:pPr>
              <w:pStyle w:val="TableContents"/>
              <w:bidi w:val="0"/>
              <w:spacing w:before="0" w:after="283"/>
              <w:ind w:left="0" w:right="0" w:firstLine="1355"/>
              <w:jc w:val="left"/>
              <w:rPr>
                <w:rFonts w:ascii="Times New Roman" w:hAnsi="Times New Roman"/>
                <w:sz w:val="20"/>
              </w:rPr>
            </w:pPr>
            <w:r>
              <w:rPr>
                <w:rFonts w:ascii="Calibri Light;sans-serif" w:hAnsi="Calibri Light;sans-serif"/>
                <w:color w:val="000000"/>
                <w:sz w:val="20"/>
              </w:rPr>
              <w:t>The share capital of the Company shall be increased by an amount not exceeding CHF 3'701.03 through the issue of a maximum of 370'103 registered shares, payable in full, each with a nominal value of CHF 0.01, in connection with the exercise of option rights granted in connection with the Business Combination Agreement dated 17. October 2022 between European Biotech Acquisition Corp. with registered seat in George Town, Cayman Islands and business address at EPFL Innovation Park Building D, 1015 Lausanne, Switzerland (EBAC) and Oculis SA with registered seat in Ecublens (VD), Switzerland, to any employee of the Company or a subsidiary, and any consultant, members of the Board of Directors, or other person</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17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3e Bedingtes Aktienkapital für Earn-Out Optionen</w:t>
            </w:r>
          </w:p>
          <w:p>
            <w:pPr>
              <w:pStyle w:val="TableContents"/>
              <w:bidi w:val="0"/>
              <w:spacing w:before="0" w:after="283"/>
              <w:ind w:left="0" w:right="0" w:firstLine="1355"/>
              <w:jc w:val="left"/>
              <w:rPr>
                <w:rFonts w:ascii="Times New Roman" w:hAnsi="Times New Roman"/>
                <w:sz w:val="20"/>
              </w:rPr>
            </w:pPr>
            <w:r>
              <w:rPr>
                <w:rFonts w:ascii="Calibri Light;sans-serif" w:hAnsi="Calibri Light;sans-serif"/>
                <w:color w:val="000000"/>
                <w:sz w:val="20"/>
              </w:rPr>
              <w:t>Das Aktienkapital kann durch die Ausgabe von höchstens 370'103 voll zu liberierenden Namenaktien im Nennwert von je CHF 0.01 um höchstens CHF 3'701.03 durch Ausübung von Optionsrechten erhöht werden, welche Mitarbeitenden der Gesellschaft oder ihrer Tochtergesellschaften, Personen in vergleichbaren Positionen, Beratern, Verwaltungsratsmitgliedern oder anderen Personen, welche Dienstleistungen zu Gunsten der Gesellschaft erbringen, und im Zusammenhang mit dem Business Combination Agreement vom 17. Oktober 2022 zwischen European Biotech Acquisition Corp. mit Sitz in George Town, Cayman Islands und Geschäftsadresse an der EPFL Innovation Park Building D, 1015 Lausanne, Schweiz (EBAC) und Oculis SA mit Sitz in Ecublens (VD), Schweiz zusätzlich eingeräumt wurden (</w:t>
            </w:r>
            <w:r>
              <w:rPr>
                <w:rFonts w:ascii="Calibri Light;sans-serif" w:hAnsi="Calibri Light;sans-serif"/>
                <w:i/>
                <w:color w:val="000000"/>
                <w:sz w:val="20"/>
              </w:rPr>
              <w:t>earn-out</w:t>
            </w:r>
            <w:r>
              <w:rPr>
                <w:rFonts w:ascii="Times New Roman" w:hAnsi="Times New Roman"/>
                <w:color w:val="000000"/>
                <w:sz w:val="20"/>
              </w:rPr>
              <w:t> </w:t>
            </w:r>
            <w:r>
              <w:rPr>
                <w:rFonts w:ascii="Calibri Light;sans-serif" w:hAnsi="Calibri Light;sans-serif"/>
                <w:color w:val="000000"/>
                <w:sz w:val="20"/>
              </w:rPr>
              <w:t>Optionen). Die Form der Ausübung der Optionsrechte und des Verzichts</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9</w:t>
      </w:r>
    </w:p>
    <w:tbl>
      <w:tblPr>
        <w:tblW w:w="10205" w:type="dxa"/>
        <w:jc w:val="left"/>
        <w:tblInd w:w="0" w:type="dxa"/>
        <w:tblLayout w:type="fixed"/>
        <w:tblCellMar>
          <w:top w:w="28" w:type="dxa"/>
          <w:left w:w="28" w:type="dxa"/>
          <w:bottom w:w="28" w:type="dxa"/>
          <w:right w:w="28" w:type="dxa"/>
        </w:tblCellMar>
      </w:tblPr>
      <w:tblGrid>
        <w:gridCol w:w="3600"/>
        <w:gridCol w:w="1606"/>
        <w:gridCol w:w="4999"/>
      </w:tblGrid>
      <w:tr>
        <w:trPr/>
        <w:tc>
          <w:tcPr>
            <w:tcW w:w="360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3600"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providing services to the Company or a subsidiary (earn-out options). The exercise of the option rights and the waiver of such right shall be made in writing on paper or in electronic form.</w:t>
            </w:r>
          </w:p>
          <w:p>
            <w:pPr>
              <w:pStyle w:val="TableContents"/>
              <w:bidi w:val="0"/>
              <w:spacing w:before="0" w:after="120"/>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auf dieses Recht erfolgt auf schriftlichem Weg auf Papier oder in elektronischer Form.</w:t>
            </w:r>
          </w:p>
        </w:tc>
      </w:tr>
      <w:tr>
        <w:trPr/>
        <w:tc>
          <w:tcPr>
            <w:tcW w:w="360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9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Das Bezugsrecht der Aktionäre ist für diese Aktien ausgeschlossen. Diese neuen Namenaktien können zu einem Preis unter dem aktuellen Marktpreis ausgegeben werden. Der Verwaltungsrat legt die genauen Bedingungen für die Ausgabe, einschliesslich des Ausgabepreises der Aktien.</w:t>
            </w:r>
          </w:p>
        </w:tc>
      </w:tr>
      <w:tr>
        <w:trPr/>
        <w:tc>
          <w:tcPr>
            <w:tcW w:w="360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in connection with employee participation and any further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99"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im Zusammenhang der Mitarbeiterbeteiligung sowie sämtliche weiteren Übertragungen von Namenaktien unterliegen den Übertragungsbeschränkungen gemäss Artikel 4 der Statuten.</w:t>
            </w:r>
          </w:p>
        </w:tc>
      </w:tr>
      <w:tr>
        <w:trPr/>
        <w:tc>
          <w:tcPr>
            <w:tcW w:w="3600"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4 Share Register</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999"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4 Aktienbuch</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Gesellschaft führt ein Aktienbuch, worin die Eigentümer und Nutzniesser von Namenaktien mit Namen, Vornamen und Wohnort (bei juristischen Personen Sitz) eingetragen werden. Natürliche und juristische Personen sowie gesetzliche Vertreter von Minderjährigen usw., welchen kraft Gesetzes Stimmrechte eines Anteils zukommen, den sie nicht besitzen, werden auf Anfrage im Aktienregister angemerkt.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10</w:t>
      </w:r>
    </w:p>
    <w:tbl>
      <w:tblPr>
        <w:tblW w:w="10205" w:type="dxa"/>
        <w:jc w:val="left"/>
        <w:tblInd w:w="0" w:type="dxa"/>
        <w:tblLayout w:type="fixed"/>
        <w:tblCellMar>
          <w:top w:w="28" w:type="dxa"/>
          <w:left w:w="28" w:type="dxa"/>
          <w:bottom w:w="28" w:type="dxa"/>
          <w:right w:w="28" w:type="dxa"/>
        </w:tblCellMar>
      </w:tblPr>
      <w:tblGrid>
        <w:gridCol w:w="4678"/>
        <w:gridCol w:w="251"/>
        <w:gridCol w:w="5276"/>
      </w:tblGrid>
      <w:tr>
        <w:trPr/>
        <w:tc>
          <w:tcPr>
            <w:tcW w:w="46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76" w:type="dxa"/>
            <w:tcBorders/>
            <w:vAlign w:val="center"/>
          </w:tcPr>
          <w:p>
            <w:pPr>
              <w:pStyle w:val="TableContents"/>
              <w:bidi w:val="0"/>
              <w:spacing w:before="0" w:after="283"/>
              <w:jc w:val="left"/>
              <w:rPr>
                <w:sz w:val="4"/>
                <w:szCs w:val="4"/>
              </w:rPr>
            </w:pPr>
            <w:r>
              <w:rPr>
                <w:sz w:val="4"/>
                <w:szCs w:val="4"/>
              </w:rPr>
            </w:r>
          </w:p>
        </w:tc>
      </w:tr>
      <w:tr>
        <w:trPr/>
        <w:tc>
          <w:tcPr>
            <w:tcW w:w="46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Upon request, acquirers of shares will be registered in the share register without limitation as shareholders if they expressly certify that they acquired the shares in their own name and for their own account.</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Erwerber von Aktien werden auf Gesuch hin ohne Begrenzung als Aktionäre mit Stimmrecht im Aktienregister eingetragen, falls sie ausdrücklich erklären, die Aktien im eigenen Namen und auf eigene Rechnung erworben zu haben.</w:t>
            </w:r>
          </w:p>
        </w:tc>
      </w:tr>
      <w:tr>
        <w:trPr/>
        <w:tc>
          <w:tcPr>
            <w:tcW w:w="46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Persons who do not expressly declare in the registration application that they are holding the shares on their own account (thereafter: nominees) shall forthwith be entered on the share register as shareholders with voting rights up to a maximum of 3% of the share capital. Beyond that limit, registered shares of nominees shall only be entered as voting if the nominees in question confirm in writing that they are willing to disclose the names, addresses and shareholdings of the persons on whose account they hold 0.5% or more of the share capital. The Board of Directors concludes agreements with nominees that among other things govern the representation of shareholders and the voting rights.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Personen, die im Eintragungsgesuch nicht ausdrücklich erklären, die Aktien für eigene Rechnung zu halten (nachstehend: Nominees) werden ohne weiteres bis maximal 3% des jeweils ausstehenden Aktienkapitals mit Stimmrecht im Aktienbuch eingetragen. Über diese Limite hinaus werden Namenaktien von Nominees nur dann mit Stimmrecht eingetragen, wenn sich der betreffende Nominee schriftlich bereit erklärt, gegebenenfalls die Namen, Adressen und Aktienbestände derjenigen Person offenzulegen, für deren Rechnung er 0.5% oder mehr des jeweils ausstehenden Aktienkapitals hält. Der Verwaltungsrat schliesst mit Nominees Vereinbarungen ab, die unter anderem die Vertretung der Aktionäre und der Stimmrechte regeln.</w:t>
            </w:r>
          </w:p>
        </w:tc>
      </w:tr>
      <w:tr>
        <w:trPr/>
        <w:tc>
          <w:tcPr>
            <w:tcW w:w="46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Nach Anhörung des eingetragenen Aktionärs oder Nominees, kann der Verwaltungsrat die Eintragungen im Aktienregister rückwirkend nach dem Datum der Eintragung entfernen, wenn ein solcher Eintrag aufgrund falscher Angaben erfolgte. Der Betroffene muss über eine solche Entfernung sofort informiert werden.</w:t>
            </w:r>
          </w:p>
        </w:tc>
      </w:tr>
      <w:tr>
        <w:trPr/>
        <w:tc>
          <w:tcPr>
            <w:tcW w:w="4678"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Calibri Light;sans-serif" w:hAnsi="Calibri Light;sans-serif"/>
                <w:color w:val="000000"/>
                <w:sz w:val="20"/>
              </w:rPr>
              <w:t>No individual or legal entity may, directly or indirectly, formally, constructively or beneficially own (as defined in the next paragraph below) or otherwise control voting rights ("Controlled Shares") with respect to 15% or more of the registered share capital recorded in the Commercial Register except if such individual or legal entity has submitted prior to the acquisition of such Controlled Shares an orderly tender offer to all shareholders with a minimum price of the higher of (i) the volume weighted average price of the</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Weder eine Einzelperson, noch eine juristische Person kann, direkt oder indirekt, formell, konstruktiv oder vorteilhaft (wie im nächsten Abschnitt unten definiert) oder sonst wie das Stimmrecht ("Kontrollierte Aktien") hinsichtlich 15% oder mehr des im Handelsregister registrierten Aktienkapitals innehaben oder kontrollieren. Eine Ausnahme besteht dann, wenn diese Einzelperson oder juristische Person vor der Übernahme solcher Kontrollierter Aktien allen Aktionären eine ordentliche Offerte mit einem Minimalpreis stellt, wovon der höhere Preis, der entweder (i) dem gewichteten Durchschnittskurs der letzten 60 Handelstage vor der Veröffentlichung 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11</w:t>
      </w:r>
    </w:p>
    <w:tbl>
      <w:tblPr>
        <w:tblW w:w="10205" w:type="dxa"/>
        <w:jc w:val="left"/>
        <w:tblInd w:w="0" w:type="dxa"/>
        <w:tblLayout w:type="fixed"/>
        <w:tblCellMar>
          <w:top w:w="28" w:type="dxa"/>
          <w:left w:w="28" w:type="dxa"/>
          <w:bottom w:w="28" w:type="dxa"/>
          <w:right w:w="28" w:type="dxa"/>
        </w:tblCellMar>
      </w:tblPr>
      <w:tblGrid>
        <w:gridCol w:w="4479"/>
        <w:gridCol w:w="251"/>
        <w:gridCol w:w="5475"/>
      </w:tblGrid>
      <w:tr>
        <w:trPr/>
        <w:tc>
          <w:tcPr>
            <w:tcW w:w="447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75" w:type="dxa"/>
            <w:tcBorders/>
            <w:vAlign w:val="center"/>
          </w:tcPr>
          <w:p>
            <w:pPr>
              <w:pStyle w:val="TableContents"/>
              <w:bidi w:val="0"/>
              <w:spacing w:before="0" w:after="283"/>
              <w:jc w:val="left"/>
              <w:rPr>
                <w:sz w:val="4"/>
                <w:szCs w:val="4"/>
              </w:rPr>
            </w:pPr>
            <w:r>
              <w:rPr>
                <w:sz w:val="4"/>
                <w:szCs w:val="4"/>
              </w:rPr>
            </w:r>
          </w:p>
        </w:tc>
      </w:tr>
      <w:tr>
        <w:trPr/>
        <w:tc>
          <w:tcPr>
            <w:tcW w:w="4479"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15% and not benefiting from the exemption regarding a tender offer shall be entered in the share register as shares without voting rights.</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7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Übernahmeofferte oder (ii) dem höchsten bezahlten Preis durch diese Einzelperson oder juristische Person während der 12 Monate vor der Veröffentlichung der Übernahmeofferte entspricht, der relevante Preis darstellt. Die durch Kapital, Stimmrecht, gemeinsame Führung oder in anderer Weise oder durch Beitritt zur Übernahme der Aktien verbundenen Personen, sind als eine Person zu betrachten. Die Namenaktien, welche die Limite von 15% übersteigen und nicht von der Ausnahme mit Bezug auf die Übernahmeofferte profitieren, sollen im Aktienbuch als Aktien ohne Stimmrecht verzeichnet werden.</w:t>
            </w:r>
          </w:p>
        </w:tc>
      </w:tr>
      <w:tr>
        <w:trPr/>
        <w:tc>
          <w:tcPr>
            <w:tcW w:w="447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Calibri Light;sans-serif" w:hAnsi="Calibri Light;sans-serif"/>
                <w:color w:val="000000"/>
                <w:sz w:val="20"/>
              </w:rPr>
              <w:t xml:space="preserve">For the purposes of this article 4, "Controlled Shares" in reference to any individual or entity means: </w:t>
              <w:br/>
            </w:r>
            <w:r>
              <w:rPr>
                <w:rFonts w:ascii="Times New Roman" w:hAnsi="Times New Roman"/>
                <w:color w:val="000000"/>
                <w:sz w:val="20"/>
              </w:rPr>
              <w:t> </w:t>
            </w:r>
          </w:p>
          <w:p>
            <w:pPr>
              <w:pStyle w:val="TableContents"/>
              <w:bidi w:val="0"/>
              <w:spacing w:before="0" w:after="120"/>
              <w:jc w:val="left"/>
              <w:rPr>
                <w:rFonts w:ascii="Times New Roman" w:hAnsi="Times New Roman"/>
                <w:sz w:val="24"/>
              </w:rPr>
            </w:pPr>
            <w:r>
              <w:rPr>
                <w:rFonts w:ascii="Calibri Light;sans-serif" w:hAnsi="Calibri Light;sans-serif"/>
                <w:color w:val="000000"/>
                <w:sz w:val="24"/>
              </w:rPr>
              <w:t>(</w:t>
            </w:r>
            <w:r>
              <w:rPr>
                <w:rFonts w:ascii="Calibri Light;sans-serif" w:hAnsi="Calibri Light;sans-serif"/>
                <w:color w:val="000000"/>
                <w:sz w:val="20"/>
              </w:rPr>
              <w:t xml:space="preserve">a) all shares of the Company directly, indirectly or constructively owned by such individual or entity; provided that </w:t>
              <w:br/>
            </w:r>
            <w:r>
              <w:rPr>
                <w:rFonts w:ascii="Times New Roman" w:hAnsi="Times New Roman"/>
                <w:color w:val="000000"/>
                <w:sz w:val="24"/>
              </w:rPr>
              <w:t> </w:t>
            </w:r>
          </w:p>
          <w:p>
            <w:pPr>
              <w:pStyle w:val="TableContents"/>
              <w:bidi w:val="0"/>
              <w:spacing w:before="0" w:after="120"/>
              <w:jc w:val="left"/>
              <w:rPr>
                <w:rFonts w:ascii="Times New Roman" w:hAnsi="Times New Roman"/>
                <w:sz w:val="24"/>
              </w:rPr>
            </w:pPr>
            <w:r>
              <w:rPr>
                <w:rFonts w:ascii="Calibri Light;sans-serif" w:hAnsi="Calibri Light;sans-serif"/>
                <w:color w:val="000000"/>
                <w:sz w:val="20"/>
              </w:rPr>
              <w:t>(i) shares owned, directly or indirectly, by or for a partnership, or trust or estate will be considered as being owned proportionately by its partners, or beneficiaries; and</w:t>
            </w:r>
            <w:r>
              <w:rPr>
                <w:rFonts w:ascii="Times New Roman" w:hAnsi="Times New Roman"/>
                <w:color w:val="000000"/>
                <w:sz w:val="24"/>
              </w:rPr>
              <w:t xml:space="preserve"> </w:t>
            </w:r>
            <w:r>
              <w:rPr>
                <w:rFonts w:ascii="Calibri Light;sans-serif" w:hAnsi="Calibri Light;sans-serif"/>
                <w:color w:val="000000"/>
                <w:sz w:val="20"/>
              </w:rPr>
              <w:br/>
            </w:r>
            <w:r>
              <w:rPr>
                <w:rFonts w:ascii="Times New Roman" w:hAnsi="Times New Roman"/>
                <w:color w:val="000000"/>
                <w:sz w:val="24"/>
              </w:rPr>
              <w:t> </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(ii) shares owned, directly or indirectly, by or for a corporation will be considered as being owned proportionately by any shareholder owning 50% or more of the outstanding voting shares of such corporation; and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(iii) shares subject to options, warrants or other similar rights shall be deemed to be owned; and</w:t>
            </w:r>
          </w:p>
          <w:p>
            <w:pPr>
              <w:pStyle w:val="TableContents"/>
              <w:bidi w:val="0"/>
              <w:spacing w:before="0" w:after="283"/>
              <w:jc w:val="left"/>
              <w:rPr>
                <w:rFonts w:ascii="Times New Roman" w:hAnsi="Times New Roman"/>
                <w:sz w:val="24"/>
              </w:rPr>
            </w:pPr>
            <w:r>
              <w:rPr>
                <w:rFonts w:ascii="Calibri Light;sans-serif" w:hAnsi="Calibri Light;sans-serif"/>
                <w:color w:val="000000"/>
                <w:sz w:val="20"/>
              </w:rPr>
              <w:t>(b)</w:t>
            </w:r>
            <w:r>
              <w:rPr>
                <w:rFonts w:ascii="Times New Roman" w:hAnsi="Times New Roman"/>
                <w:color w:val="000000"/>
                <w:sz w:val="24"/>
              </w:rPr>
              <w:t xml:space="preserve"> </w:t>
            </w:r>
            <w:r>
              <w:rPr>
                <w:rFonts w:ascii="Calibri Light;sans-serif" w:hAnsi="Calibri Light;sans-serif"/>
                <w:color w:val="000000"/>
                <w:sz w:val="20"/>
              </w:rPr>
              <w:t>all shares of the Company directly, indirectly or beneficially owned by</w:t>
            </w:r>
            <w:r>
              <w:rPr>
                <w:rFonts w:ascii="Times New Roman" w:hAnsi="Times New Roman"/>
                <w:color w:val="000000"/>
                <w:sz w:val="24"/>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5"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Calibri Light;sans-serif" w:hAnsi="Calibri Light;sans-serif"/>
                <w:color w:val="000000"/>
                <w:sz w:val="20"/>
              </w:rPr>
              <w:t>Im Rahmen dieses Artikel 4 bedeuten "Kontrollierte Aktien" in Bezug auf jegliche Einzelperson oder juristische Person:</w:t>
            </w:r>
            <w:r>
              <w:rPr>
                <w:rFonts w:ascii="Times New Roman" w:hAnsi="Times New Roman"/>
                <w:color w:val="000000"/>
                <w:sz w:val="20"/>
              </w:rPr>
              <w:t xml:space="preserve"> </w:t>
            </w:r>
          </w:p>
          <w:p>
            <w:pPr>
              <w:pStyle w:val="TableContents"/>
              <w:bidi w:val="0"/>
              <w:spacing w:before="0" w:after="120"/>
              <w:jc w:val="both"/>
              <w:rPr>
                <w:rFonts w:ascii="Times New Roman" w:hAnsi="Times New Roman"/>
                <w:sz w:val="24"/>
              </w:rPr>
            </w:pPr>
            <w:r>
              <w:rPr>
                <w:rFonts w:ascii="Calibri Light;sans-serif" w:hAnsi="Calibri Light;sans-serif"/>
                <w:color w:val="000000"/>
                <w:sz w:val="24"/>
              </w:rPr>
              <w:t>(</w:t>
            </w:r>
            <w:r>
              <w:rPr>
                <w:rFonts w:ascii="Calibri Light;sans-serif" w:hAnsi="Calibri Light;sans-serif"/>
                <w:color w:val="000000"/>
                <w:sz w:val="20"/>
              </w:rPr>
              <w:t>a) alle Aktien der Gesellschaft, die direkt, indirekt oder konstruktiv von einer solchen Einzelperson oder juristischen Person gehalten werden; vorausgesetzt dass</w:t>
            </w:r>
            <w:r>
              <w:rPr>
                <w:rFonts w:ascii="Times New Roman" w:hAnsi="Times New Roman"/>
                <w:color w:val="000000"/>
                <w:sz w:val="24"/>
              </w:rPr>
              <w:t xml:space="preserve"> </w:t>
            </w:r>
          </w:p>
          <w:p>
            <w:pPr>
              <w:pStyle w:val="TableContents"/>
              <w:bidi w:val="0"/>
              <w:spacing w:before="0" w:after="120"/>
              <w:jc w:val="both"/>
              <w:rPr>
                <w:rFonts w:ascii="Times New Roman" w:hAnsi="Times New Roman"/>
                <w:sz w:val="20"/>
              </w:rPr>
            </w:pPr>
            <w:r>
              <w:rPr>
                <w:rFonts w:ascii="Calibri Light;sans-serif" w:hAnsi="Calibri Light;sans-serif"/>
                <w:color w:val="000000"/>
                <w:sz w:val="20"/>
              </w:rPr>
              <w:t>(i) Aktien, die direkt oder indirekt durch oder für eine Personengesellschaft oder einen Trust oder eine Vermögensmasse gehalten werden, proportional auf die Partner oder Begünstigten aufgeteilt werden; und</w:t>
            </w:r>
            <w:r>
              <w:rPr>
                <w:rFonts w:ascii="Times New Roman" w:hAnsi="Times New Roman"/>
                <w:color w:val="000000"/>
                <w:sz w:val="20"/>
              </w:rPr>
              <w:t xml:space="preserve"> </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(ii) Aktien, die direkt oder indirekt durch oder für eine Gesellschaft gehalten werden, proportional auf jeden Aktionär, der 50% oder mehr der ausgegebenen Stimmrechtsaktien besitzt, aufgeteilt werden; und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(iii) Aktien, die in Abhängigkeit zu Optionen, Bezugsrechten oder anderen ähnlichen Rechten stehen, als Eigentum gelten; und</w:t>
            </w:r>
          </w:p>
          <w:p>
            <w:pPr>
              <w:pStyle w:val="TableContents"/>
              <w:bidi w:val="0"/>
              <w:spacing w:before="0" w:after="120"/>
              <w:jc w:val="both"/>
              <w:rPr>
                <w:rFonts w:ascii="Times New Roman" w:hAnsi="Times New Roman"/>
                <w:sz w:val="24"/>
              </w:rPr>
            </w:pPr>
            <w:r>
              <w:rPr>
                <w:rFonts w:ascii="Calibri Light;sans-serif" w:hAnsi="Calibri Light;sans-serif"/>
                <w:color w:val="000000"/>
                <w:sz w:val="20"/>
              </w:rPr>
              <w:t>(b)</w:t>
            </w:r>
            <w:r>
              <w:rPr>
                <w:rFonts w:ascii="Times New Roman" w:hAnsi="Times New Roman"/>
                <w:color w:val="000000"/>
                <w:sz w:val="24"/>
              </w:rPr>
              <w:t xml:space="preserve"> </w:t>
            </w:r>
            <w:r>
              <w:rPr>
                <w:rFonts w:ascii="Calibri Light;sans-serif" w:hAnsi="Calibri Light;sans-serif"/>
                <w:color w:val="000000"/>
                <w:sz w:val="20"/>
              </w:rPr>
              <w:t>alle Aktien der Gesellschaft, die direkt, indirekt oder vorteilhaft durch eine solche Einzelperson oder eine juristische Person gehalten werden, vorausgesetzt dass</w:t>
            </w:r>
          </w:p>
          <w:p>
            <w:pPr>
              <w:pStyle w:val="TableContents"/>
              <w:bidi w:val="0"/>
              <w:spacing w:before="0" w:after="283"/>
              <w:jc w:val="both"/>
              <w:rPr>
                <w:rFonts w:ascii="Times New Roman" w:hAnsi="Times New Roman"/>
                <w:sz w:val="20"/>
              </w:rPr>
            </w:pPr>
            <w:r>
              <w:rPr>
                <w:rFonts w:ascii="Calibri Light;sans-serif" w:hAnsi="Calibri Light;sans-serif"/>
                <w:color w:val="000000"/>
                <w:sz w:val="20"/>
              </w:rPr>
              <w:t>(i) ein begünstigter Eigentümer eines Wertpapiers jede Person umfasst, die direkt oder indirekt, durch jede Art von Vertrag, Vereinbarung, Einvernehmen, Bindung oder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12</w:t>
      </w:r>
    </w:p>
    <w:tbl>
      <w:tblPr>
        <w:tblW w:w="10205" w:type="dxa"/>
        <w:jc w:val="left"/>
        <w:tblInd w:w="0" w:type="dxa"/>
        <w:tblLayout w:type="fixed"/>
        <w:tblCellMar>
          <w:top w:w="28" w:type="dxa"/>
          <w:left w:w="28" w:type="dxa"/>
          <w:bottom w:w="28" w:type="dxa"/>
          <w:right w:w="28" w:type="dxa"/>
        </w:tblCellMar>
      </w:tblPr>
      <w:tblGrid>
        <w:gridCol w:w="3279"/>
        <w:gridCol w:w="996"/>
        <w:gridCol w:w="5930"/>
      </w:tblGrid>
      <w:tr>
        <w:trPr/>
        <w:tc>
          <w:tcPr>
            <w:tcW w:w="327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5930" w:type="dxa"/>
            <w:tcBorders/>
            <w:vAlign w:val="center"/>
          </w:tcPr>
          <w:p>
            <w:pPr>
              <w:pStyle w:val="TableContents"/>
              <w:bidi w:val="0"/>
              <w:spacing w:before="0" w:after="283"/>
              <w:ind w:left="0" w:right="0" w:firstLine="425"/>
              <w:jc w:val="left"/>
              <w:rPr>
                <w:sz w:val="4"/>
                <w:szCs w:val="4"/>
              </w:rPr>
            </w:pPr>
            <w:r>
              <w:rPr>
                <w:sz w:val="4"/>
                <w:szCs w:val="4"/>
              </w:rPr>
            </w:r>
          </w:p>
        </w:tc>
      </w:tr>
      <w:tr>
        <w:trPr/>
        <w:tc>
          <w:tcPr>
            <w:tcW w:w="3279" w:type="dxa"/>
            <w:tcBorders/>
            <w:tcMar>
              <w:top w:w="0" w:type="dxa"/>
              <w:left w:w="0" w:type="dxa"/>
              <w:bottom w:w="0" w:type="dxa"/>
              <w:right w:w="0" w:type="dxa"/>
            </w:tcMar>
            <w:vAlign w:val="center"/>
          </w:tcPr>
          <w:p>
            <w:pPr>
              <w:pStyle w:val="TableContents"/>
              <w:bidi w:val="0"/>
              <w:spacing w:before="0" w:after="120"/>
              <w:ind w:left="0" w:right="0" w:firstLine="425"/>
              <w:jc w:val="left"/>
              <w:rPr>
                <w:rFonts w:ascii="Times New Roman" w:hAnsi="Times New Roman"/>
                <w:sz w:val="24"/>
              </w:rPr>
            </w:pPr>
            <w:r>
              <w:rPr>
                <w:rFonts w:ascii="Calibri Light;sans-serif" w:hAnsi="Calibri Light;sans-serif"/>
                <w:color w:val="000000"/>
                <w:sz w:val="20"/>
              </w:rPr>
              <w:t>such individual or entity; provided that</w:t>
            </w:r>
            <w:r>
              <w:rPr>
                <w:rFonts w:ascii="Times New Roman" w:hAnsi="Times New Roman"/>
                <w:color w:val="000000"/>
                <w:sz w:val="24"/>
              </w:rPr>
              <w:t xml:space="preserve"> </w:t>
            </w:r>
            <w:r>
              <w:rPr>
                <w:rFonts w:ascii="Calibri Light;sans-serif" w:hAnsi="Calibri Light;sans-serif"/>
                <w:color w:val="000000"/>
                <w:sz w:val="20"/>
              </w:rPr>
              <w:br/>
            </w:r>
            <w:r>
              <w:rPr>
                <w:rFonts w:ascii="Times New Roman" w:hAnsi="Times New Roman"/>
                <w:color w:val="000000"/>
                <w:sz w:val="24"/>
              </w:rPr>
              <w:t> </w:t>
            </w:r>
          </w:p>
          <w:p>
            <w:pPr>
              <w:pStyle w:val="TableContents"/>
              <w:bidi w:val="0"/>
              <w:spacing w:before="0" w:after="120"/>
              <w:ind w:left="0" w:right="0" w:firstLine="425"/>
              <w:jc w:val="left"/>
              <w:rPr>
                <w:rFonts w:ascii="Times New Roman" w:hAnsi="Times New Roman"/>
                <w:sz w:val="20"/>
              </w:rPr>
            </w:pPr>
            <w:r>
              <w:rPr>
                <w:rFonts w:ascii="Calibri Light;sans-serif" w:hAnsi="Calibri Light;sans-serif"/>
                <w:color w:val="000000"/>
                <w:sz w:val="20"/>
              </w:rPr>
              <w:t xml:space="preserve">(i) a beneficial owner of a security includes any person who, directly or indirectly, through any contract, arrangement, understanding, relationship, or otherwise alone or together with other such persons has or shares: </w:t>
              <w:br/>
            </w:r>
            <w:r>
              <w:rPr>
                <w:rFonts w:ascii="Times New Roman" w:hAnsi="Times New Roman"/>
                <w:color w:val="000000"/>
                <w:sz w:val="20"/>
              </w:rPr>
              <w:t> </w:t>
            </w:r>
          </w:p>
          <w:p>
            <w:pPr>
              <w:pStyle w:val="TableContents"/>
              <w:bidi w:val="0"/>
              <w:spacing w:before="0" w:after="120"/>
              <w:ind w:left="0" w:right="0" w:firstLine="425"/>
              <w:jc w:val="left"/>
              <w:rPr>
                <w:rFonts w:ascii="Times New Roman" w:hAnsi="Times New Roman"/>
                <w:sz w:val="24"/>
              </w:rPr>
            </w:pPr>
            <w:r>
              <w:rPr>
                <w:rFonts w:ascii="Calibri Light;sans-serif" w:hAnsi="Calibri Light;sans-serif"/>
                <w:color w:val="000000"/>
                <w:sz w:val="20"/>
              </w:rPr>
              <w:t>(1) voting power which includes the power to vote, or to direct the voting of, such security; and/or</w:t>
            </w:r>
            <w:r>
              <w:rPr>
                <w:rFonts w:ascii="Times New Roman" w:hAnsi="Times New Roman"/>
                <w:color w:val="000000"/>
                <w:sz w:val="24"/>
              </w:rPr>
              <w:t xml:space="preserve"> </w:t>
            </w:r>
            <w:r>
              <w:rPr>
                <w:rFonts w:ascii="Calibri Light;sans-serif" w:hAnsi="Calibri Light;sans-serif"/>
                <w:color w:val="000000"/>
                <w:sz w:val="24"/>
              </w:rPr>
              <w:br/>
            </w:r>
            <w:r>
              <w:rPr>
                <w:rFonts w:ascii="Times New Roman" w:hAnsi="Times New Roman"/>
                <w:color w:val="000000"/>
                <w:sz w:val="24"/>
              </w:rPr>
              <w:t> </w:t>
            </w:r>
          </w:p>
          <w:p>
            <w:pPr>
              <w:pStyle w:val="TableContents"/>
              <w:bidi w:val="0"/>
              <w:spacing w:before="0" w:after="120"/>
              <w:ind w:left="0" w:right="0" w:firstLine="425"/>
              <w:jc w:val="left"/>
              <w:rPr>
                <w:rFonts w:ascii="Times New Roman" w:hAnsi="Times New Roman"/>
                <w:sz w:val="24"/>
              </w:rPr>
            </w:pPr>
            <w:r>
              <w:rPr>
                <w:rFonts w:ascii="Calibri Light;sans-serif" w:hAnsi="Calibri Light;sans-serif"/>
                <w:color w:val="000000"/>
                <w:sz w:val="20"/>
              </w:rPr>
              <w:t>(2) investment power which includes the power to dispose, or to direct the disposition of, such security.</w:t>
            </w:r>
            <w:r>
              <w:rPr>
                <w:rFonts w:ascii="Times New Roman" w:hAnsi="Times New Roman"/>
                <w:color w:val="000000"/>
                <w:sz w:val="24"/>
              </w:rPr>
              <w:t xml:space="preserve"> </w:t>
            </w:r>
            <w:r>
              <w:rPr>
                <w:rFonts w:ascii="Calibri Light;sans-serif" w:hAnsi="Calibri Light;sans-serif"/>
                <w:color w:val="000000"/>
                <w:sz w:val="24"/>
              </w:rPr>
              <w:br/>
            </w:r>
            <w:r>
              <w:rPr>
                <w:rFonts w:ascii="Times New Roman" w:hAnsi="Times New Roman"/>
                <w:color w:val="000000"/>
                <w:sz w:val="24"/>
              </w:rPr>
              <w:t> </w:t>
            </w:r>
          </w:p>
          <w:p>
            <w:pPr>
              <w:pStyle w:val="TableContents"/>
              <w:bidi w:val="0"/>
              <w:spacing w:before="0" w:after="120"/>
              <w:ind w:left="0" w:right="0" w:firstLine="425"/>
              <w:jc w:val="left"/>
              <w:rPr>
                <w:rFonts w:ascii="Times New Roman" w:hAnsi="Times New Roman"/>
                <w:sz w:val="24"/>
              </w:rPr>
            </w:pPr>
            <w:r>
              <w:rPr>
                <w:rFonts w:ascii="Calibri Light;sans-serif" w:hAnsi="Calibri Light;sans-serif"/>
                <w:color w:val="000000"/>
                <w:sz w:val="20"/>
              </w:rPr>
              <w:t xml:space="preserve">(ii) 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 </w:t>
            </w:r>
            <w:r>
              <w:rPr>
                <w:rFonts w:ascii="Calibri Light;sans-serif" w:hAnsi="Calibri Light;sans-serif"/>
                <w:color w:val="000000"/>
                <w:sz w:val="24"/>
              </w:rPr>
              <w:br/>
            </w:r>
            <w:r>
              <w:rPr>
                <w:rFonts w:ascii="Times New Roman" w:hAnsi="Times New Roman"/>
                <w:color w:val="000000"/>
                <w:sz w:val="24"/>
              </w:rPr>
              <w:t> </w:t>
            </w:r>
          </w:p>
          <w:p>
            <w:pPr>
              <w:pStyle w:val="TableContents"/>
              <w:bidi w:val="0"/>
              <w:spacing w:before="0" w:after="283"/>
              <w:ind w:left="0" w:right="0" w:firstLine="425"/>
              <w:jc w:val="left"/>
              <w:rPr>
                <w:rFonts w:ascii="Times New Roman" w:hAnsi="Times New Roman"/>
                <w:sz w:val="20"/>
              </w:rPr>
            </w:pPr>
            <w:r>
              <w:rPr>
                <w:rFonts w:ascii="Calibri Light;sans-serif" w:hAnsi="Calibri Light;sans-serif"/>
                <w:color w:val="000000"/>
                <w:sz w:val="20"/>
              </w:rPr>
              <w:t>(iii) A person shall be deemed to be the beneficial owner of shares if that person has the right to acquire beneficial ownership of</w:t>
            </w:r>
            <w:r>
              <w:rPr>
                <w:rFonts w:ascii="Times New Roman" w:hAnsi="Times New Roman"/>
                <w:color w:val="000000"/>
                <w:sz w:val="20"/>
              </w:rPr>
              <w:t xml:space="preserve"> </w:t>
            </w:r>
          </w:p>
        </w:tc>
        <w:tc>
          <w:tcPr>
            <w:tcW w:w="996" w:type="dxa"/>
            <w:tcBorders/>
            <w:tcMar>
              <w:top w:w="0" w:type="dxa"/>
              <w:left w:w="0" w:type="dxa"/>
              <w:bottom w:w="0" w:type="dxa"/>
              <w:right w:w="0" w:type="dxa"/>
            </w:tcMar>
            <w:vAlign w:val="center"/>
          </w:tcPr>
          <w:p>
            <w:pPr>
              <w:pStyle w:val="TableContents"/>
              <w:bidi w:val="0"/>
              <w:spacing w:before="0" w:after="283"/>
              <w:ind w:left="0" w:right="0" w:firstLine="850"/>
              <w:jc w:val="left"/>
              <w:rPr/>
            </w:pPr>
            <w:r>
              <w:rPr/>
              <w:t> </w:t>
            </w:r>
          </w:p>
        </w:tc>
        <w:tc>
          <w:tcPr>
            <w:tcW w:w="5930" w:type="dxa"/>
            <w:tcBorders/>
            <w:tcMar>
              <w:top w:w="0" w:type="dxa"/>
              <w:left w:w="0" w:type="dxa"/>
              <w:bottom w:w="0" w:type="dxa"/>
              <w:right w:w="0" w:type="dxa"/>
            </w:tcMar>
            <w:vAlign w:val="center"/>
          </w:tcPr>
          <w:p>
            <w:pPr>
              <w:pStyle w:val="TableContents"/>
              <w:bidi w:val="0"/>
              <w:spacing w:before="0" w:after="120"/>
              <w:ind w:left="0" w:right="0" w:firstLine="850"/>
              <w:jc w:val="both"/>
              <w:rPr>
                <w:rFonts w:ascii="Times New Roman" w:hAnsi="Times New Roman"/>
                <w:sz w:val="20"/>
              </w:rPr>
            </w:pPr>
            <w:r>
              <w:rPr>
                <w:rFonts w:ascii="Calibri Light;sans-serif" w:hAnsi="Calibri Light;sans-serif"/>
                <w:color w:val="000000"/>
                <w:sz w:val="20"/>
              </w:rPr>
              <w:t>anderweitig allein oder mit anderen Personen gemeinsam hat oder teilt:</w:t>
            </w:r>
            <w:r>
              <w:rPr>
                <w:rFonts w:ascii="Times New Roman" w:hAnsi="Times New Roman"/>
                <w:color w:val="000000"/>
                <w:sz w:val="20"/>
              </w:rPr>
              <w:t xml:space="preserve"> </w:t>
            </w:r>
          </w:p>
          <w:p>
            <w:pPr>
              <w:pStyle w:val="TableContents"/>
              <w:bidi w:val="0"/>
              <w:spacing w:before="0" w:after="120"/>
              <w:ind w:left="0" w:right="0" w:firstLine="850"/>
              <w:jc w:val="both"/>
              <w:rPr>
                <w:rFonts w:ascii="Times New Roman" w:hAnsi="Times New Roman"/>
                <w:sz w:val="20"/>
              </w:rPr>
            </w:pPr>
            <w:r>
              <w:rPr>
                <w:rFonts w:ascii="Calibri Light;sans-serif" w:hAnsi="Calibri Light;sans-serif"/>
                <w:color w:val="000000"/>
                <w:sz w:val="20"/>
              </w:rPr>
              <w:t>(1) das Stimmrecht, welches das Recht zur Stimmabgabe, oder zur Leitung der Stimme eines solchen Wertpapiers umfasst; und/oder</w:t>
            </w:r>
            <w:r>
              <w:rPr>
                <w:rFonts w:ascii="Times New Roman" w:hAnsi="Times New Roman"/>
                <w:color w:val="000000"/>
                <w:sz w:val="20"/>
              </w:rPr>
              <w:t xml:space="preserve"> </w:t>
            </w:r>
          </w:p>
          <w:p>
            <w:pPr>
              <w:pStyle w:val="TableContents"/>
              <w:bidi w:val="0"/>
              <w:spacing w:before="0" w:after="120"/>
              <w:ind w:left="0" w:right="0" w:firstLine="850"/>
              <w:jc w:val="both"/>
              <w:rPr>
                <w:rFonts w:ascii="Times New Roman" w:hAnsi="Times New Roman"/>
                <w:sz w:val="20"/>
              </w:rPr>
            </w:pPr>
            <w:r>
              <w:rPr>
                <w:rFonts w:ascii="Calibri Light;sans-serif" w:hAnsi="Calibri Light;sans-serif"/>
                <w:color w:val="000000"/>
                <w:sz w:val="20"/>
              </w:rPr>
              <w:t>(2) das Investitionsrecht, welches die Verfügungsmacht oder ein Recht zur Bestimmung über die Verfügung eines solchen Wertpapiers umfasst.</w:t>
            </w:r>
            <w:r>
              <w:rPr>
                <w:rFonts w:ascii="Times New Roman" w:hAnsi="Times New Roman"/>
                <w:color w:val="000000"/>
                <w:sz w:val="20"/>
              </w:rPr>
              <w:t xml:space="preserve"> </w:t>
            </w:r>
          </w:p>
          <w:p>
            <w:pPr>
              <w:pStyle w:val="TableContents"/>
              <w:bidi w:val="0"/>
              <w:spacing w:before="0" w:after="120"/>
              <w:ind w:left="0" w:right="0" w:firstLine="850"/>
              <w:jc w:val="both"/>
              <w:rPr>
                <w:rFonts w:ascii="Times New Roman" w:hAnsi="Times New Roman"/>
                <w:sz w:val="20"/>
              </w:rPr>
            </w:pPr>
            <w:r>
              <w:rPr>
                <w:rFonts w:ascii="Calibri Light;sans-serif" w:hAnsi="Calibri Light;sans-serif"/>
                <w:color w:val="000000"/>
                <w:sz w:val="20"/>
              </w:rPr>
              <w:t>(ii) Jede Person, die, direkt oder indirekt, einen Trust, Stellvertretung, Vollmacht, Pooling-Vertrag oder jede andere Form von Vertrag, mit dem Zweck oder Ziel schafft oder benutzt, um eine Person von ihren wirtschaftlichen Begünstigungen aus dem Eigentum an den Aktien der Gesellschaft zu entheben oder zur Verhinderung der Ausübung eines solchen begünstigenden Eigentums als Teil eines Plans oder Vorhabens zur Umgehung der Regelungen in diesen Statuten, soll als begünstigter Eigentümer solcher Aktien gesehen werden.</w:t>
            </w:r>
            <w:r>
              <w:rPr>
                <w:rFonts w:ascii="Times New Roman" w:hAnsi="Times New Roman"/>
                <w:color w:val="000000"/>
                <w:sz w:val="20"/>
              </w:rPr>
              <w:t xml:space="preserve"> </w:t>
            </w:r>
          </w:p>
          <w:p>
            <w:pPr>
              <w:pStyle w:val="TableContents"/>
              <w:bidi w:val="0"/>
              <w:spacing w:before="0" w:after="120"/>
              <w:ind w:left="0" w:right="0" w:firstLine="850"/>
              <w:jc w:val="both"/>
              <w:rPr>
                <w:rFonts w:ascii="Calibri Light;sans-serif" w:hAnsi="Calibri Light;sans-serif"/>
                <w:color w:val="000000"/>
                <w:sz w:val="20"/>
              </w:rPr>
            </w:pPr>
            <w:r>
              <w:rPr>
                <w:rFonts w:ascii="Calibri Light;sans-serif" w:hAnsi="Calibri Light;sans-serif"/>
                <w:color w:val="000000"/>
                <w:sz w:val="20"/>
              </w:rPr>
              <w:t>(iii) Eine Person soll als begünstigter Eigentümer von Aktien eingestuft werden, wenn diese Person das Recht hat, ein begünstigendes Eigentum an solchen Aktien innerhalb von 60 Tagen zu erwerben, inklusive, aber nicht beschränkt auf jegliches erworbenes Recht: (A) durch die Ausübung jeglicher Option, jedes Bezugsrechts oder sonstigen Rechts; (B) durch die Umwandlung eines Wertpapiers; (C) aufgrund der Befugnis, einen Trust, ein Vermögensverwaltungskonto oder ähnliche Verhältnisse zu widerrufen oder (D) in Zusammenhang mit der automatischen Auflösung eines Trusts, Vermögensverwaltungskontos oder eines ähnlichen Verhältnisses.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13</w:t>
      </w:r>
    </w:p>
    <w:tbl>
      <w:tblPr>
        <w:tblW w:w="10205" w:type="dxa"/>
        <w:jc w:val="left"/>
        <w:tblInd w:w="0" w:type="dxa"/>
        <w:tblLayout w:type="fixed"/>
        <w:tblCellMar>
          <w:top w:w="28" w:type="dxa"/>
          <w:left w:w="28" w:type="dxa"/>
          <w:bottom w:w="28" w:type="dxa"/>
          <w:right w:w="28" w:type="dxa"/>
        </w:tblCellMar>
      </w:tblPr>
      <w:tblGrid>
        <w:gridCol w:w="4112"/>
        <w:gridCol w:w="1608"/>
        <w:gridCol w:w="4485"/>
      </w:tblGrid>
      <w:tr>
        <w:trPr/>
        <w:tc>
          <w:tcPr>
            <w:tcW w:w="411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485" w:type="dxa"/>
            <w:tcBorders/>
            <w:vAlign w:val="center"/>
          </w:tcPr>
          <w:p>
            <w:pPr>
              <w:pStyle w:val="TableContents"/>
              <w:bidi w:val="0"/>
              <w:spacing w:before="0" w:after="283"/>
              <w:ind w:left="0" w:right="0" w:firstLine="850"/>
              <w:jc w:val="left"/>
              <w:rPr>
                <w:sz w:val="4"/>
                <w:szCs w:val="4"/>
              </w:rPr>
            </w:pPr>
            <w:r>
              <w:rPr>
                <w:sz w:val="4"/>
                <w:szCs w:val="4"/>
              </w:rPr>
            </w:r>
          </w:p>
        </w:tc>
      </w:tr>
      <w:tr>
        <w:trPr/>
        <w:tc>
          <w:tcPr>
            <w:tcW w:w="4112" w:type="dxa"/>
            <w:tcBorders/>
            <w:tcMar>
              <w:top w:w="0" w:type="dxa"/>
              <w:left w:w="0" w:type="dxa"/>
              <w:bottom w:w="0" w:type="dxa"/>
              <w:right w:w="0" w:type="dxa"/>
            </w:tcMar>
            <w:vAlign w:val="center"/>
          </w:tcPr>
          <w:p>
            <w:pPr>
              <w:pStyle w:val="TableContents"/>
              <w:bidi w:val="0"/>
              <w:spacing w:before="0" w:after="120"/>
              <w:ind w:left="0" w:right="0" w:firstLine="850"/>
              <w:jc w:val="left"/>
              <w:rPr>
                <w:rFonts w:ascii="Calibri Light;sans-serif" w:hAnsi="Calibri Light;sans-serif"/>
                <w:color w:val="000000"/>
                <w:sz w:val="20"/>
              </w:rPr>
            </w:pPr>
            <w:r>
              <w:rPr>
                <w:rFonts w:ascii="Calibri Light;sans-serif" w:hAnsi="Calibri Light;sans-serif"/>
                <w:color w:val="000000"/>
                <w:sz w:val="20"/>
              </w:rPr>
              <w:t>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4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limit of 15%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15% shall be entered in the share register as shares without voting rights.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48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Grenze von 15% des eingetragenen Aktienkapitals gilt auch für zur Zeichnung von, oder Akquisition von Namenaktien durch Ausübung einer Option oder umwandelbaren Rechte, welche aus Namen- oder Inhaberaktien hervor gehen oder jeder anderen von der Gesellschaft oder Dritten ausgegebenen Sicherheit, sowie durch die Ausübung von erworbenen Vorkaufsrechten, welche entweder aus Namen- oder Inhaberaktien hervorgehen. Die Namenaktien, welche die Grenze von 15% übersteigen, sind im Aktienbuch als Aktien ohne Stimmrecht einzutragen.</w:t>
            </w:r>
          </w:p>
        </w:tc>
      </w:tr>
      <w:tr>
        <w:trPr/>
        <w:tc>
          <w:tcPr>
            <w:tcW w:w="411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485"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Verwaltungsrat kann in besonderen Fällen Ausnahmen zu den oben genannten Regelungen genehmigen. Der Verwaltungsrat ist zusätzlich berechtigt, nach angemessener Anhörung der betreffenden Person, Einträge ins Aktienbuch, welche aufgrund falscher Informationen erfolgten, rückwirkend zu löschen.</w:t>
            </w:r>
          </w:p>
        </w:tc>
      </w:tr>
      <w:tr>
        <w:trPr/>
        <w:tc>
          <w:tcPr>
            <w:tcW w:w="4112"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5 Reporting Obligation of the Shareholder and Register of Beneficial Owners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48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5 Meldepflicht des Aktionärs und Verzeichnis der wirtschaftlich berechtigten Personen</w:t>
            </w:r>
          </w:p>
        </w:tc>
      </w:tr>
      <w:tr>
        <w:trPr/>
        <w:tc>
          <w:tcPr>
            <w:tcW w:w="411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Any person who, alone or in concert with third parties, acquires shares in the Company and thereby reaches or exceeds the threshold of 25% of the share capital or voting rights must notify the Company within one month of the first name, last</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48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Wer allein oder in gemeinsamer Absprache mit Dritten Aktien der Gesellschaft erwirbt und dadurch den Grenzwert von 25% des Aktienkapitals oder der Stimmrechte erreicht oder überschreitet, muss der Gesellschaft innert Monatsfrist den Vor- und den Nachnamen und die Adresse der natürlichen Person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14</w:t>
      </w:r>
    </w:p>
    <w:tbl>
      <w:tblPr>
        <w:tblW w:w="10205" w:type="dxa"/>
        <w:jc w:val="left"/>
        <w:tblInd w:w="0" w:type="dxa"/>
        <w:tblLayout w:type="fixed"/>
        <w:tblCellMar>
          <w:top w:w="28" w:type="dxa"/>
          <w:left w:w="28" w:type="dxa"/>
          <w:bottom w:w="28" w:type="dxa"/>
          <w:right w:w="28" w:type="dxa"/>
        </w:tblCellMar>
      </w:tblPr>
      <w:tblGrid>
        <w:gridCol w:w="4477"/>
        <w:gridCol w:w="251"/>
        <w:gridCol w:w="5477"/>
      </w:tblGrid>
      <w:tr>
        <w:trPr/>
        <w:tc>
          <w:tcPr>
            <w:tcW w:w="44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77" w:type="dxa"/>
            <w:tcBorders/>
            <w:vAlign w:val="center"/>
          </w:tcPr>
          <w:p>
            <w:pPr>
              <w:pStyle w:val="TableContents"/>
              <w:bidi w:val="0"/>
              <w:spacing w:before="0" w:after="283"/>
              <w:jc w:val="left"/>
              <w:rPr>
                <w:sz w:val="4"/>
                <w:szCs w:val="4"/>
              </w:rPr>
            </w:pPr>
            <w:r>
              <w:rPr>
                <w:sz w:val="4"/>
                <w:szCs w:val="4"/>
              </w:rPr>
            </w:r>
          </w:p>
        </w:tc>
      </w:tr>
      <w:tr>
        <w:trPr/>
        <w:tc>
          <w:tcPr>
            <w:tcW w:w="4477"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name and address of the natural person on whose behalf he is ultimately acting (beneficial owner).</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77"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melden, für die er letztendlich handelt (wirtschaftlich berechtigte Person).</w:t>
            </w:r>
          </w:p>
        </w:tc>
      </w:tr>
      <w:tr>
        <w:trPr/>
        <w:tc>
          <w:tcPr>
            <w:tcW w:w="4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 must notify the company within three months of any change in the first or last name or address of the beneficial owner.</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Aktionär muss der Gesellschaft innert drei Monaten jede Änderung des Vor- oder des Nachnamens oder der Adresse der wirtschaftlich berechtigten Person melden.</w:t>
            </w:r>
          </w:p>
        </w:tc>
      </w:tr>
      <w:tr>
        <w:trPr/>
        <w:tc>
          <w:tcPr>
            <w:tcW w:w="4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keep a register of the beneficial owners reported to the Company. This register contains the first and last name as well as the address of the beneficial owners. The register must be kept in such a way that it can be accessed in Switzerland at any time.</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führt ein Verzeichnis über die der Gesellschaft gemeldeten wirtschaftlich berechtigten Personen. Dieses Verzeichnis enthält den Vor- und den Nachnamen sowie die Adresse der wirtschaftlich berechtigten Personen. Das Verzeichnis muss so geführt werden, dass in der Schweiz jederzeit darauf zugegriffen werden kann.</w:t>
            </w:r>
          </w:p>
        </w:tc>
      </w:tr>
      <w:tr>
        <w:trPr/>
        <w:tc>
          <w:tcPr>
            <w:tcW w:w="4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As long as the shareholder has not fulfilled his reporting obligations, the membership rights associated with the shares whose acquisition must be reported shall be suspended. The property rights attached to such shares may only be exercised by the shareholder once he has complied with his notification obligations. If the shareholder fails to comply with his reporting obligations within one month after the acquisition of the shares, the property rights shall be forfeited. If the shareholder makes the notification at a later date, he may assert the property rights accruing as of that date. The Board of Directors shall ensure that no shareholders exercise their rights in breach of the reporting obligations.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Solange der Aktionär seinen Meldepflichten nicht nachgekommen ist, ruhen die Mitgliedschaftsrechte, die mit den Aktien verbunden sind, deren Erwerb gemeldet werden muss. Die Vermögensrechte, die mit solchen Aktien verbunden sind, kann der Aktionär erst geltend machen, wenn er seinen Meldepflichten nachgekommen ist. Kommt der Aktionär seinen Meldepflichten nicht innert eines Monats nach dem Erwerb der Aktien nach, so sind die Vermögensrechte verwirkt. Holt er die Meldung zu einem späteren Zeitpunkt nach, so kann er die ab diesem Zeitpunkt entstehenden Vermögensrechte geltend machen. Der Verwaltungsrat stellt sicher, dass keine Aktionäre unter Verletzung der Meldepflichten ihre Rechte ausüben.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15</w:t>
      </w:r>
    </w:p>
    <w:tbl>
      <w:tblPr>
        <w:tblW w:w="10205" w:type="dxa"/>
        <w:jc w:val="left"/>
        <w:tblInd w:w="0" w:type="dxa"/>
        <w:tblLayout w:type="fixed"/>
        <w:tblCellMar>
          <w:top w:w="28" w:type="dxa"/>
          <w:left w:w="28" w:type="dxa"/>
          <w:bottom w:w="28" w:type="dxa"/>
          <w:right w:w="28" w:type="dxa"/>
        </w:tblCellMar>
      </w:tblPr>
      <w:tblGrid>
        <w:gridCol w:w="3942"/>
        <w:gridCol w:w="1608"/>
        <w:gridCol w:w="4655"/>
      </w:tblGrid>
      <w:tr>
        <w:trPr/>
        <w:tc>
          <w:tcPr>
            <w:tcW w:w="394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ind w:left="0" w:right="0" w:firstLine="1355"/>
              <w:jc w:val="left"/>
              <w:rPr>
                <w:sz w:val="4"/>
                <w:szCs w:val="4"/>
              </w:rPr>
            </w:pPr>
            <w:r>
              <w:rPr>
                <w:sz w:val="4"/>
                <w:szCs w:val="4"/>
              </w:rPr>
            </w:r>
          </w:p>
        </w:tc>
      </w:tr>
      <w:tr>
        <w:trPr/>
        <w:tc>
          <w:tcPr>
            <w:tcW w:w="3942"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6 Share Certificates and Intermediated Securities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Company may issue its shares in any legally permissible form, namely in the form of individual certificates, global certificates, simple uncertificated securities pursuant to article 973c CO or registered uncertificated securities pursuant to article 973d CO and have them managed as intermediated securities.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6 Aktienzertifikate und Bucheffekten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Gesellschaft kann ihre Aktien in jeder gesetzlich zulässigen Form, namentlich in Form von Einzelurkunden, Globalurkunden, einfachen Wertrechten nach Artikel 973c OR oder Registerwertrechten nach Artikel 973d OR ausgeben und als Bucheffekten führen lassen.</w:t>
            </w:r>
          </w:p>
        </w:tc>
      </w:tr>
      <w:tr>
        <w:trPr/>
        <w:tc>
          <w:tcPr>
            <w:tcW w:w="394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Within the legal framework, the Company is free to convert its shares issued in one of these forms into another form at any time and without the consent of the shareholders, and to withdraw shares held as intermediated securities from the custody system. It shall bear the costs thereof.</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Gesellschaft steht es im Rahmen der gesetzlichen Vorgaben frei, ihre in einer dieser Formen ausgegebenen Aktien jederzeit und ohne Zustimmung der Aktionäre in eine andere Form umzuwandeln sowie als Bucheffekten geführte Aktien aus dem Verwahrungssystem zurückzuziehen. Sie trägt dafür die Kosten.</w:t>
            </w:r>
          </w:p>
        </w:tc>
      </w:tr>
      <w:tr>
        <w:trPr/>
        <w:tc>
          <w:tcPr>
            <w:tcW w:w="394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 shall not be entitled to the certification of membership rights in the form of physical securities or to the conversion of shares issued in a certain form into another form. However, the shareholder may at any time request the Company to issue a written confirmation of the shares held by him in accordance with the share register.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Aktionär hat keinen Anspruch auf wertpapiermässige Verbriefung der Mitgliedschaftsrechte oder auf Umwandlung von in bestimmter Form ausgegebenen Aktien in eine andere Form. Der Aktionär kann jedoch von der Gesellschaft jederzeit die Ausstellung einer schriftlichen Bescheinigung über die von ihm gemäss Aktienbuch gehaltenen Aktien verlangen.</w:t>
            </w:r>
          </w:p>
        </w:tc>
      </w:tr>
      <w:tr>
        <w:trPr/>
        <w:tc>
          <w:tcPr>
            <w:tcW w:w="394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transfer of simple uncertificated securities pursuant to article 973c CO and registered uncertificated securities pursuant to article 973d CO as well as the provision of security for such uncertificated securities shall be governed by the provisions of the CO.</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Übertragung von einfachen Wertrechten nach Artikel 973c OR und Registerwertrechten nach Artikel 973d OR sowie die Bestellung von Sicherheiten an diesen Wertrechten richten sich nach den Bestimmungen des OR.</w:t>
            </w:r>
          </w:p>
        </w:tc>
      </w:tr>
      <w:tr>
        <w:trPr/>
        <w:tc>
          <w:tcPr>
            <w:tcW w:w="394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transfer of intermediated securities and the provision of security for such intermediated securities shall be governed by the provisions of the Swiss Intermediated Securities Act.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Übertragung von Bucheffekten und die Bestellung von Sicherheiten an diesen Bucheffekten richten sich nach den Bestimmungen des Bucheffektengesetzes.</w:t>
            </w:r>
          </w:p>
        </w:tc>
      </w:tr>
      <w:tr>
        <w:trPr/>
        <w:tc>
          <w:tcPr>
            <w:tcW w:w="3942"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7 Exercise of Shareholders Rights</w:t>
            </w:r>
          </w:p>
        </w:tc>
        <w:tc>
          <w:tcPr>
            <w:tcW w:w="1608"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655"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7 Ausübung von Aktionärsrechten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16</w:t>
      </w:r>
    </w:p>
    <w:tbl>
      <w:tblPr>
        <w:tblW w:w="10205" w:type="dxa"/>
        <w:jc w:val="left"/>
        <w:tblInd w:w="0" w:type="dxa"/>
        <w:tblLayout w:type="fixed"/>
        <w:tblCellMar>
          <w:top w:w="28" w:type="dxa"/>
          <w:left w:w="28" w:type="dxa"/>
          <w:bottom w:w="28" w:type="dxa"/>
          <w:right w:w="28" w:type="dxa"/>
        </w:tblCellMar>
      </w:tblPr>
      <w:tblGrid>
        <w:gridCol w:w="3431"/>
        <w:gridCol w:w="1606"/>
        <w:gridCol w:w="5168"/>
      </w:tblGrid>
      <w:tr>
        <w:trPr/>
        <w:tc>
          <w:tcPr>
            <w:tcW w:w="343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168" w:type="dxa"/>
            <w:tcBorders/>
            <w:vAlign w:val="center"/>
          </w:tcPr>
          <w:p>
            <w:pPr>
              <w:pStyle w:val="TableContents"/>
              <w:bidi w:val="0"/>
              <w:spacing w:before="0" w:after="283"/>
              <w:jc w:val="left"/>
              <w:rPr>
                <w:sz w:val="4"/>
                <w:szCs w:val="4"/>
              </w:rPr>
            </w:pPr>
            <w:r>
              <w:rPr>
                <w:sz w:val="4"/>
                <w:szCs w:val="4"/>
              </w:rPr>
            </w:r>
          </w:p>
        </w:tc>
      </w:tr>
      <w:tr>
        <w:trPr/>
        <w:tc>
          <w:tcPr>
            <w:tcW w:w="34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shares are indivisible and the Company recognizes only one single representative per share.</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Aktien sind unteilbar und die Gesellschaft anerkennt nur einen einzigen Vertreter pro Aktie.</w:t>
            </w:r>
          </w:p>
        </w:tc>
      </w:tr>
      <w:tr>
        <w:trPr/>
        <w:tc>
          <w:tcPr>
            <w:tcW w:w="34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right to vote and the other rights pertaining to a registered share may only be exercised by a shareholder, an usufructuary or a nominee who is registered with the right to vote in the share register and by persons who are entitled by law to the voting rights of a share.</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168" w:type="dxa"/>
            <w:tcBorders/>
            <w:tcMar>
              <w:top w:w="0" w:type="dxa"/>
              <w:left w:w="0" w:type="dxa"/>
              <w:bottom w:w="0" w:type="dxa"/>
              <w:right w:w="0" w:type="dxa"/>
            </w:tcMar>
            <w:vAlign w:val="center"/>
          </w:tcPr>
          <w:p>
            <w:pPr>
              <w:pStyle w:val="TableContents"/>
              <w:bidi w:val="0"/>
              <w:spacing w:before="120" w:after="120"/>
              <w:ind w:left="0" w:right="0" w:firstLine="788"/>
              <w:jc w:val="left"/>
              <w:rPr>
                <w:rFonts w:ascii="Calibri Light;sans-serif" w:hAnsi="Calibri Light;sans-serif"/>
                <w:color w:val="000000"/>
                <w:sz w:val="20"/>
              </w:rPr>
            </w:pPr>
            <w:r>
              <w:rPr>
                <w:rFonts w:ascii="Calibri Light;sans-serif" w:hAnsi="Calibri Light;sans-serif"/>
                <w:color w:val="000000"/>
                <w:sz w:val="20"/>
              </w:rPr>
              <w:t>Das Stimmrecht und die anderen zu einer Namenaktien gehörenden Rechte dürfen nur von einem Aktionär, einem Nutzniesser oder Nominee, dessen Stimmrecht im Aktienregister eingetragen ist und von Personen, welchen kraft Gesetzes die Stimmrechte einer Aktie zustehen, ausgeübt werden.</w:t>
            </w:r>
          </w:p>
        </w:tc>
      </w:tr>
      <w:tr>
        <w:trPr/>
        <w:tc>
          <w:tcPr>
            <w:tcW w:w="343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III. Corporate structure</w:t>
            </w:r>
          </w:p>
        </w:tc>
        <w:tc>
          <w:tcPr>
            <w:tcW w:w="1606"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5168" w:type="dxa"/>
            <w:tcBorders/>
            <w:tcMar>
              <w:top w:w="0" w:type="dxa"/>
              <w:left w:w="0" w:type="dxa"/>
              <w:bottom w:w="0" w:type="dxa"/>
              <w:right w:w="0" w:type="dxa"/>
            </w:tcMar>
            <w:vAlign w:val="center"/>
          </w:tcPr>
          <w:p>
            <w:pPr>
              <w:pStyle w:val="Heading1"/>
              <w:bidi w:val="0"/>
              <w:spacing w:before="360" w:after="360"/>
              <w:ind w:left="0" w:right="0" w:firstLine="1355"/>
              <w:jc w:val="left"/>
              <w:rPr>
                <w:rFonts w:ascii="Calibri Light;sans-serif" w:hAnsi="Calibri Light;sans-serif"/>
                <w:caps/>
                <w:color w:val="000000"/>
                <w:sz w:val="20"/>
              </w:rPr>
            </w:pPr>
            <w:r>
              <w:rPr>
                <w:rFonts w:ascii="Calibri Light;sans-serif" w:hAnsi="Calibri Light;sans-serif"/>
                <w:caps/>
                <w:color w:val="000000"/>
                <w:sz w:val="20"/>
              </w:rPr>
              <w:t>III. Organisation der Gesellschaft</w:t>
            </w:r>
          </w:p>
        </w:tc>
      </w:tr>
      <w:tr>
        <w:trPr/>
        <w:tc>
          <w:tcPr>
            <w:tcW w:w="343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8 Corporate Bodies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corporate bodies are: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A. the General Meeting;</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B. the Board of Directors;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C. the Auditors.</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16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8 Gliederung</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Gesellschaftsorgane sind:</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A. die Generalversammlung;</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B. der Verwaltungsrat;</w:t>
            </w:r>
          </w:p>
          <w:p>
            <w:pPr>
              <w:pStyle w:val="TableContents"/>
              <w:bidi w:val="0"/>
              <w:spacing w:before="0" w:after="120"/>
              <w:ind w:left="0" w:right="0" w:firstLine="788"/>
              <w:jc w:val="left"/>
              <w:rPr>
                <w:rFonts w:ascii="Calibri Light;sans-serif" w:hAnsi="Calibri Light;sans-serif"/>
                <w:color w:val="000000"/>
                <w:sz w:val="20"/>
              </w:rPr>
            </w:pPr>
            <w:r>
              <w:rPr>
                <w:rFonts w:ascii="Calibri Light;sans-serif" w:hAnsi="Calibri Light;sans-serif"/>
                <w:color w:val="000000"/>
                <w:sz w:val="20"/>
              </w:rPr>
              <w:t>C. die Revisionsstelle.</w:t>
            </w:r>
          </w:p>
        </w:tc>
      </w:tr>
      <w:tr>
        <w:trPr/>
        <w:tc>
          <w:tcPr>
            <w:tcW w:w="343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IV. General Meeting</w:t>
            </w:r>
          </w:p>
        </w:tc>
        <w:tc>
          <w:tcPr>
            <w:tcW w:w="1606"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5168" w:type="dxa"/>
            <w:tcBorders/>
            <w:tcMar>
              <w:top w:w="0" w:type="dxa"/>
              <w:left w:w="0" w:type="dxa"/>
              <w:bottom w:w="0" w:type="dxa"/>
              <w:right w:w="0" w:type="dxa"/>
            </w:tcMar>
            <w:vAlign w:val="center"/>
          </w:tcPr>
          <w:p>
            <w:pPr>
              <w:pStyle w:val="Heading1"/>
              <w:bidi w:val="0"/>
              <w:spacing w:before="360" w:after="360"/>
              <w:ind w:left="0" w:right="0" w:firstLine="1355"/>
              <w:jc w:val="left"/>
              <w:rPr>
                <w:rFonts w:ascii="Calibri Light;sans-serif" w:hAnsi="Calibri Light;sans-serif"/>
                <w:caps/>
                <w:color w:val="000000"/>
                <w:sz w:val="20"/>
              </w:rPr>
            </w:pPr>
            <w:r>
              <w:rPr>
                <w:rFonts w:ascii="Calibri Light;sans-serif" w:hAnsi="Calibri Light;sans-serif"/>
                <w:caps/>
                <w:color w:val="000000"/>
                <w:sz w:val="20"/>
              </w:rPr>
              <w:t>IV. Generalversammlung</w:t>
            </w:r>
          </w:p>
        </w:tc>
      </w:tr>
      <w:tr>
        <w:trPr/>
        <w:tc>
          <w:tcPr>
            <w:tcW w:w="343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9 Powers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General Meeting is the supreme body of the Company. It has the following non delegable powers:</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adopt and amend the articles of association (articles 652g, 653g und 653i CO remain reserved);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pPr>
            <w:r>
              <w:rPr>
                <w:rFonts w:ascii="Calibri Light;sans-serif" w:hAnsi="Calibri Light;sans-serif"/>
                <w:color w:val="000000"/>
                <w:sz w:val="20"/>
              </w:rPr>
              <w:t xml:space="preserve">to elect and remove the members of the Board of Directors, the Chairman of the Board of Directors, the members of the Compensation Committee, the Auditors and the Independent Proxy; </w:t>
              <w:br/>
            </w:r>
            <w:r>
              <w:rPr>
                <w:color w:val="000000"/>
              </w:rPr>
              <w:t> </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to approve the management report and the annual accounts and to determine the allocation of profits, in </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168"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Artikel 9 Befugnisse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Oberstes Organ der Gesellschaft ist die Generalversammlung. Ihr stehen folgende unübertragbare Befugnisse zu:</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Festsetzung und Änderung der Statuten (Artikel 652g, 653g und 653i OR bleiben vorbehalten);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Wahl und Abberufung der Mitglieder des Verwaltungsrats, des Präsidenten des Verwaltungsrats, der Mitglieder des Vergütungsausschusses, der Revisionsstelle und des unabhängigen Stimmrechtsvertreters;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Genehmigung des Lageberichts und der Jahresrechnung sowie Beschlussfassung über die Verwendung des Bilanzgewinnes,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17</w:t>
      </w:r>
    </w:p>
    <w:tbl>
      <w:tblPr>
        <w:tblW w:w="10205" w:type="dxa"/>
        <w:jc w:val="left"/>
        <w:tblInd w:w="0" w:type="dxa"/>
        <w:tblLayout w:type="fixed"/>
        <w:tblCellMar>
          <w:top w:w="28" w:type="dxa"/>
          <w:left w:w="28" w:type="dxa"/>
          <w:bottom w:w="28" w:type="dxa"/>
          <w:right w:w="28" w:type="dxa"/>
        </w:tblCellMar>
      </w:tblPr>
      <w:tblGrid>
        <w:gridCol w:w="3664"/>
        <w:gridCol w:w="1608"/>
        <w:gridCol w:w="4933"/>
      </w:tblGrid>
      <w:tr>
        <w:trPr/>
        <w:tc>
          <w:tcPr>
            <w:tcW w:w="366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33"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664"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particular with regard to dividends and bonus payments;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 xml:space="preserve">to determine the interim dividend and the approval of the required interim financial statements;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make a resolution on the repayment of the statutory capital reserve;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discharge the members of the Board of Directors and of the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pPr>
            <w:r>
              <w:rPr>
                <w:rFonts w:ascii="Calibri Light;sans-serif" w:hAnsi="Calibri Light;sans-serif"/>
                <w:color w:val="000000"/>
                <w:sz w:val="20"/>
              </w:rPr>
              <w:t xml:space="preserve">delisting of the Company's equity securities;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approve the total compensation paid to the Board of Directors and the Executive Committee as per article 34 and article 35 below;</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pass resolutions concerning all matters which are reserved to the authority of the General Meeting by law or by the articles of association.</w:t>
            </w:r>
          </w:p>
        </w:tc>
        <w:tc>
          <w:tcPr>
            <w:tcW w:w="1608"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4933"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insbesondere die Festsetzung der Dividende und der Tantieme;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Festsetzung der Zwischendividende und Genehmigung des dafür erforderlichen Zwischenabschlusses;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Beschlussfassung über die Rückzahlung der gesetzlichen Kapitalreserve;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Entlastung der Mitglieder des Verwaltungsrates und der Geschäftsleitung;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Dekotierung der Beteiligungspapiere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Genehmigung der Gesamtvergütungen des Verwaltungsrats und der Geschäftsleitung nach Massgabe von Artikel 34 und Artikel 35 hiernach;</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Beschlussfassung über die Gegenstände, die der Generalversammlung durch das Gesetz oder die Statuten vorbehalten sind.</w:t>
            </w:r>
          </w:p>
        </w:tc>
      </w:tr>
      <w:tr>
        <w:trPr/>
        <w:tc>
          <w:tcPr>
            <w:tcW w:w="3664"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10 Ordinary General Meeting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Ordinary General Meeting shall be held annually within six months after the end of the business year at such time and at such location, which may be within or outside Switzerland, as determined by the Board of Directors.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3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10 Ordentliche Generalversammlung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ordentliche Generalversammlung findet jährlich innerhalb von sechs Monaten nach Abschluss des Geschäftsjahres statt, zum Zeitpunkt und an einem Ort, der innerhalb oder ausserhalb der Schweiz sein kann, gemäss Festlegung durch den Verwaltungsrat.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18</w:t>
      </w:r>
    </w:p>
    <w:tbl>
      <w:tblPr>
        <w:tblW w:w="10205" w:type="dxa"/>
        <w:jc w:val="left"/>
        <w:tblInd w:w="0" w:type="dxa"/>
        <w:tblLayout w:type="fixed"/>
        <w:tblCellMar>
          <w:top w:w="28" w:type="dxa"/>
          <w:left w:w="28" w:type="dxa"/>
          <w:bottom w:w="28" w:type="dxa"/>
          <w:right w:w="28" w:type="dxa"/>
        </w:tblCellMar>
      </w:tblPr>
      <w:tblGrid>
        <w:gridCol w:w="3868"/>
        <w:gridCol w:w="1608"/>
        <w:gridCol w:w="4729"/>
      </w:tblGrid>
      <w:tr>
        <w:trPr/>
        <w:tc>
          <w:tcPr>
            <w:tcW w:w="386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729" w:type="dxa"/>
            <w:tcBorders/>
            <w:vAlign w:val="center"/>
          </w:tcPr>
          <w:p>
            <w:pPr>
              <w:pStyle w:val="TableContents"/>
              <w:bidi w:val="0"/>
              <w:spacing w:before="0" w:after="283"/>
              <w:ind w:left="0" w:right="0" w:firstLine="1357"/>
              <w:jc w:val="left"/>
              <w:rPr>
                <w:sz w:val="4"/>
                <w:szCs w:val="4"/>
              </w:rPr>
            </w:pPr>
            <w:r>
              <w:rPr>
                <w:sz w:val="4"/>
                <w:szCs w:val="4"/>
              </w:rPr>
            </w:r>
          </w:p>
        </w:tc>
      </w:tr>
      <w:tr>
        <w:trPr/>
        <w:tc>
          <w:tcPr>
            <w:tcW w:w="3868"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Times New Roman" w:hAnsi="Times New Roman"/>
                <w:sz w:val="20"/>
              </w:rPr>
            </w:pPr>
            <w:r>
              <w:rPr>
                <w:rFonts w:ascii="Calibri Light;sans-serif" w:hAnsi="Calibri Light;sans-serif"/>
                <w:b/>
                <w:color w:val="000000"/>
                <w:sz w:val="20"/>
              </w:rPr>
              <w:t>Article 11 Extraordinary General Meeting</w:t>
              <w:br/>
            </w:r>
            <w:r>
              <w:rPr>
                <w:rFonts w:ascii="Times New Roman" w:hAnsi="Times New Roman"/>
                <w:color w:val="000000"/>
                <w:sz w:val="20"/>
              </w:rPr>
              <w:t> </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Extraordinary General Meetings may be called by resolution of the General Meeting, the Auditors or the Board of Directors, or by shareholders with voting powers, provided they represent at least 5% of the share capital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country where the Company's shares are primarily listed.</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29"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11 Ausserordentliche Generalversammlung</w:t>
            </w:r>
          </w:p>
          <w:p>
            <w:pPr>
              <w:pStyle w:val="TableContents"/>
              <w:bidi w:val="0"/>
              <w:spacing w:before="0" w:after="120"/>
              <w:ind w:left="0" w:right="0" w:firstLine="1418"/>
              <w:jc w:val="both"/>
              <w:rPr>
                <w:rFonts w:ascii="Times New Roman" w:hAnsi="Times New Roman"/>
                <w:sz w:val="20"/>
              </w:rPr>
            </w:pPr>
            <w:r>
              <w:rPr>
                <w:rFonts w:ascii="Calibri Light;sans-serif" w:hAnsi="Calibri Light;sans-serif"/>
                <w:color w:val="000000"/>
                <w:sz w:val="20"/>
              </w:rPr>
              <w:t>Ausserordentliche Generalversammlungen können einberufen werden durch Beschluss der ordentlichen Generalversammlung, durch die Revisionsstelle oder den Verwaltungsrat oder</w:t>
            </w:r>
            <w:r>
              <w:rPr>
                <w:rFonts w:ascii="Times New Roman" w:hAnsi="Times New Roman"/>
                <w:color w:val="222222"/>
                <w:sz w:val="20"/>
              </w:rPr>
              <w:t xml:space="preserve"> </w:t>
            </w:r>
            <w:r>
              <w:rPr>
                <w:rFonts w:ascii="Calibri Light;sans-serif" w:hAnsi="Calibri Light;sans-serif"/>
                <w:color w:val="000000"/>
                <w:sz w:val="20"/>
              </w:rPr>
              <w:t>durch stimmberechtigte Aktionäre, sofern sie mindestens 5% des Aktienkapitals erreichen und die Folgendes einreichen: (a)(1) einen unterschriebenen Antrag dieser Aktionäre, welcher die Traktanden angibt, die auf die Traktandenliste gesetzt werden, (2) die entsprechenden Anträge der Aktionäre und (3) den Nachweis der erforderlichen Beteiligung dieser Aktionäre aufgrund des Aktienregisters und (b) alle anderen Informationen, die für eine Vollmacht nach den Regeln des Landes, in welchem die Aktien des Unternehmens hauptsächlich eingetragen sind, erforderlich wären.</w:t>
            </w:r>
            <w:r>
              <w:rPr>
                <w:rFonts w:ascii="Times New Roman" w:hAnsi="Times New Roman"/>
                <w:color w:val="000000"/>
                <w:sz w:val="20"/>
              </w:rPr>
              <w:t xml:space="preserve"> </w:t>
            </w:r>
          </w:p>
        </w:tc>
      </w:tr>
      <w:tr>
        <w:trPr/>
        <w:tc>
          <w:tcPr>
            <w:tcW w:w="3868" w:type="dxa"/>
            <w:tcBorders/>
            <w:tcMar>
              <w:top w:w="0" w:type="dxa"/>
              <w:left w:w="0" w:type="dxa"/>
              <w:bottom w:w="0" w:type="dxa"/>
              <w:right w:w="0" w:type="dxa"/>
            </w:tcMar>
            <w:vAlign w:val="center"/>
          </w:tcPr>
          <w:p>
            <w:pPr>
              <w:pStyle w:val="TableContents"/>
              <w:bidi w:val="0"/>
              <w:spacing w:before="120" w:after="120"/>
              <w:ind w:left="0" w:right="0" w:firstLine="1418"/>
              <w:jc w:val="both"/>
              <w:rPr>
                <w:rFonts w:ascii="Calibri Light;sans-serif" w:hAnsi="Calibri Light;sans-serif"/>
                <w:b/>
                <w:color w:val="000000"/>
                <w:sz w:val="20"/>
              </w:rPr>
            </w:pPr>
            <w:r>
              <w:rPr>
                <w:rFonts w:ascii="Calibri Light;sans-serif" w:hAnsi="Calibri Light;sans-serif"/>
                <w:b/>
                <w:color w:val="000000"/>
                <w:sz w:val="20"/>
              </w:rPr>
              <w:t>Article 12 Notice and Agenda of Shareholders' Meetings</w:t>
            </w:r>
          </w:p>
          <w:p>
            <w:pPr>
              <w:pStyle w:val="TableContents"/>
              <w:bidi w:val="0"/>
              <w:spacing w:before="0" w:after="120"/>
              <w:ind w:left="0" w:right="0" w:firstLine="1418"/>
              <w:jc w:val="left"/>
              <w:rPr>
                <w:rFonts w:ascii="Calibri Light;sans-serif" w:hAnsi="Calibri Light;sans-serif"/>
                <w:color w:val="000000"/>
                <w:sz w:val="20"/>
              </w:rPr>
            </w:pPr>
            <w:r>
              <w:rPr>
                <w:rFonts w:ascii="Calibri Light;sans-serif" w:hAnsi="Calibri Light;sans-serif"/>
                <w:color w:val="000000"/>
                <w:sz w:val="20"/>
              </w:rPr>
              <w:t>Notice of a General Meeting of Shareholders shall be given by the Board of Directors or, if necessary, by the Auditor, not later than 20 calendar days prior to the date of the General Meeting of Shareholders. Notice of the General Meeting of Shareholders shall be given by way of a one-time announcement in the official means of publication of the Company pursuant to article 48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29"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12 Mitteilung und Traktanden der Generalversammlung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Mitteilung einer Generalversammlung erfolgt durch den Verwaltungsrat oder gegebenenfalls durch die Revisionsstelle, spätestens 20 Kalendertage vor dem Datum der Generalversammlung. Die Mitteilung der Generalversammlung erfolgt durch eine einmalige Bekanntmachung in den amtlichen Publikationsmitteln der Gesellschaft gemäss Artikel 48 dieser Statuten. Die Frist gilt als eingehalten, wenn Ankündigung der Generalversammlung im offiziellen Publikationsmittel veröffentlicht wurde, wobei das Datum der Veröffentlichung nicht in die Mitteilungsfrist eingerechnet werden darf. Eingetragene Aktionäre können zusätzlich per Post oder E-Mail über die Generalversammlung informiert werden.</w:t>
            </w:r>
          </w:p>
        </w:tc>
      </w:tr>
      <w:tr>
        <w:trPr/>
        <w:tc>
          <w:tcPr>
            <w:tcW w:w="386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convocation of an extraordinary general meeting may also be requested in</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2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Einberufung einer ausserordentlichen Generalversammlung kann auch von einem oder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19</w:t>
      </w:r>
    </w:p>
    <w:tbl>
      <w:tblPr>
        <w:tblW w:w="10205" w:type="dxa"/>
        <w:jc w:val="left"/>
        <w:tblInd w:w="0" w:type="dxa"/>
        <w:tblLayout w:type="fixed"/>
        <w:tblCellMar>
          <w:top w:w="28" w:type="dxa"/>
          <w:left w:w="28" w:type="dxa"/>
          <w:bottom w:w="28" w:type="dxa"/>
          <w:right w:w="28" w:type="dxa"/>
        </w:tblCellMar>
      </w:tblPr>
      <w:tblGrid>
        <w:gridCol w:w="4011"/>
        <w:gridCol w:w="251"/>
        <w:gridCol w:w="5943"/>
      </w:tblGrid>
      <w:tr>
        <w:trPr/>
        <w:tc>
          <w:tcPr>
            <w:tcW w:w="40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left"/>
              <w:rPr>
                <w:sz w:val="4"/>
                <w:szCs w:val="4"/>
              </w:rPr>
            </w:pPr>
            <w:r>
              <w:rPr>
                <w:sz w:val="4"/>
                <w:szCs w:val="4"/>
              </w:rPr>
            </w:r>
          </w:p>
        </w:tc>
      </w:tr>
      <w:tr>
        <w:trPr/>
        <w:tc>
          <w:tcPr>
            <w:tcW w:w="401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writing, indicating the agenda items and the proposals and, in case of elections, the names of the nominated candidates, by one or more shareholders together representing at least 5% of the share capital or the voting rights.</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mehreren Aktionären, die zusammen mindestens 5% des Aktienkapitals oder der Stimmen vertreten, schriftlich unter Angabe des Verhandlungsgegenstandes und des Antrages, bei Wahlen der Namen der vorgeschlagenen Kandidaten, verlangt werden.</w:t>
            </w:r>
          </w:p>
        </w:tc>
      </w:tr>
      <w:tr>
        <w:trPr/>
        <w:tc>
          <w:tcPr>
            <w:tcW w:w="40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state the matters on the agenda.</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setzt die Verhandlungsgegenstände auf die Traktandenliste.</w:t>
            </w:r>
          </w:p>
        </w:tc>
      </w:tr>
      <w:tr>
        <w:trPr/>
        <w:tc>
          <w:tcPr>
            <w:tcW w:w="40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Mitteilung der Genrealversammlung hat die Traktanden und die Anträge des Verwaltungsrates und der Aktionäre, welche beantragt haben, dass eine Generalversammlung abgehalten werden oder ein Traktandum auf die Traktandenliste gesetzt werden soll zu enthalten sowie, im Falle von Wahlen, die Namen der Kandidaten, welche auf den Wahlzettel gesetzt wurden.</w:t>
            </w:r>
          </w:p>
        </w:tc>
      </w:tr>
      <w:tr>
        <w:trPr/>
        <w:tc>
          <w:tcPr>
            <w:tcW w:w="40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Shareholders, together representing more than 0.5% of the share capital or the voting rights, may demand that an item be placed on the agenda. Such request must be made in writing at least 70 days prior to the meeting by indicating the agenda items and the proposals.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Aktionäre, die zusammen mindestens über 0.5% des Aktienkapitals oder der Stimmen vertreten, können die Traktandierung eines Verhandlungsgegenstandes verlangen. Dies hat mindestens 70 Tage vor der Versammlung schriftlich unter Angabe der Verhandlungsgegenstände und Anträge zu erfolgen.</w:t>
            </w:r>
          </w:p>
        </w:tc>
      </w:tr>
      <w:tr>
        <w:trPr/>
        <w:tc>
          <w:tcPr>
            <w:tcW w:w="40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Each request for inclusion of an item on the agenda must include (i) a brief description of the business desired to be brought before the meeting and the reasons for conducting such business at the meeting; (ii) the name and address, as they appear on the Company's register of shareholders, of the shareholder 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 statement, any</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Jeder Antrag auf Aufnahme eines Traktandums hat zu enthalten: (i) eine kurze Zusammenfassung des Geschäfts, welches der Generalversammlung vorgelegt werden soll, sowie eine Begründung, weshalb an der Versammlung darüber entschieden werden soll; (ii) den Namen und die Adresse des Gesuchstellenden Aktionärs, wie sie im Aktienbuch der Gesellschaft eingetragen sind; (iii) die Anzahl Aktien der Gesellschaft, die in der wirtschaftlichen Berechtigung des Aktionärs stehen; (iv) die Daten, an denen der Aktionär seine Aktien erworben hat; (v) erforderliche Nachweise bei allfälligen Ansprüchen von wirtschaftlicher Berechtigung; (vi) jegliches materielle Interesse des Aktionärs im Zusammenhang mit diesem Geschäft; und (vii) eine Stellungnahme zum fraglichen Punkt und, für Anträge, welche der Aktionärsinformation durch die Gesellschaft beigefügt werden sollen, jede andere Information, welche die</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20</w:t>
      </w:r>
    </w:p>
    <w:tbl>
      <w:tblPr>
        <w:tblW w:w="10205" w:type="dxa"/>
        <w:jc w:val="left"/>
        <w:tblInd w:w="0" w:type="dxa"/>
        <w:tblLayout w:type="fixed"/>
        <w:tblCellMar>
          <w:top w:w="28" w:type="dxa"/>
          <w:left w:w="28" w:type="dxa"/>
          <w:bottom w:w="28" w:type="dxa"/>
          <w:right w:w="28" w:type="dxa"/>
        </w:tblCellMar>
      </w:tblPr>
      <w:tblGrid>
        <w:gridCol w:w="3501"/>
        <w:gridCol w:w="1669"/>
        <w:gridCol w:w="5035"/>
      </w:tblGrid>
      <w:tr>
        <w:trPr/>
        <w:tc>
          <w:tcPr>
            <w:tcW w:w="350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5035" w:type="dxa"/>
            <w:tcBorders/>
            <w:vAlign w:val="center"/>
          </w:tcPr>
          <w:p>
            <w:pPr>
              <w:pStyle w:val="TableContents"/>
              <w:bidi w:val="0"/>
              <w:spacing w:before="0" w:after="283"/>
              <w:jc w:val="left"/>
              <w:rPr>
                <w:sz w:val="4"/>
                <w:szCs w:val="4"/>
              </w:rPr>
            </w:pPr>
            <w:r>
              <w:rPr>
                <w:sz w:val="4"/>
                <w:szCs w:val="4"/>
              </w:rPr>
            </w:r>
          </w:p>
        </w:tc>
      </w:tr>
      <w:tr>
        <w:trPr/>
        <w:tc>
          <w:tcPr>
            <w:tcW w:w="350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other information required by Securities and Exchange Commission Rule "14a-8".</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503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Securities and Exchange Commission Rule "14a-8" verlangt.</w:t>
            </w:r>
          </w:p>
        </w:tc>
      </w:tr>
      <w:tr>
        <w:trPr/>
        <w:tc>
          <w:tcPr>
            <w:tcW w:w="35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In addition, if the shareholder intends to solicit proxies from the shareholders of the Company, such shareholder shall notify the Company of this intent in accordance with Securities and Exchange Commission Rule "14a-4" and/or Rule "14a-8".</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Für den Fall, dass ein Aktionär gedenkt, die Stimmrechtsvertretung von anderen Aktionären der Gesellschaft zu erlangen, hat dieser Aktionär die Gesellschaft über diese Absicht gemäss der Securities and Exchange Commission Rule "14a-4" und/oder Rule "14a-8" zu informieren.</w:t>
            </w:r>
          </w:p>
        </w:tc>
      </w:tr>
      <w:tr>
        <w:trPr/>
        <w:tc>
          <w:tcPr>
            <w:tcW w:w="35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No resolution may be passed at a General Meeting of Shareholders concerning an item in relation to which due notice was not given. Proposals made during a General Meeting of Shareholders to (i) convene a extraordinary General Meeting or (ii) initiate a special investigation in accordance with article 697a of the Swiss Code of Obligations are not subject to the due notice requirement set forth herein.</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An der Generalversammlung darf kein Beschluss über ein Traktandum getroffen werden, über den nicht mit entsprechender Vorlaufzeit informiert worden ist. Anträge, die während der Generalversammlung gestellt werden, führen zu (i) einer ausserordentlichen Generalversammlung oder (ii) einer speziellen Untersuchung gemäss Artikel 697a OR und unterliegen nicht der hierin geforderten Voraussetzung der rechtzeitigen Information.</w:t>
            </w:r>
          </w:p>
        </w:tc>
      </w:tr>
      <w:tr>
        <w:trPr/>
        <w:tc>
          <w:tcPr>
            <w:tcW w:w="35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No advance notice is required to propose motions on duly notified agenda items and to debate items without passing resolutions.</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Zur Stellung von Anträgen im Rahmen der Verhandlungsgegenstände und zu Verhandlungen ohne Beschlussfassung bedarf es keiner vorherigen Ankündigung.</w:t>
            </w:r>
          </w:p>
        </w:tc>
      </w:tr>
      <w:tr>
        <w:trPr/>
        <w:tc>
          <w:tcPr>
            <w:tcW w:w="350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13 Documentation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annual business report, the compensation report and the Auditor's report must be submitted for examination by the shareholders at the registered office of the Company at least 20 days prior to the date of the Ordinary General Meeting. Each shareholder may request that a copy of this documentation be sent to him promptly. Such reference shall be included in the invitation to the General Meeting.</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13 Unterlagen</w:t>
            </w:r>
          </w:p>
          <w:p>
            <w:pPr>
              <w:pStyle w:val="TableContents"/>
              <w:bidi w:val="0"/>
              <w:spacing w:before="0" w:after="120"/>
              <w:ind w:left="0" w:right="0" w:firstLine="1418"/>
              <w:jc w:val="left"/>
              <w:rPr>
                <w:rFonts w:ascii="Calibri Light;sans-serif" w:hAnsi="Calibri Light;sans-serif"/>
                <w:color w:val="000000"/>
                <w:sz w:val="20"/>
              </w:rPr>
            </w:pPr>
            <w:r>
              <w:rPr>
                <w:rFonts w:ascii="Calibri Light;sans-serif" w:hAnsi="Calibri Light;sans-serif"/>
                <w:color w:val="000000"/>
                <w:sz w:val="20"/>
              </w:rPr>
              <w:t>Spätestens zwanzig Tage vor der ordentlichen Generalversammlung sind der Geschäftsbericht, der Vergütungsbericht und der Revisionsbericht am Sitz der Gesellschaft zur Einsicht der Aktionäre aufzulegen. Jeder Aktionär kann verlangen, dass ihm unverzüglich eine Kopie dieser Unterlagen zugestellt wird. In der Einberufung zur Generalversammlung ist hierauf hinzuweisen.</w:t>
            </w:r>
          </w:p>
        </w:tc>
      </w:tr>
      <w:tr>
        <w:trPr/>
        <w:tc>
          <w:tcPr>
            <w:tcW w:w="3501" w:type="dxa"/>
            <w:tcBorders/>
            <w:tcMar>
              <w:top w:w="0" w:type="dxa"/>
              <w:left w:w="0" w:type="dxa"/>
              <w:bottom w:w="0" w:type="dxa"/>
              <w:right w:w="0" w:type="dxa"/>
            </w:tcMar>
            <w:vAlign w:val="center"/>
          </w:tcPr>
          <w:p>
            <w:pPr>
              <w:pStyle w:val="TableContents"/>
              <w:bidi w:val="0"/>
              <w:spacing w:before="120" w:after="120"/>
              <w:ind w:left="0" w:right="0" w:firstLine="1418"/>
              <w:jc w:val="both"/>
              <w:rPr>
                <w:rFonts w:ascii="Calibri Light;sans-serif" w:hAnsi="Calibri Light;sans-serif"/>
                <w:b/>
                <w:color w:val="000000"/>
                <w:sz w:val="20"/>
              </w:rPr>
            </w:pPr>
            <w:r>
              <w:rPr>
                <w:rFonts w:ascii="Calibri Light;sans-serif" w:hAnsi="Calibri Light;sans-serif"/>
                <w:b/>
                <w:color w:val="000000"/>
                <w:sz w:val="20"/>
              </w:rPr>
              <w:t>Article 14 Form of the General Meeting</w:t>
            </w:r>
          </w:p>
        </w:tc>
        <w:tc>
          <w:tcPr>
            <w:tcW w:w="1669" w:type="dxa"/>
            <w:tcBorders/>
            <w:tcMar>
              <w:top w:w="0" w:type="dxa"/>
              <w:left w:w="0" w:type="dxa"/>
              <w:bottom w:w="0" w:type="dxa"/>
              <w:right w:w="0" w:type="dxa"/>
            </w:tcMar>
            <w:vAlign w:val="center"/>
          </w:tcPr>
          <w:p>
            <w:pPr>
              <w:pStyle w:val="Heading1"/>
              <w:bidi w:val="0"/>
              <w:spacing w:before="120" w:after="120"/>
              <w:ind w:left="0" w:right="0" w:firstLine="1418"/>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ind w:left="0" w:right="0" w:firstLine="1418"/>
              <w:jc w:val="both"/>
              <w:rPr>
                <w:rFonts w:ascii="Calibri Light;sans-serif" w:hAnsi="Calibri Light;sans-serif"/>
                <w:b/>
                <w:color w:val="000000"/>
                <w:sz w:val="20"/>
              </w:rPr>
            </w:pPr>
            <w:r>
              <w:rPr>
                <w:rFonts w:ascii="Calibri Light;sans-serif" w:hAnsi="Calibri Light;sans-serif"/>
                <w:b/>
                <w:color w:val="000000"/>
                <w:sz w:val="20"/>
              </w:rPr>
              <w:t>Artikel 14 Form der Generalversammlung</w:t>
            </w:r>
          </w:p>
        </w:tc>
      </w:tr>
      <w:tr>
        <w:trPr/>
        <w:tc>
          <w:tcPr>
            <w:tcW w:w="35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determines the location of the General Meeting. It may be abroad.</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bestimmt den Ort der Generalversammlung. Er kann im Ausland liegen.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21</w:t>
      </w:r>
    </w:p>
    <w:tbl>
      <w:tblPr>
        <w:tblW w:w="10205" w:type="dxa"/>
        <w:jc w:val="left"/>
        <w:tblInd w:w="0" w:type="dxa"/>
        <w:tblLayout w:type="fixed"/>
        <w:tblCellMar>
          <w:top w:w="28" w:type="dxa"/>
          <w:left w:w="28" w:type="dxa"/>
          <w:bottom w:w="28" w:type="dxa"/>
          <w:right w:w="28" w:type="dxa"/>
        </w:tblCellMar>
      </w:tblPr>
      <w:tblGrid>
        <w:gridCol w:w="4401"/>
        <w:gridCol w:w="251"/>
        <w:gridCol w:w="5553"/>
      </w:tblGrid>
      <w:tr>
        <w:trPr/>
        <w:tc>
          <w:tcPr>
            <w:tcW w:w="440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3" w:type="dxa"/>
            <w:tcBorders/>
            <w:vAlign w:val="center"/>
          </w:tcPr>
          <w:p>
            <w:pPr>
              <w:pStyle w:val="TableContents"/>
              <w:bidi w:val="0"/>
              <w:spacing w:before="0" w:after="283"/>
              <w:jc w:val="left"/>
              <w:rPr>
                <w:sz w:val="4"/>
                <w:szCs w:val="4"/>
              </w:rPr>
            </w:pPr>
            <w:r>
              <w:rPr>
                <w:sz w:val="4"/>
                <w:szCs w:val="4"/>
              </w:rPr>
            </w:r>
          </w:p>
        </w:tc>
      </w:tr>
      <w:tr>
        <w:trPr/>
        <w:tc>
          <w:tcPr>
            <w:tcW w:w="44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may provide that shareholders who are not present at the venue of the General Meeting may exercise their rights electronically (hybrid General Meeting).</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5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kann vorsehen, dass Aktionäre, die nicht am Ort der Generalversammlung anwesend sind, ihre Rechte auf elektronischem Weg ausüben können (hybride Generalversammlung).</w:t>
            </w:r>
          </w:p>
        </w:tc>
      </w:tr>
      <w:tr>
        <w:trPr/>
        <w:tc>
          <w:tcPr>
            <w:tcW w:w="44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 General Meeting may be held by electronic means without a meeting place (Virtual General Meeting).</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5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Eine Generalversammlung kann mit elektronischen Mitteln ohne Tagungsort durchgeführt werden (virtuelle Generalversammlung).</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22</w:t>
      </w:r>
    </w:p>
    <w:tbl>
      <w:tblPr>
        <w:tblW w:w="10205" w:type="dxa"/>
        <w:jc w:val="left"/>
        <w:tblInd w:w="0" w:type="dxa"/>
        <w:tblLayout w:type="fixed"/>
        <w:tblCellMar>
          <w:top w:w="28" w:type="dxa"/>
          <w:left w:w="28" w:type="dxa"/>
          <w:bottom w:w="28" w:type="dxa"/>
          <w:right w:w="28" w:type="dxa"/>
        </w:tblCellMar>
      </w:tblPr>
      <w:tblGrid>
        <w:gridCol w:w="3695"/>
        <w:gridCol w:w="1608"/>
        <w:gridCol w:w="4902"/>
      </w:tblGrid>
      <w:tr>
        <w:trPr/>
        <w:tc>
          <w:tcPr>
            <w:tcW w:w="369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02" w:type="dxa"/>
            <w:tcBorders/>
            <w:vAlign w:val="center"/>
          </w:tcPr>
          <w:p>
            <w:pPr>
              <w:pStyle w:val="TableContents"/>
              <w:bidi w:val="0"/>
              <w:spacing w:before="0" w:after="283"/>
              <w:jc w:val="left"/>
              <w:rPr>
                <w:sz w:val="4"/>
                <w:szCs w:val="4"/>
              </w:rPr>
            </w:pPr>
            <w:r>
              <w:rPr>
                <w:sz w:val="4"/>
                <w:szCs w:val="4"/>
              </w:rPr>
            </w:r>
          </w:p>
        </w:tc>
      </w:tr>
      <w:tr>
        <w:trPr/>
        <w:tc>
          <w:tcPr>
            <w:tcW w:w="369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regulates the use of electronic means. It shall ensure that: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identity of the participants is established;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votes at the General Meeting are transmitted directly;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participant can submit motions and take part in the discussion;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voting results cannot be falsified.</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Der Verwaltungsrat regelt die Verwendung elektronischer Mittel. Er stellt sicher, dass: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Identität der Teilnehmer feststeht;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Voten in der Generalversammlung unmittelbar übertragen werden;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jeder Teilnehmer Anträge stellen und sich an der Diskussion beteiligen kann;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das Abstimmungsergebnis nicht verfälscht werden kann.</w:t>
            </w:r>
          </w:p>
        </w:tc>
      </w:tr>
      <w:tr>
        <w:trPr/>
        <w:tc>
          <w:tcPr>
            <w:tcW w:w="369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technical problems occur during a Virtual General Meeting so that the General Meeting cannot be held properly, it must be repeated. Resolutions passed by the General Meeting before the occurrence of the technical problems shall remain valid.</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Treten während einer Generalversammlung mit elektronischen Mitteln technische Probleme auf, sodass die Generalversammlung nicht ordnungsgemäss durchgeführt werden kann, so muss sie wiederholt werden. Beschlüsse, welche die Generalversammlung vor dem Auftreten der technischen Probleme gefasst hat, bleiben gültig.</w:t>
            </w:r>
          </w:p>
        </w:tc>
      </w:tr>
      <w:tr>
        <w:trPr/>
        <w:tc>
          <w:tcPr>
            <w:tcW w:w="369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15 Meeting of All Shareholders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15 Universalversammlung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Eigentümer oder Vertreter sämtlicher Aktien können, falls kein Widerspruch erhoben wird, eine Generalversammlung ohne Einhaltung der für die Einberufung vorgeschriebenen Formvorschriften abhalten (Universalversammlung). Solange die Eigentümer oder Vertreter sämtlicher Aktien anwesend sind, kann in dieser Versammlung über alle in den Geschäftskreis der Generalversammlung fallenden Gegenstände verhandelt und gültig Beschluss gefasst werden.</w:t>
            </w:r>
          </w:p>
        </w:tc>
      </w:tr>
      <w:tr>
        <w:trPr/>
        <w:tc>
          <w:tcPr>
            <w:tcW w:w="369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16 Chairman, Secretary, Scrutineers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Chairman of the Board of Directors shall preside over the General Meeting. In his absence, a member of the Board of Directors or another Chairman of the Meeting designated by the General Meeting shall preside.</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16 Vorsitz, Protokollführer, Stimmenzähler</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Den Vorsitz der Generalversammlung führt der Präsident, bei dessen Verhinderung ein anderes Mitglied des Verwaltungsrates oder ein anderer von der Generalversammlung gewählter Tagespräsident.</w:t>
            </w:r>
          </w:p>
        </w:tc>
      </w:tr>
      <w:tr>
        <w:trPr/>
        <w:tc>
          <w:tcPr>
            <w:tcW w:w="369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Chairman of the Meeting shall designate a Secretary and the scrutineers who need not be shareholders.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0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Vorsitzende bezeichnet den Protokollführer und die Stimmenzähler, die nicht Aktionäre zu sein brauchen.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23</w:t>
      </w:r>
    </w:p>
    <w:tbl>
      <w:tblPr>
        <w:tblW w:w="10205" w:type="dxa"/>
        <w:jc w:val="left"/>
        <w:tblInd w:w="0" w:type="dxa"/>
        <w:tblLayout w:type="fixed"/>
        <w:tblCellMar>
          <w:top w:w="28" w:type="dxa"/>
          <w:left w:w="28" w:type="dxa"/>
          <w:bottom w:w="28" w:type="dxa"/>
          <w:right w:w="28" w:type="dxa"/>
        </w:tblCellMar>
      </w:tblPr>
      <w:tblGrid>
        <w:gridCol w:w="3161"/>
        <w:gridCol w:w="1608"/>
        <w:gridCol w:w="5436"/>
      </w:tblGrid>
      <w:tr>
        <w:trPr/>
        <w:tc>
          <w:tcPr>
            <w:tcW w:w="316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5436" w:type="dxa"/>
            <w:tcBorders/>
            <w:vAlign w:val="center"/>
          </w:tcPr>
          <w:p>
            <w:pPr>
              <w:pStyle w:val="TableContents"/>
              <w:bidi w:val="0"/>
              <w:spacing w:before="0" w:after="283"/>
              <w:jc w:val="left"/>
              <w:rPr>
                <w:sz w:val="4"/>
                <w:szCs w:val="4"/>
              </w:rPr>
            </w:pPr>
            <w:r>
              <w:rPr>
                <w:sz w:val="4"/>
                <w:szCs w:val="4"/>
              </w:rPr>
            </w:r>
          </w:p>
        </w:tc>
      </w:tr>
      <w:tr>
        <w:trPr/>
        <w:tc>
          <w:tcPr>
            <w:tcW w:w="316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Chairman shall have all powers and authority necessary to ensure the orderly conduct of the General Meeting.</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Vorsitzende hat sämtliche Leitungsbefugnisse, die für die ordnungsgemässe Durchführung der Generalversammlung nötig sind.</w:t>
            </w:r>
          </w:p>
        </w:tc>
      </w:tr>
      <w:tr>
        <w:trPr/>
        <w:tc>
          <w:tcPr>
            <w:tcW w:w="316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17 Minutes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17 Protokoll</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sorgt für die Führung des Protokolls über die Generalversammlung, welches Anzahl, Art, Nennwert und Kategorie der von den Aktionären, von den Organen und von unabhängigen Stimmrechtsvertretern vertretene Aktien festhält und Aufschluss über Beschlüsse, Wahlergebnisse, Begehren um Auskunft und die darauf erteilten Auskünfte sowie die von den Aktionären zu Protokoll gegebenen Erklärungen gibt. Das Protokoll wird vom Vorsitzenden und vom Protokollführer unterzeichnet.</w:t>
            </w:r>
          </w:p>
        </w:tc>
      </w:tr>
      <w:tr>
        <w:trPr/>
        <w:tc>
          <w:tcPr>
            <w:tcW w:w="316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shareholders are entitled to inspect the minutes.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Aktionäre sind berechtigt, das Protokoll einzusehen.</w:t>
            </w:r>
          </w:p>
        </w:tc>
      </w:tr>
      <w:tr>
        <w:trPr/>
        <w:tc>
          <w:tcPr>
            <w:tcW w:w="316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18 Right to Vote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Each share entitles to one vote.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Each shareholder may be represented at a General Meeting by any person who is so authorized by a written proxy. A proxy need not be a shareholder.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18 Stimmrecht</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Jede Aktie berechtigt zu einer Stimme.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Jeder Aktionär kann sich in der Generalversammlung aufgrund einer schriftlichen Vollmacht durch eine andere handlungsfähige Person vertreten lassen, die nicht Aktionär zu sein braucht.</w:t>
            </w:r>
          </w:p>
        </w:tc>
      </w:tr>
      <w:tr>
        <w:trPr/>
        <w:tc>
          <w:tcPr>
            <w:tcW w:w="316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Each shareholder may be represented by the Independent Proxy. The requirements regarding proxies and instructions are determined by the Board of Directors.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Jeder Aktionär kann sich vom unabhängigen Stimmrechtsvertreter vertreten lassen. Die Anforderungen an Vollmachten und Weisungen werden vom Verwaltungsrat festgelegt.</w:t>
            </w:r>
          </w:p>
        </w:tc>
      </w:tr>
      <w:tr>
        <w:trPr/>
        <w:tc>
          <w:tcPr>
            <w:tcW w:w="316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19 Resolutions and Elections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All voting and elections are held openly or electronically. A written voting or election shall be held if instructed so by the Chairman or if decided by the General Meeting.</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19 Beschlussfassung und Wahlen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Abstimmungen und Wahlen erfolgen offen oder elektronisch. Eine schriftliche Abstimmung oder Wahl wird durchgeführt, wenn dies vom Vorsitzenden angeordnet oder von der Generalversammlung beschlossen wird.</w:t>
            </w:r>
          </w:p>
        </w:tc>
      </w:tr>
      <w:tr>
        <w:trPr/>
        <w:tc>
          <w:tcPr>
            <w:tcW w:w="3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General Meeting shall pass its resolutions and carry out its elections with the simple majority of the votes cast regardless of abstentions and empty or invalid votes, unless law or articles of association state otherwise. In the event</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Generalversammlung fasst ihre Beschlüsse und vollzieht ihre Wahlen, soweit das Gesetz oder die Statuten es nicht anders bestimmen, mit der einfachen Mehrheit der abgegebenen Aktienstimmen ohne Berücksichtigung von Stimmenthaltungen oder leer eingelegten oder ungültigen Stimmen. Bei</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24</w:t>
      </w:r>
    </w:p>
    <w:tbl>
      <w:tblPr>
        <w:tblW w:w="10205" w:type="dxa"/>
        <w:jc w:val="left"/>
        <w:tblInd w:w="0" w:type="dxa"/>
        <w:tblLayout w:type="fixed"/>
        <w:tblCellMar>
          <w:top w:w="28" w:type="dxa"/>
          <w:left w:w="28" w:type="dxa"/>
          <w:bottom w:w="28" w:type="dxa"/>
          <w:right w:w="28" w:type="dxa"/>
        </w:tblCellMar>
      </w:tblPr>
      <w:tblGrid>
        <w:gridCol w:w="4539"/>
        <w:gridCol w:w="251"/>
        <w:gridCol w:w="5415"/>
      </w:tblGrid>
      <w:tr>
        <w:trPr/>
        <w:tc>
          <w:tcPr>
            <w:tcW w:w="45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15" w:type="dxa"/>
            <w:tcBorders/>
            <w:vAlign w:val="center"/>
          </w:tcPr>
          <w:p>
            <w:pPr>
              <w:pStyle w:val="TableContents"/>
              <w:bidi w:val="0"/>
              <w:spacing w:before="0" w:after="283"/>
              <w:jc w:val="left"/>
              <w:rPr>
                <w:sz w:val="4"/>
                <w:szCs w:val="4"/>
              </w:rPr>
            </w:pPr>
            <w:r>
              <w:rPr>
                <w:sz w:val="4"/>
                <w:szCs w:val="4"/>
              </w:rPr>
            </w:r>
          </w:p>
        </w:tc>
      </w:tr>
      <w:tr>
        <w:trPr/>
        <w:tc>
          <w:tcPr>
            <w:tcW w:w="4539"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of tie votes, the request shall be refused. The Chairman shall not have a casting vote.</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Stimmengleichheit gilt ein Antrag als abgelehnt. Dem Vorsitzenden steht kein Stichentscheid zu.</w:t>
            </w:r>
          </w:p>
        </w:tc>
      </w:tr>
      <w:tr>
        <w:trPr/>
        <w:tc>
          <w:tcPr>
            <w:tcW w:w="4539"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A resolution of the General Meeting passed by at least two thirds of the represented share votes and the absolute majority of the represented shares par value is required for: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cases listed in article 704 para. 1 CO:</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amendment of the purpose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consolidation of shares, insofar as this does not require the consent of all shareholders concerned;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increase of the share capital against contributions in kind or by offsetting against a receivable and the granting of special benefits;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limitation or withdrawal of subscription rights;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introduction of conditional capital, the creation of reserve capital pursuant to article 12 of the Swiss Banking Act or the introduction of a capital band;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conversion of participation certificates into shares;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restriction of the transferability of registered shares;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creation of shares with privileged voting rights;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change of currency of the share capital;</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introduction of the casting vote of the chairman in the general assembly;</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xi.</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the introduction of a provision in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15"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Ein Beschluss der Generalversammlung, durch mindestens zwei Drittel der vertretenen Aktienstimmen und die absolute Mehrheit der vertretenen Aktiennennwerte, ist erforderlich für:</w:t>
            </w:r>
            <w:r>
              <w:rPr>
                <w:rFonts w:ascii="Times New Roman" w:hAnsi="Times New Roman"/>
                <w:color w:val="000000"/>
                <w:sz w:val="20"/>
              </w:rPr>
              <w:t xml:space="preserve">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Fälle gemäss Artikel 704 Abs. 1 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jc w:val="both"/>
              <w:rPr/>
            </w:pPr>
            <w:r>
              <w:rPr>
                <w:rFonts w:ascii="Calibri Light;sans-serif" w:hAnsi="Calibri Light;sans-serif"/>
                <w:color w:val="000000"/>
                <w:sz w:val="20"/>
              </w:rPr>
              <w:t xml:space="preserve">die Änderung des Gesellschaftszweckes;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Zusammenlegung von Aktien, soweit dafür nicht die Zustimmung aller betroffenen Aktionäre erforderlich ist;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Kapitalerhöhung aus Eigenkapital, gegen Sacheinlagen oder durch Verrechnung mit einer Forderung und die Gewährung von besonderen Vorteilen;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Einschränkung oder Aufhebung des Bezugsrechts;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Einführung eines bedingten Kapitals, die Schaffung von Vorratskapital gemäss Artikel 12 des Bankengesetzes oder die Einführung eines Kapitalbands;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Umwandlung von Partizipationsscheinen in 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Beschränkung der Übertragbarkeit von Namenaktien;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viii.</w:t>
            </w:r>
          </w:p>
          <w:p>
            <w:pPr>
              <w:pStyle w:val="TableContents"/>
              <w:bidi w:val="0"/>
              <w:spacing w:before="0" w:after="120"/>
              <w:jc w:val="both"/>
              <w:rPr/>
            </w:pPr>
            <w:r>
              <w:rPr>
                <w:rFonts w:ascii="Calibri Light;sans-serif" w:hAnsi="Calibri Light;sans-serif"/>
                <w:color w:val="000000"/>
                <w:sz w:val="20"/>
              </w:rPr>
              <w:t xml:space="preserve">die Einführung von Stimmrechtsaktien;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der Wechsel der Währung des Aktienkapitals;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Einführung des Stichentscheids des Vorsitzenden in der Generalversammlung;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w:t>
            </w:r>
          </w:p>
          <w:p>
            <w:pPr>
              <w:pStyle w:val="TableContents"/>
              <w:bidi w:val="0"/>
              <w:spacing w:before="0" w:after="120"/>
              <w:jc w:val="both"/>
              <w:rPr/>
            </w:pPr>
            <w:r>
              <w:rPr>
                <w:rFonts w:ascii="Calibri Light;sans-serif" w:hAnsi="Calibri Light;sans-serif"/>
                <w:color w:val="000000"/>
                <w:sz w:val="20"/>
              </w:rPr>
              <w:t xml:space="preserve">eine Statutenbestimmung zur Durchführung der Generalversammlung im Ausland;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xii.</w:t>
            </w:r>
          </w:p>
          <w:p>
            <w:pPr>
              <w:pStyle w:val="TableContents"/>
              <w:bidi w:val="0"/>
              <w:spacing w:before="0" w:after="120"/>
              <w:jc w:val="both"/>
              <w:rPr/>
            </w:pPr>
            <w:r>
              <w:rPr>
                <w:rFonts w:ascii="Calibri Light;sans-serif" w:hAnsi="Calibri Light;sans-serif"/>
                <w:color w:val="000000"/>
                <w:sz w:val="20"/>
              </w:rPr>
              <w:t xml:space="preserve">die Verletzung des Sitzes der Gesellschaft;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Einführung einer statutarischen Schiedsklausel;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25</w:t>
      </w:r>
    </w:p>
    <w:tbl>
      <w:tblPr>
        <w:tblW w:w="10205" w:type="dxa"/>
        <w:jc w:val="left"/>
        <w:tblInd w:w="0" w:type="dxa"/>
        <w:tblLayout w:type="fixed"/>
        <w:tblCellMar>
          <w:top w:w="28" w:type="dxa"/>
          <w:left w:w="28" w:type="dxa"/>
          <w:bottom w:w="28" w:type="dxa"/>
          <w:right w:w="28" w:type="dxa"/>
        </w:tblCellMar>
      </w:tblPr>
      <w:tblGrid>
        <w:gridCol w:w="4712"/>
        <w:gridCol w:w="938"/>
        <w:gridCol w:w="4555"/>
      </w:tblGrid>
      <w:tr>
        <w:trPr/>
        <w:tc>
          <w:tcPr>
            <w:tcW w:w="47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ind w:left="0" w:right="0" w:firstLine="792"/>
              <w:jc w:val="left"/>
              <w:rPr>
                <w:sz w:val="4"/>
                <w:szCs w:val="4"/>
              </w:rPr>
            </w:pPr>
            <w:r>
              <w:rPr>
                <w:sz w:val="4"/>
                <w:szCs w:val="4"/>
              </w:rPr>
            </w:r>
          </w:p>
        </w:tc>
      </w:tr>
      <w:tr>
        <w:trPr/>
        <w:tc>
          <w:tcPr>
            <w:tcW w:w="4712"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articles of association to hold General Meetings abroad;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change of the registered office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introduction of an arbitration clause in the articles of association;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xiv.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delisting of the shares; 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dissolution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pPr>
            <w:r>
              <w:rPr>
                <w:rFonts w:ascii="Calibri Light;sans-serif" w:hAnsi="Calibri Light;sans-serif"/>
                <w:color w:val="000000"/>
                <w:sz w:val="20"/>
              </w:rPr>
              <w:t xml:space="preserve">the merger, de-merger or conversion of the Company (subject to mandatory law);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pPr>
            <w:r>
              <w:rPr>
                <w:rFonts w:ascii="Calibri Light;sans-serif" w:hAnsi="Calibri Light;sans-serif"/>
                <w:color w:val="000000"/>
                <w:sz w:val="20"/>
              </w:rPr>
              <w:t xml:space="preserve">the alleviating or withdrawal of restrictions upon the transfer of registered shares;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conversion of registered shares into bearer shares and vice versa;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amendment or elimination of the provisions of articles 4 and 31 of the articles of association as well as those contained in this article 19.</w:t>
            </w:r>
          </w:p>
        </w:tc>
        <w:tc>
          <w:tcPr>
            <w:tcW w:w="938" w:type="dxa"/>
            <w:tcBorders/>
            <w:tcMar>
              <w:top w:w="0" w:type="dxa"/>
              <w:left w:w="0" w:type="dxa"/>
              <w:bottom w:w="0" w:type="dxa"/>
              <w:right w:w="0" w:type="dxa"/>
            </w:tcMar>
            <w:vAlign w:val="center"/>
          </w:tcPr>
          <w:p>
            <w:pPr>
              <w:pStyle w:val="TableContents"/>
              <w:bidi w:val="0"/>
              <w:spacing w:before="0" w:after="283"/>
              <w:ind w:left="0" w:right="0" w:firstLine="792"/>
              <w:jc w:val="left"/>
              <w:rPr/>
            </w:pPr>
            <w:r>
              <w:rPr/>
              <w:t> </w:t>
            </w:r>
          </w:p>
        </w:tc>
        <w:tc>
          <w:tcPr>
            <w:tcW w:w="4555"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xiv.</w:t>
            </w:r>
          </w:p>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die Dekotierung der Beteiligungspapiere;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Auflösung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Fusion, Spaltung oder Umwandlung der Gesellschaft (vorbehalten zwingender gesetzlicher Bestimmungen);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Erleichterung oder den Entzug der Beschränkungen betreffend die Übertragung von Namenaktien;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Umwandlung von Namenaktien in Inhaberaktien und umgekehrt;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Änderung oder Aufhebung der Bestimmungen der Artikel 4 und 31 der Statuten sowie dieses Artikels 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26</w:t>
      </w:r>
    </w:p>
    <w:tbl>
      <w:tblPr>
        <w:tblW w:w="10205" w:type="dxa"/>
        <w:jc w:val="left"/>
        <w:tblInd w:w="0" w:type="dxa"/>
        <w:tblLayout w:type="fixed"/>
        <w:tblCellMar>
          <w:top w:w="28" w:type="dxa"/>
          <w:left w:w="28" w:type="dxa"/>
          <w:bottom w:w="28" w:type="dxa"/>
          <w:right w:w="28" w:type="dxa"/>
        </w:tblCellMar>
      </w:tblPr>
      <w:tblGrid>
        <w:gridCol w:w="3612"/>
        <w:gridCol w:w="1608"/>
        <w:gridCol w:w="4985"/>
      </w:tblGrid>
      <w:tr>
        <w:trPr/>
        <w:tc>
          <w:tcPr>
            <w:tcW w:w="361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3612"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20 Votes on Compensation</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year, the General Meeting approves in one or separate resolutions the total maximum amounts pursuant to articles 34 and 35 of the articles of association for: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pPr>
            <w:r>
              <w:rPr>
                <w:rFonts w:ascii="Calibri Light;sans-serif" w:hAnsi="Calibri Light;sans-serif"/>
                <w:color w:val="000000"/>
                <w:sz w:val="20"/>
              </w:rPr>
              <w:t xml:space="preserve">the non-performance-related compensation of the Board of Directors for the next term of office;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possible additional compensation of the Board of Directors for the preceding business year;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non-performance-related compensation of the Executive Committee for the following business year;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variable compensation for the Executive Committee for the following business year;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grant of options, shares or other equity-linked instruments in the Company to the Board of Directors and the Executive Committee.</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8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20 Abstimmung über Vergütungen</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Die Generalversammlung genehmigt jährlich in einem oder mehreren Beschlüssen die maximalen Vergütungen gemäss Artikel 34 und 35 der Statuten betreffend:</w:t>
            </w:r>
          </w:p>
          <w:p>
            <w:pPr>
              <w:pStyle w:val="TableContents"/>
              <w:bidi w:val="0"/>
              <w:spacing w:before="0" w:after="120"/>
              <w:ind w:left="0" w:right="0" w:firstLine="1357"/>
              <w:jc w:val="left"/>
              <w:rPr>
                <w:rFonts w:ascii="Calibri Light" w:hAnsi="Calibri Light"/>
                <w:color w:val="000000"/>
                <w:sz w:val="20"/>
              </w:rPr>
            </w:pPr>
            <w:r>
              <w:rPr>
                <w:rFonts w:ascii="Calibri Light" w:hAnsi="Calibri Light"/>
                <w:color w:val="000000"/>
                <w:sz w:val="20"/>
              </w:rPr>
              <w:t>a)</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nicht-erfolgsabhängige Vergütung des Verwaltungsrates für die Zeitperiode bis zur nächsten Generalversammlung;</w:t>
            </w:r>
          </w:p>
          <w:p>
            <w:pPr>
              <w:pStyle w:val="TableContents"/>
              <w:bidi w:val="0"/>
              <w:spacing w:before="0" w:after="120"/>
              <w:jc w:val="left"/>
              <w:rPr>
                <w:rFonts w:ascii="Calibri Light" w:hAnsi="Calibri Light"/>
                <w:color w:val="000000"/>
                <w:sz w:val="20"/>
              </w:rPr>
            </w:pPr>
            <w:r>
              <w:rPr>
                <w:rFonts w:ascii="Calibri Light" w:hAnsi="Calibri Light"/>
                <w:color w:val="000000"/>
                <w:sz w:val="20"/>
              </w:rPr>
              <w:t>b)</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eine allfällige zusätzliche Vergütung für den Verwaltungsrat für das abgeschlossene Geschäftsjahr;</w:t>
            </w:r>
          </w:p>
          <w:p>
            <w:pPr>
              <w:pStyle w:val="TableContents"/>
              <w:bidi w:val="0"/>
              <w:spacing w:before="0" w:after="120"/>
              <w:jc w:val="left"/>
              <w:rPr>
                <w:rFonts w:ascii="Calibri Light" w:hAnsi="Calibri Light"/>
                <w:color w:val="000000"/>
                <w:sz w:val="20"/>
              </w:rPr>
            </w:pPr>
            <w:r>
              <w:rPr>
                <w:rFonts w:ascii="Calibri Light" w:hAnsi="Calibri Light"/>
                <w:color w:val="000000"/>
                <w:sz w:val="20"/>
              </w:rPr>
              <w:t>c)</w:t>
            </w:r>
          </w:p>
          <w:p>
            <w:pPr>
              <w:pStyle w:val="TableContents"/>
              <w:bidi w:val="0"/>
              <w:spacing w:before="0" w:after="120"/>
              <w:jc w:val="left"/>
              <w:rPr/>
            </w:pPr>
            <w:r>
              <w:rPr>
                <w:rFonts w:ascii="Calibri Light;sans-serif" w:hAnsi="Calibri Light;sans-serif"/>
                <w:color w:val="000000"/>
                <w:sz w:val="20"/>
              </w:rPr>
              <w:t>die nicht-erfolgsabhängige Vergütung der Geschäftsleitung für das folgende Geschäftsjahr;</w:t>
              <w:br/>
            </w:r>
            <w:r>
              <w:rPr>
                <w:color w:val="000000"/>
              </w:rPr>
              <w:t> </w:t>
            </w:r>
          </w:p>
          <w:p>
            <w:pPr>
              <w:pStyle w:val="TableContents"/>
              <w:bidi w:val="0"/>
              <w:spacing w:before="0" w:after="120"/>
              <w:jc w:val="left"/>
              <w:rPr>
                <w:rFonts w:ascii="Calibri Light" w:hAnsi="Calibri Light"/>
                <w:color w:val="000000"/>
                <w:sz w:val="20"/>
              </w:rPr>
            </w:pPr>
            <w:r>
              <w:rPr>
                <w:rFonts w:ascii="Calibri Light" w:hAnsi="Calibri Light"/>
                <w:color w:val="000000"/>
                <w:sz w:val="20"/>
              </w:rPr>
              <w:t>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variable Vergütung der Geschäftsleitung für das folgende Geschäftsjahr; und</w:t>
            </w:r>
          </w:p>
          <w:p>
            <w:pPr>
              <w:pStyle w:val="TableContents"/>
              <w:bidi w:val="0"/>
              <w:spacing w:before="0" w:after="120"/>
              <w:jc w:val="left"/>
              <w:rPr>
                <w:rFonts w:ascii="Calibri Light" w:hAnsi="Calibri Light"/>
                <w:color w:val="000000"/>
                <w:sz w:val="20"/>
              </w:rPr>
            </w:pPr>
            <w:r>
              <w:rPr>
                <w:rFonts w:ascii="Calibri Light" w:hAnsi="Calibri Light"/>
                <w:color w:val="000000"/>
                <w:sz w:val="20"/>
              </w:rPr>
              <w:t>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Gewährung von Optionen, Aktien oder anderen eigenkapitalbasierten Instrumenten der Gesellschaft an den Verwaltungsrat oder die Geschäftsleitung.</w:t>
            </w:r>
          </w:p>
        </w:tc>
      </w:tr>
      <w:tr>
        <w:trPr/>
        <w:tc>
          <w:tcPr>
            <w:tcW w:w="361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corresponding total compensation includes all social security, pension fund and other contributions payable by the receiving member of the Board of Directors or the Executive Board.</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8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entsprechenden Gesamtvergütungen umfassen alle vom empfangenden Mitglied des Verwaltungsrats oder der Geschäftsleitung zu bezahlenden Sozialversicherungs-, Pensionskassen- und andere Beiträge.</w:t>
            </w:r>
          </w:p>
        </w:tc>
      </w:tr>
      <w:tr>
        <w:trPr/>
        <w:tc>
          <w:tcPr>
            <w:tcW w:w="361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8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Lehnt die Generalversammlung einen entsprechenden Antrag des Verwaltungsrats ab, kann der Verwaltungsrat entweder an der gleichen Versammlung einen neuen Antrag stellen, eine ausserordentliche Generalversammlung einberufen oder einen maximalen Gesamtbetrag oder mehrere maximale Teilbeträge unter Berücksichtigung der relevanten Grundsätze festsetzen und der nächsten Generalversammlung zur Genehmigung vorlegen. Die Gesellschaft kann im Rahmen des maximalen Gesamt- oder Teilbetrages und unter Vorbehalt der Genehmigung durch die Generalversammlung Vergütungen ausrichten.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27</w:t>
      </w:r>
    </w:p>
    <w:tbl>
      <w:tblPr>
        <w:tblW w:w="10205" w:type="dxa"/>
        <w:jc w:val="left"/>
        <w:tblInd w:w="0" w:type="dxa"/>
        <w:tblLayout w:type="fixed"/>
        <w:tblCellMar>
          <w:top w:w="28" w:type="dxa"/>
          <w:left w:w="28" w:type="dxa"/>
          <w:bottom w:w="28" w:type="dxa"/>
          <w:right w:w="28" w:type="dxa"/>
        </w:tblCellMar>
      </w:tblPr>
      <w:tblGrid>
        <w:gridCol w:w="3560"/>
        <w:gridCol w:w="1608"/>
        <w:gridCol w:w="5037"/>
      </w:tblGrid>
      <w:tr>
        <w:trPr/>
        <w:tc>
          <w:tcPr>
            <w:tcW w:w="356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5037" w:type="dxa"/>
            <w:tcBorders/>
            <w:vAlign w:val="center"/>
          </w:tcPr>
          <w:p>
            <w:pPr>
              <w:pStyle w:val="TableContents"/>
              <w:bidi w:val="0"/>
              <w:spacing w:before="0" w:after="283"/>
              <w:jc w:val="left"/>
              <w:rPr>
                <w:sz w:val="4"/>
                <w:szCs w:val="4"/>
              </w:rPr>
            </w:pPr>
            <w:r>
              <w:rPr>
                <w:sz w:val="4"/>
                <w:szCs w:val="4"/>
              </w:rPr>
            </w:r>
          </w:p>
        </w:tc>
      </w:tr>
      <w:tr>
        <w:trPr/>
        <w:tc>
          <w:tcPr>
            <w:tcW w:w="3560"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remuneration and subject to the approval by the General Meeting.</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50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60"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21 Independent Proxy</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037"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21 Unabhängiger Stimmrechtsvertreter</w:t>
            </w:r>
          </w:p>
          <w:p>
            <w:pPr>
              <w:pStyle w:val="TableContents"/>
              <w:bidi w:val="0"/>
              <w:spacing w:before="0" w:after="120"/>
              <w:ind w:left="0" w:right="0" w:firstLine="790"/>
              <w:jc w:val="both"/>
              <w:rPr>
                <w:rFonts w:ascii="Calibri Light;sans-serif" w:hAnsi="Calibri Light;sans-serif"/>
                <w:color w:val="000000"/>
                <w:sz w:val="20"/>
              </w:rPr>
            </w:pPr>
            <w:r>
              <w:rPr>
                <w:rFonts w:ascii="Calibri Light;sans-serif" w:hAnsi="Calibri Light;sans-serif"/>
                <w:color w:val="000000"/>
                <w:sz w:val="20"/>
              </w:rPr>
              <w:t>Der Unabhängige Stimmrechtsvertreter wird von der ordentlichen Generalversammlung für eine Amtsdauer von einem Jahr bis zum Ende der nächsten ordentlichen Generalversammlung gewählt. Wiederwahl ist möglich. Der unabhängige Stimmrechtsvertreter informiert die Gesellschaft über Anzahl, Art, Nennwert und Kategorie der vertretenen Aktien. Der Präsident des Verwaltungsrats gibt diese Informationen der Generalversammlung bekannt. Die Pflichten des Unabhängigen Stimmrechtsvertreters ergeben sich aus den anwendbaren gesetzlichen Bestimmungen.</w:t>
            </w:r>
          </w:p>
        </w:tc>
      </w:tr>
      <w:tr>
        <w:trPr/>
        <w:tc>
          <w:tcPr>
            <w:tcW w:w="3560"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V. Board of directors</w:t>
            </w:r>
          </w:p>
        </w:tc>
        <w:tc>
          <w:tcPr>
            <w:tcW w:w="1608"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5037"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V. Verwaltungsrat</w:t>
            </w:r>
          </w:p>
        </w:tc>
      </w:tr>
      <w:tr>
        <w:trPr/>
        <w:tc>
          <w:tcPr>
            <w:tcW w:w="3560"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22 Number of Members, Term of Office</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Board of Directors shall consist of at least 3 and not more than 9 members. The chairman and the members of the Board of Directors are individually elected by the General Meeting for a term of one year until the end of the next Ordinary General Meeting, provided that he/she does not resign or is not replaced during his term.</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037"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22 Anzahl der Mitglieder, Amtsdauer</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besteht aus mindestens 3 und höchstens 9 Mitgliedern. Der Präsident sowie die Mitglieder des Verwaltungsrates werden jeweils für die Dauer von einem Jahr bis zum Ende der nächsten ordentlichen Generalversammlung einzeln gewählt. Vorbehalten bleiben vorheriger Rücktritt oder Abberufung.</w:t>
            </w:r>
          </w:p>
        </w:tc>
      </w:tr>
      <w:tr>
        <w:trPr/>
        <w:tc>
          <w:tcPr>
            <w:tcW w:w="356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3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Mitglieder des Verwaltungsrates sind jederzeit wieder wählbar. Die oberste Altersgrenze von Mitgliedern des Verwaltungsrats beträgt 75 Jahre. Wenn ein Mitglied des Verwaltungsrats diese Altersgrenze während seiner Amtszeit erreicht, wird diese automatisch zur nächsten ordentlichen Generalversammlung verlängert. Die Generalversammlung kann eine Ausnahme von der Altersgrenze beschliessen.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28</w:t>
      </w:r>
    </w:p>
    <w:tbl>
      <w:tblPr>
        <w:tblW w:w="10205" w:type="dxa"/>
        <w:jc w:val="left"/>
        <w:tblInd w:w="0" w:type="dxa"/>
        <w:tblLayout w:type="fixed"/>
        <w:tblCellMar>
          <w:top w:w="28" w:type="dxa"/>
          <w:left w:w="28" w:type="dxa"/>
          <w:bottom w:w="28" w:type="dxa"/>
          <w:right w:w="28" w:type="dxa"/>
        </w:tblCellMar>
      </w:tblPr>
      <w:tblGrid>
        <w:gridCol w:w="4488"/>
        <w:gridCol w:w="251"/>
        <w:gridCol w:w="5466"/>
      </w:tblGrid>
      <w:tr>
        <w:trPr/>
        <w:tc>
          <w:tcPr>
            <w:tcW w:w="4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66" w:type="dxa"/>
            <w:tcBorders/>
            <w:vAlign w:val="center"/>
          </w:tcPr>
          <w:p>
            <w:pPr>
              <w:pStyle w:val="TableContents"/>
              <w:bidi w:val="0"/>
              <w:spacing w:before="0" w:after="283"/>
              <w:jc w:val="left"/>
              <w:rPr>
                <w:sz w:val="4"/>
                <w:szCs w:val="4"/>
              </w:rPr>
            </w:pPr>
            <w:r>
              <w:rPr>
                <w:sz w:val="4"/>
                <w:szCs w:val="4"/>
              </w:rPr>
            </w:r>
          </w:p>
        </w:tc>
      </w:tr>
      <w:tr>
        <w:trPr/>
        <w:tc>
          <w:tcPr>
            <w:tcW w:w="44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the office of the Chairman becomes vacant, the board of directors shall appoint a new Chairman, from among its members for the remaining term of office.</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Wird das Amt des Präsidenten vakant, ernennt der Verwaltungsrat für die verbleibende Amtsdauer aus seiner Mitte einen neuen Präsidenten des Verwaltungsrates für die verbleibende Amtszeit.</w:t>
            </w:r>
          </w:p>
        </w:tc>
      </w:tr>
      <w:tr>
        <w:trPr/>
        <w:tc>
          <w:tcPr>
            <w:tcW w:w="4488"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23 Constitution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Subject to the powers of the General Meeting, the Board of Directors determines its own organization. It appoints a Secretary who needs not be a member of the Board of Directors.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23 Konstituierung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konstituiert sich vorbehältlich der Befugnisse der Generalversammlung selbst. Er bezeichnet insbesondere einen Sekretär, der nicht Mitglied des Verwaltungsrates sein muss.</w:t>
            </w:r>
          </w:p>
        </w:tc>
      </w:tr>
      <w:tr>
        <w:trPr/>
        <w:tc>
          <w:tcPr>
            <w:tcW w:w="4488"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24 Function, Organization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It is the Board of Director's duty to lead the Company and to supervise the management. The Board of Director represents the Company and may take decisions to all affairs which are not assigned to any other body of the Company by law, the articles of association or Regulations.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24 Funktion, Organisation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Dem Verwaltungsrat obliegt die oberste Leitung der Gesellschaft und die Überwachung der Geschäftsführung. Er vertritt die Gesellschaft nach aussen und besorgt alle Angelegenheiten, die nicht nach Gesetz, Statuten oder Reglement einem anderen Organ der Gesellschaft übertragen sind.</w:t>
            </w:r>
          </w:p>
        </w:tc>
      </w:tr>
      <w:tr>
        <w:trPr/>
        <w:tc>
          <w:tcPr>
            <w:tcW w:w="44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adopt the organizational regulations and the corresponding contractual relationships.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erlässt das Organisationsreglement und ordnet die entsprechenden Vertragsverhältnisse.</w:t>
            </w:r>
          </w:p>
        </w:tc>
      </w:tr>
      <w:tr>
        <w:trPr/>
        <w:tc>
          <w:tcPr>
            <w:tcW w:w="4488"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25 Powers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Board of Directors has the following non-delegable and inalienable duties: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overall management of the company and the issuing of all necessary directives;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determination of the company's organisation;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organisation of the accounting, financial control and financial planning systems as required for management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appointment and dismissal of the persons entrusted with the management and representation of the Company and grant of signatures;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the overall supervision of the persons entrusted with managing the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25 Aufgaben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hat folgende unübertragbare und unentziehbare Aufgaben: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Oberleitung der Gesellschaft und Erteilung der nötigen Weisungen;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Festlegung der Organisation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Organisation des Rechnungswesens, der Finanzkontrolle sowie der Finanzplanung zur Führung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Ernennung und Abberufung der mit der Geschäftsführung und der Vertretung betrauten Personen und Regelung der Zeichnungsberechtigung;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Oberaufsicht über die mit der Geschäftsführung betrauten Personen, namentlich im Hinblick auf die Befolgung der Gesetze, Statuten, Reglemente und Weisungen;</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Erstellung des Geschäftsberichtes sowie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29</w:t>
      </w:r>
    </w:p>
    <w:tbl>
      <w:tblPr>
        <w:tblW w:w="10205" w:type="dxa"/>
        <w:jc w:val="left"/>
        <w:tblInd w:w="0" w:type="dxa"/>
        <w:tblLayout w:type="fixed"/>
        <w:tblCellMar>
          <w:top w:w="28" w:type="dxa"/>
          <w:left w:w="28" w:type="dxa"/>
          <w:bottom w:w="28" w:type="dxa"/>
          <w:right w:w="28" w:type="dxa"/>
        </w:tblCellMar>
      </w:tblPr>
      <w:tblGrid>
        <w:gridCol w:w="3864"/>
        <w:gridCol w:w="1608"/>
        <w:gridCol w:w="4733"/>
      </w:tblGrid>
      <w:tr>
        <w:trPr/>
        <w:tc>
          <w:tcPr>
            <w:tcW w:w="386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733"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864"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company, in particular with regard to compliance with the law, articles of association, operational regulations and directives;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compilation of the annual report, preparation for the general meeting and implementation of its resolutions;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preparation of the compensation report and to request approval by the General Meeting regarding compensation of the Board of Directors and the Executive Committee;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notification of the court if liabilities exceed assets.</w:t>
            </w:r>
          </w:p>
        </w:tc>
        <w:tc>
          <w:tcPr>
            <w:tcW w:w="1608"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4733"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Vorbereitung der Generalversammlung und Ausführung ihrer Beschlüsse;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Erstellung des Vergütungsberichts sowie Antragsstellung betreffend die Genehmigung der Vergütungen des Verwaltungsrats und der Geschäftsleitung an die Generalversammlung;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Benachrichtigung des Richters im Falle der Überschuldung.</w:t>
            </w:r>
          </w:p>
        </w:tc>
      </w:tr>
      <w:tr>
        <w:trPr/>
        <w:tc>
          <w:tcPr>
            <w:tcW w:w="386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may assign responsibility for preparing and implementing its resolutions or monitoring transactions to committees or individual members. It must ensure appropriate reporting to its members.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3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kann die Vorbereitung und die Ausführung seiner Beschlüsse oder die Überwachung von Geschäften Ausschüssen oder einzelnen Mitgliedern zuweisen. Er hat für eine angemessene Berichterstattung an seine Mitglieder zu sorgen.</w:t>
            </w:r>
          </w:p>
        </w:tc>
      </w:tr>
      <w:tr>
        <w:trPr/>
        <w:tc>
          <w:tcPr>
            <w:tcW w:w="3864"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26 Representation of the Company</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Board of Directors shall assign the persons with signatory power for the Company and the kind of signatory power.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3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26 Vertretung der Gesellschaft</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bestimmt die für die Gesellschaft zeichnungsberechtigten Personen und die Art ihrer Zeichnung.</w:t>
            </w:r>
          </w:p>
        </w:tc>
      </w:tr>
      <w:tr>
        <w:trPr/>
        <w:tc>
          <w:tcPr>
            <w:tcW w:w="386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27 Delegation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Moreover, the Board of Directors is authorized to delegate, in part or entirely, the management and the representation of the Company, within the limits of the law, to one or more individual directors (Delegates) or to third parties by pursuant to organizational regulations.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3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27 Delegation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kann die Geschäftsführung und alle Aufgaben und Befugnisse, die ihm nicht durch das Gesetz oder die Statuten zwingend zugewiesen sind, nach Massgabe des Organisationsreglements ganz oder zum Teil an einzelne oder mehrere Mitglieder oder Dritte übertragen.</w:t>
            </w:r>
          </w:p>
        </w:tc>
      </w:tr>
      <w:tr>
        <w:trPr/>
        <w:tc>
          <w:tcPr>
            <w:tcW w:w="3864"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28 Meetings, Resolutions and Minutes</w:t>
            </w:r>
          </w:p>
          <w:p>
            <w:pPr>
              <w:pStyle w:val="TableContents"/>
              <w:bidi w:val="0"/>
              <w:spacing w:before="0" w:after="283"/>
              <w:ind w:left="0" w:right="0" w:firstLine="1357"/>
              <w:jc w:val="left"/>
              <w:rPr>
                <w:rFonts w:ascii="Times New Roman" w:hAnsi="Times New Roman"/>
                <w:sz w:val="20"/>
              </w:rPr>
            </w:pPr>
            <w:r>
              <w:rPr>
                <w:rFonts w:ascii="Calibri Light;sans-serif" w:hAnsi="Calibri Light;sans-serif"/>
                <w:color w:val="000000"/>
                <w:sz w:val="20"/>
              </w:rPr>
              <w:t>The organization of the meetings, the presence quorum and the passing of resolutions of the Board of Directors is determined by the organizational</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3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28 Sitzungen, Beschlussfassung und Protokoll</w:t>
            </w:r>
          </w:p>
          <w:p>
            <w:pPr>
              <w:pStyle w:val="TableContents"/>
              <w:bidi w:val="0"/>
              <w:spacing w:before="0" w:after="283"/>
              <w:ind w:left="0" w:right="0" w:firstLine="1357"/>
              <w:jc w:val="left"/>
              <w:rPr>
                <w:rFonts w:ascii="Times New Roman" w:hAnsi="Times New Roman"/>
                <w:sz w:val="20"/>
              </w:rPr>
            </w:pPr>
            <w:r>
              <w:rPr>
                <w:rFonts w:ascii="Calibri Light;sans-serif" w:hAnsi="Calibri Light;sans-serif"/>
                <w:color w:val="000000"/>
                <w:sz w:val="20"/>
              </w:rPr>
              <w:t>Sitzungsordnung, Beschlussfähigkeit und Beschlussfassung des Verwaltungsrats richten sich nach dem Organisationsreglement. Für den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30</w:t>
      </w:r>
    </w:p>
    <w:tbl>
      <w:tblPr>
        <w:tblW w:w="10205" w:type="dxa"/>
        <w:jc w:val="left"/>
        <w:tblInd w:w="0" w:type="dxa"/>
        <w:tblLayout w:type="fixed"/>
        <w:tblCellMar>
          <w:top w:w="28" w:type="dxa"/>
          <w:left w:w="28" w:type="dxa"/>
          <w:bottom w:w="28" w:type="dxa"/>
          <w:right w:w="28" w:type="dxa"/>
        </w:tblCellMar>
      </w:tblPr>
      <w:tblGrid>
        <w:gridCol w:w="4088"/>
        <w:gridCol w:w="1608"/>
        <w:gridCol w:w="4509"/>
      </w:tblGrid>
      <w:tr>
        <w:trPr/>
        <w:tc>
          <w:tcPr>
            <w:tcW w:w="408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509" w:type="dxa"/>
            <w:tcBorders/>
            <w:vAlign w:val="center"/>
          </w:tcPr>
          <w:p>
            <w:pPr>
              <w:pStyle w:val="TableContents"/>
              <w:bidi w:val="0"/>
              <w:spacing w:before="0" w:after="283"/>
              <w:jc w:val="left"/>
              <w:rPr>
                <w:sz w:val="4"/>
                <w:szCs w:val="4"/>
              </w:rPr>
            </w:pPr>
            <w:r>
              <w:rPr>
                <w:sz w:val="4"/>
                <w:szCs w:val="4"/>
              </w:rPr>
            </w:r>
          </w:p>
        </w:tc>
      </w:tr>
      <w:tr>
        <w:trPr/>
        <w:tc>
          <w:tcPr>
            <w:tcW w:w="4088"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regulations. No presence quorum is required for the approval of a capital increase.</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509"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Feststellungsbeschluss einer Kapitalerhöhung ist kein Präsenzquorum erforderlich.</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Resolutions may be passed via telephone or videoconference. Resolutions may also be passed by way of circulation, provided that no member requests oral deliberation.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Beschlussfassung via Telefon- oder Videokonferenz ist zulässig. Beschlüsse können auch auf dem Zirkularweg gefasst werden, sofern nicht ein Mitglied die Durchführung einer Sitzung verlangt.</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Minutes are kept of the Board's discussions and resolutions and signed by the chairman and the minute-taker.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Times New Roman" w:hAnsi="Times New Roman"/>
                <w:sz w:val="24"/>
              </w:rPr>
            </w:pPr>
            <w:r>
              <w:rPr>
                <w:rFonts w:ascii="Calibri Light;sans-serif" w:hAnsi="Calibri Light;sans-serif"/>
                <w:color w:val="000000"/>
                <w:sz w:val="20"/>
              </w:rPr>
              <w:t>Über Verhandlungen und Beschlüsse des Verwaltungsrats wird ein Protokoll erstellt, welches vom</w:t>
            </w:r>
            <w:r>
              <w:rPr>
                <w:rFonts w:ascii="Times New Roman" w:hAnsi="Times New Roman"/>
                <w:color w:val="000000"/>
                <w:sz w:val="24"/>
              </w:rPr>
              <w:t xml:space="preserve"> </w:t>
            </w:r>
            <w:r>
              <w:rPr>
                <w:rFonts w:ascii="Calibri Light;sans-serif" w:hAnsi="Calibri Light;sans-serif"/>
                <w:color w:val="000000"/>
                <w:sz w:val="20"/>
              </w:rPr>
              <w:t>Vorsitzenden und vom Sekretär des Verwaltungsrates zu unterzeichnen ist.</w:t>
            </w:r>
          </w:p>
        </w:tc>
      </w:tr>
      <w:tr>
        <w:trPr/>
        <w:tc>
          <w:tcPr>
            <w:tcW w:w="4088"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29 Disclosure and Right of Inspection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Any member of the Board of Directors may request information on any company business.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29 Recht auf Auskunft und Einsicht</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Jedes Mitglied des Verwaltungsrates kann Auskunft über alle Angelegenheiten der Gesellschaft verlangen.</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Outside meetings, any member may request information from the persons entrusted with managing the company's business concerning the Company's business performance and, with the Chairman's authorization, specific transactions.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Ausserhalb der Sitzungen kann jedes Mitglied von den mit der Geschäftsführung betrauten Personen Auskunft über den Geschäftsgang und, mit Ermächtigung des Präsidenten, auch über einzelne Geschäfte verlangen.</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Where required for the performance of his duties, any member may request the Chairman to have books of account and documents made available to him for inspection.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Soweit es für die Erfüllung einer Aufgabe erforderlich ist, kann jedes Mitglied dem Präsidenten beantragen, dass ihm Bücher und Akten vorgelegt werden.</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the Chairman refuses a request for information, a request to be heard or an application to inspect documents, the Board of Directors rules on the matter.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Weist der Präsident ein Gesuch auf Auskunft, Anhörung oder Einsicht ab, so entscheidet der Verwaltungsrat.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31</w:t>
      </w:r>
    </w:p>
    <w:tbl>
      <w:tblPr>
        <w:tblW w:w="10205" w:type="dxa"/>
        <w:jc w:val="left"/>
        <w:tblInd w:w="0" w:type="dxa"/>
        <w:tblLayout w:type="fixed"/>
        <w:tblCellMar>
          <w:top w:w="28" w:type="dxa"/>
          <w:left w:w="28" w:type="dxa"/>
          <w:bottom w:w="28" w:type="dxa"/>
          <w:right w:w="28" w:type="dxa"/>
        </w:tblCellMar>
      </w:tblPr>
      <w:tblGrid>
        <w:gridCol w:w="4735"/>
        <w:gridCol w:w="251"/>
        <w:gridCol w:w="5219"/>
      </w:tblGrid>
      <w:tr>
        <w:trPr/>
        <w:tc>
          <w:tcPr>
            <w:tcW w:w="47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19" w:type="dxa"/>
            <w:tcBorders/>
            <w:vAlign w:val="center"/>
          </w:tcPr>
          <w:p>
            <w:pPr>
              <w:pStyle w:val="TableContents"/>
              <w:bidi w:val="0"/>
              <w:spacing w:before="0" w:after="283"/>
              <w:jc w:val="left"/>
              <w:rPr>
                <w:sz w:val="4"/>
                <w:szCs w:val="4"/>
              </w:rPr>
            </w:pPr>
            <w:r>
              <w:rPr>
                <w:sz w:val="4"/>
                <w:szCs w:val="4"/>
              </w:rPr>
            </w:r>
          </w:p>
        </w:tc>
      </w:tr>
      <w:tr>
        <w:trPr/>
        <w:tc>
          <w:tcPr>
            <w:tcW w:w="4735"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30 Compensation Committee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Compensation Committee shall comprise at least 2 members. The members of the Compensation Committee shall be individually elected by the Ordinary General Meeting from among the members of the Board of Directors for a term of one year until the next Ordinary General Meeting. Re-election is permitted. The Compensation Committee has the following duties: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draw up principles for compensation of members of the Board of Directors and the Executive Committee and to submit them to the Board of Directors for approval;</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propose to the Board of Directors the resolution to be submitted to the Ordinary General Meeting for the maximum total compensation of the Board of Directors and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request approval by the Board of Directors regarding the determination of the compensation-related targets for the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request approval by the Board of Directors regarding the adjustments to the articles of association relating to remuneration; and</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to prepare the Compensation Report and submit it to the Board of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19"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30 Vergütungsausschuss</w:t>
            </w:r>
          </w:p>
          <w:p>
            <w:pPr>
              <w:pStyle w:val="TableContents"/>
              <w:bidi w:val="0"/>
              <w:spacing w:before="0" w:after="120"/>
              <w:jc w:val="both"/>
              <w:rPr>
                <w:rFonts w:ascii="Times New Roman" w:hAnsi="Times New Roman"/>
                <w:sz w:val="20"/>
              </w:rPr>
            </w:pPr>
            <w:r>
              <w:rPr>
                <w:rFonts w:ascii="Calibri Light;sans-serif" w:hAnsi="Calibri Light;sans-serif"/>
                <w:color w:val="000000"/>
                <w:sz w:val="20"/>
              </w:rPr>
              <w:t>Der Vergütungsausschuss umfasst mindestens 2 Mitglieder. Die Mitglieder des Vergütungsausschusses werden jährlich von der ordentlichen Generalversammlung aus den Mitgliedern des Verwaltungsrats für die Dauer von einem Jahr bis zur nächsten ordentlichen Generalversammlung einzeln gewählt. Wiederwahl ist zulässig. Der Vergütungsausschuss hat folgende Aufgaben:</w:t>
            </w:r>
            <w:r>
              <w:rPr>
                <w:rFonts w:ascii="Times New Roman" w:hAnsi="Times New Roman"/>
                <w:color w:val="000000"/>
                <w:sz w:val="20"/>
              </w:rPr>
              <w:t xml:space="preserve">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Ausarbeiten der Grundsätze betreffend Vergütung an den Verwaltungsrat und an die Geschäftsleitung und Vorlegen derselben zur Genehmigung durch den Verwaltungsrat;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Antragstellung an den Verwaltungsrat zur Unterbreitung an die Generalversammlung betreffend Gesamtvergütung des Verwaltungsrats und der Geschäftsleitung;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pPr>
            <w:r>
              <w:rPr>
                <w:rFonts w:ascii="Calibri Light;sans-serif" w:hAnsi="Calibri Light;sans-serif"/>
                <w:color w:val="000000"/>
                <w:sz w:val="20"/>
              </w:rPr>
              <w:t>Antragstellung an den Verwaltungsrat betreffend individuelle Vergütung der Verwaltungsratsmitglieder und der Mitglieder der Geschäftsleitung unter Vorbehalt und im Rahmen der Höhe der Gesamtvergütung;</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Antragstellung an den Verwaltungsrat hinsichtlich der für die Geschäftsleitung vergütungsrelevanten Ziele;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Antragstellung an den Verwaltungsrat betreffend Anpassung der Statuten hinsichtlich des Vergütungssystems;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Entwurf des Vergütungsberichts und Unterbreitung des Vergütungsberichts an den Verwaltungsrat.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32</w:t>
      </w:r>
    </w:p>
    <w:tbl>
      <w:tblPr>
        <w:tblW w:w="10205" w:type="dxa"/>
        <w:jc w:val="left"/>
        <w:tblInd w:w="0" w:type="dxa"/>
        <w:tblLayout w:type="fixed"/>
        <w:tblCellMar>
          <w:top w:w="28" w:type="dxa"/>
          <w:left w:w="28" w:type="dxa"/>
          <w:bottom w:w="28" w:type="dxa"/>
          <w:right w:w="28" w:type="dxa"/>
        </w:tblCellMar>
      </w:tblPr>
      <w:tblGrid>
        <w:gridCol w:w="4314"/>
        <w:gridCol w:w="251"/>
        <w:gridCol w:w="5640"/>
      </w:tblGrid>
      <w:tr>
        <w:trPr/>
        <w:tc>
          <w:tcPr>
            <w:tcW w:w="43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40"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4314"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Directors.</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6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set out any further duties and responsibilities vested on the Compensation Committee in the Company's organizational regulations.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64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kann weitere Aufgaben und Zuständigkeiten des Vergütungsausschusses im Organisationsreglement vorsehen.</w:t>
            </w:r>
          </w:p>
        </w:tc>
      </w:tr>
      <w:tr>
        <w:trPr/>
        <w:tc>
          <w:tcPr>
            <w:tcW w:w="431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31 Indemnification</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640"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Calibri Light;sans-serif" w:hAnsi="Calibri Light;sans-serif"/>
                <w:b/>
                <w:color w:val="000000"/>
                <w:sz w:val="20"/>
              </w:rPr>
              <w:t>Artikel 31 Schadloshaltung</w:t>
            </w:r>
            <w:r>
              <w:rPr>
                <w:rFonts w:ascii="Calibri Light;sans-serif" w:hAnsi="Calibri Light;sans-serif"/>
                <w:color w:val="000000"/>
                <w:sz w:val="20"/>
              </w:rPr>
              <w:t>.</w:t>
            </w:r>
          </w:p>
        </w:tc>
      </w:tr>
      <w:tr>
        <w:trPr/>
        <w:tc>
          <w:tcPr>
            <w:tcW w:w="43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To the extent not included in insurance coverage or paid by third parties, the Company shall indemnify and hold harmless, to the extent permitted by law, the existing and former members of the board of directors, the executive committee, and their heirs, executors and administrators, out of the assets of the Company from and against all threatened, pending or completed actions, suits or proceedings – whether civil, criminal, administrative or investigative – and all costs, charges, losses, damages, and expenses which they or any of them, their heirs, executors or administrators, shall or may incur or sustain by or by reason of any actual or alleged actions, consents or omissions in or about the execution of their duty, or alleged duty, or by reason of the fact that he/she is or was a member of the board of directors or executive committee of the Company or the board of directors (or equivalent corporate body) or the management of one of its subsidiaries, or, while serving as a member of the board of directors or executive committee of the Company, is or was serving at the request of the Company as a director, member of the executive committee, employee or agent of another corporation, partnership, joint venture, trust or other enterprise; provided, however, that this indemnity shall not extend to any matter in which any of said persons is found, in a final judgment or decree of a court or governmental or administrative authority of competent jurisdiction not subject to appeal, to have committed an intentional</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64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Calibri Light;sans-serif" w:hAnsi="Calibri Light;sans-serif"/>
                <w:color w:val="000000"/>
                <w:sz w:val="20"/>
              </w:rPr>
              <w:t>Soweit nicht durch Versicherungen gedeckt oder von Dritten bezahlt, hält die Gesellschaft soweit gesetzlich zulässig, die gegenwärtigen und bisherigen Mitglieder des Verwaltungsrates und der Geschäftsleitung sowie deren Erben, Testamentsvollstrecker und Verwalter aus dem Vermögen der Gesellschaft von allen angedrohten, hängigen, und abgeschlossenen Klagen, Prozessen oder Verfahren – ob zivil-, straf-, verwaltungs- oder untersuchungsrechtlich – schadlos, sowie von allen Kosten, Gebühren, Verlusten, Schäden und Ausgaben, die ihnen oder einem/einer von ihnen, ihren Erben, Testamentsvollstreckern oder Verwaltern durch oder aufgrund von tatsächlichen oder vermeintlichen Handlungen, Zustimmungen oder Unterlassungen im Zusammenhang mit der Ausübung ihrer Pflicht oder vermeintlichen Pflicht oder aufgrund der Tatsache, dass er/sie ein Mitglied des Verwaltungsrates oder der Geschäftsleitung der Gesellschaft oder des Verwaltungsrates (oder eines gleichwertigen Gesellschaftsorgans) oder der Geschäftsleitung einer ihrer Konzerngesellschaften ist oder war, oder dass er/sie während seiner/ihrer Tätigkeit als Mitglied des Verwaltungsrates oder der Geschäftsleitung der Gesellschaft, auf Ersuchen der Gesellschaft, als Mitglied des Verwaltungsrates oder der Geschäftsleitung, Angestellter oder Beauftragter einer anderen Kapitalgesellschaft, Personengesellschaft, eines Joint Ventures, eines Trusts oder eines anderen Unternehmens tätig ist oder war, entstanden sind, entstehen oder entstehen könnten, jedoch unter der Voraussetzung, dass sich diese Schadloshaltung nicht auf eine Angelegenheit erstreckt, in der eine der genannten Personen gemäss einem rechtskräftigen Urteil oder Beschluss eines Gerichts oder einer zuständigen Regierungs- oder Verwaltungsbehörde, gegen den kein Rechtsmittel eingelegt werden kann, eine vorsätzliche oder grobfahrlässige Verletzung ihrer gesetzlichen Pflichten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33</w:t>
      </w:r>
    </w:p>
    <w:tbl>
      <w:tblPr>
        <w:tblW w:w="10205" w:type="dxa"/>
        <w:jc w:val="left"/>
        <w:tblInd w:w="0" w:type="dxa"/>
        <w:tblLayout w:type="fixed"/>
        <w:tblCellMar>
          <w:top w:w="28" w:type="dxa"/>
          <w:left w:w="28" w:type="dxa"/>
          <w:bottom w:w="28" w:type="dxa"/>
          <w:right w:w="28" w:type="dxa"/>
        </w:tblCellMar>
      </w:tblPr>
      <w:tblGrid>
        <w:gridCol w:w="3904"/>
        <w:gridCol w:w="1041"/>
        <w:gridCol w:w="5260"/>
      </w:tblGrid>
      <w:tr>
        <w:trPr/>
        <w:tc>
          <w:tcPr>
            <w:tcW w:w="39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5260" w:type="dxa"/>
            <w:tcBorders/>
            <w:vAlign w:val="center"/>
          </w:tcPr>
          <w:p>
            <w:pPr>
              <w:pStyle w:val="TableContents"/>
              <w:bidi w:val="0"/>
              <w:spacing w:before="0" w:after="283"/>
              <w:jc w:val="left"/>
              <w:rPr>
                <w:sz w:val="4"/>
                <w:szCs w:val="4"/>
              </w:rPr>
            </w:pPr>
            <w:r>
              <w:rPr>
                <w:sz w:val="4"/>
                <w:szCs w:val="4"/>
              </w:rPr>
            </w:r>
          </w:p>
        </w:tc>
      </w:tr>
      <w:tr>
        <w:trPr/>
        <w:tc>
          <w:tcPr>
            <w:tcW w:w="3904"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or grossly negligent breach of his statutory duties as a member of the board of directors or executive committee.</w:t>
            </w:r>
          </w:p>
        </w:tc>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0"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als Mitglied des Verwaltungsrates oder der Geschäftsleitung begangen hat.</w:t>
            </w:r>
          </w:p>
        </w:tc>
      </w:tr>
      <w:tr>
        <w:trPr/>
        <w:tc>
          <w:tcPr>
            <w:tcW w:w="390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Without limiting the foregoing paragraph of this article 31, the Company shall advance costs and expenses indemnifiable thereunder to the existing and former members of the board of directors and executive committee to the extent not included in insurance coverage or advanced by third parties.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executive committee.</w:t>
            </w:r>
          </w:p>
        </w:tc>
        <w:tc>
          <w:tcPr>
            <w:tcW w:w="1041" w:type="dxa"/>
            <w:tcBorders/>
            <w:tcMar>
              <w:top w:w="0" w:type="dxa"/>
              <w:left w:w="0" w:type="dxa"/>
              <w:bottom w:w="0" w:type="dxa"/>
              <w:right w:w="0" w:type="dxa"/>
            </w:tcMar>
            <w:vAlign w:val="center"/>
          </w:tcPr>
          <w:p>
            <w:pPr>
              <w:pStyle w:val="TableContents"/>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ind w:left="0" w:right="0" w:firstLine="788"/>
              <w:jc w:val="left"/>
              <w:rPr>
                <w:rFonts w:ascii="Calibri Light;sans-serif" w:hAnsi="Calibri Light;sans-serif"/>
                <w:color w:val="000000"/>
                <w:sz w:val="20"/>
              </w:rPr>
            </w:pPr>
            <w:r>
              <w:rPr>
                <w:rFonts w:ascii="Calibri Light;sans-serif" w:hAnsi="Calibri Light;sans-serif"/>
                <w:color w:val="000000"/>
                <w:sz w:val="20"/>
              </w:rPr>
              <w:t>Ohne den vorstehenden Absatz dieses Artikels 31 einzuschränken, hat die Gesellschaft den gegenwärtigen und ehemaligen Mitgliedern des Verwaltungsrates und der Geschäftsleitung die Kosten und Auslagen zu erstatten, die nach diesem Artikel erstattungsfähig sind, soweit sie nicht durch Versicherungen gedeckt sind oder von Dritten vorab erstattet werden. Die Gesellschaft kann jedoch diese vorausbezahlten Konten zurückfordern, wenn eine der genannten Personen in einem rechtskräftigen Urteil oder Beschluss eines Gerichts oder einer zuständigen Regierungs- oder Verwaltungsbehörde, gegen das kein Rechtsmittel eingelegt werden kann, wegen vorsätzlicher oder grobfahrlässiger Verletzung ihrer gesetzlichen Pflichten als Mitglied des Verwaltungsrates oder der Geschäftsleitung verurteilt wird.</w:t>
            </w:r>
          </w:p>
        </w:tc>
      </w:tr>
      <w:tr>
        <w:trPr/>
        <w:tc>
          <w:tcPr>
            <w:tcW w:w="3904"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VI. Auditors</w:t>
            </w:r>
          </w:p>
        </w:tc>
        <w:tc>
          <w:tcPr>
            <w:tcW w:w="1041"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5260"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VI. Revisionsstelle</w:t>
            </w:r>
          </w:p>
        </w:tc>
      </w:tr>
      <w:tr>
        <w:trPr/>
        <w:tc>
          <w:tcPr>
            <w:tcW w:w="390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32 Election, Term</w:t>
            </w:r>
          </w:p>
          <w:p>
            <w:pPr>
              <w:pStyle w:val="TableContents"/>
              <w:bidi w:val="0"/>
              <w:spacing w:before="0" w:after="120"/>
              <w:jc w:val="left"/>
              <w:rPr>
                <w:rFonts w:ascii="Times New Roman" w:hAnsi="Times New Roman"/>
                <w:sz w:val="20"/>
              </w:rPr>
            </w:pPr>
            <w:r>
              <w:rPr>
                <w:rFonts w:ascii="Calibri Light;sans-serif" w:hAnsi="Calibri Light;sans-serif"/>
                <w:color w:val="000000"/>
                <w:sz w:val="20"/>
              </w:rPr>
              <w:t>The General Meeting shall elect one or more accountants as its Auditors in terms of articles 727 et seq. CO every year with the rights and duties determined by law.</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32 Wahl, Amtsdauer</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Generalversammlung wählt jedes Jahr eine oder mehrere natürliche oder juristische Personen als Revisionsstelle im Sinne von Artikeln 727 ff. OR mit den im Gesetz festgehaltenen Rechten und Pflichten.</w:t>
            </w:r>
          </w:p>
        </w:tc>
      </w:tr>
      <w:tr>
        <w:trPr/>
        <w:tc>
          <w:tcPr>
            <w:tcW w:w="390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General Meeting may appoint Special Auditors for a term of up to three years who provide the attestations required for capital increases.</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Generalversammlung kann für die Dauer von bis zu drei Jahren Sonderrevisoren bestimmen, welche die bei Kapitalerhöhungen erforderlichen Bescheinigungen erbringen.</w:t>
            </w:r>
          </w:p>
        </w:tc>
      </w:tr>
      <w:tr>
        <w:trPr/>
        <w:tc>
          <w:tcPr>
            <w:tcW w:w="390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33 Duties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Auditors shall perform their duties to audit and report whether the accounting, the annual accounts and the proposal regarding allocation of profits is in accordance with law and the articles of association.</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33 Aufgaben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Revisionsstelle prüft, ob die Buchführung und die Jahresrechnung sowie der Antrag über die Verwendung des Bilanzgewinns Gesetz und Statuten entsprechen.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34</w:t>
      </w:r>
    </w:p>
    <w:tbl>
      <w:tblPr>
        <w:tblW w:w="10205" w:type="dxa"/>
        <w:jc w:val="left"/>
        <w:tblInd w:w="0" w:type="dxa"/>
        <w:tblLayout w:type="fixed"/>
        <w:tblCellMar>
          <w:top w:w="28" w:type="dxa"/>
          <w:left w:w="28" w:type="dxa"/>
          <w:bottom w:w="28" w:type="dxa"/>
          <w:right w:w="28" w:type="dxa"/>
        </w:tblCellMar>
      </w:tblPr>
      <w:tblGrid>
        <w:gridCol w:w="3914"/>
        <w:gridCol w:w="1608"/>
        <w:gridCol w:w="4683"/>
      </w:tblGrid>
      <w:tr>
        <w:trPr/>
        <w:tc>
          <w:tcPr>
            <w:tcW w:w="391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683" w:type="dxa"/>
            <w:tcBorders/>
            <w:vAlign w:val="center"/>
          </w:tcPr>
          <w:p>
            <w:pPr>
              <w:pStyle w:val="TableContents"/>
              <w:bidi w:val="0"/>
              <w:spacing w:before="0" w:after="283"/>
              <w:ind w:left="0" w:right="0" w:firstLine="790"/>
              <w:jc w:val="left"/>
              <w:rPr>
                <w:sz w:val="4"/>
                <w:szCs w:val="4"/>
              </w:rPr>
            </w:pPr>
            <w:r>
              <w:rPr>
                <w:sz w:val="4"/>
                <w:szCs w:val="4"/>
              </w:rPr>
            </w:r>
          </w:p>
        </w:tc>
      </w:tr>
      <w:tr>
        <w:trPr/>
        <w:tc>
          <w:tcPr>
            <w:tcW w:w="3914" w:type="dxa"/>
            <w:tcBorders/>
            <w:tcMar>
              <w:top w:w="0" w:type="dxa"/>
              <w:left w:w="0" w:type="dxa"/>
              <w:bottom w:w="0" w:type="dxa"/>
              <w:right w:w="0" w:type="dxa"/>
            </w:tcMar>
            <w:vAlign w:val="center"/>
          </w:tcPr>
          <w:p>
            <w:pPr>
              <w:pStyle w:val="Heading1"/>
              <w:bidi w:val="0"/>
              <w:spacing w:before="360" w:after="360"/>
              <w:ind w:left="0" w:right="0" w:firstLine="790"/>
              <w:jc w:val="left"/>
              <w:rPr>
                <w:rFonts w:ascii="Times New Roman" w:hAnsi="Times New Roman"/>
                <w:sz w:val="20"/>
              </w:rPr>
            </w:pPr>
            <w:r>
              <w:rPr>
                <w:rFonts w:ascii="Calibri Light;sans-serif" w:hAnsi="Calibri Light;sans-serif"/>
                <w:caps/>
                <w:color w:val="000000"/>
                <w:sz w:val="20"/>
              </w:rPr>
              <w:t>VII. compensation and related provisions</w:t>
            </w:r>
            <w:r>
              <w:rPr>
                <w:rFonts w:ascii="Times New Roman" w:hAnsi="Times New Roman"/>
                <w:caps/>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683"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vii. Vergütungen und verwandte Bestimmungen</w:t>
            </w:r>
          </w:p>
        </w:tc>
      </w:tr>
      <w:tr>
        <w:trPr/>
        <w:tc>
          <w:tcPr>
            <w:tcW w:w="3914"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34 Principles of the Compensation of the Board of Directors</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The compensation payable to the members of the Board of Directors comprises, subject to and within the bounds of the approval by the General Meeting of the total compensation, the following elements:</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fixed basic remuneration;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 fixed committee fee for work in a committee of the Board of Directors;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 lump sum compensation for expenses;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number of options, shares or other equity-linked instruments in the Company, as further outlined in article 43 of the articles of association.</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68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34 Grundsätze der Vergütung für die Mitglieder des Verwaltungsrats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Vergütung für die Mitglieder des Verwaltungsrats umfasst, unter Vorbehalt der Genehmigung durch die Generalversammlung und im Rahmen der durch diese genehmigten Gesamtvergütung, folgende Elemente:</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 fixes Grundhonorar;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fixe Entschädigung für Tätigkeiten als Mitglied eines Ausschusses des Verwaltungsrats;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eine pauschale Spesenentschädigung;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Anzahl von Optionen, Aktien oder anderen eigenkapitalbasierten Instrumenten der Gesellschaft, gemäss Artikel 43 der Statuten.</w:t>
            </w:r>
          </w:p>
        </w:tc>
      </w:tr>
      <w:tr>
        <w:trPr/>
        <w:tc>
          <w:tcPr>
            <w:tcW w:w="39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compensation is paid in cash and in form of options, shares or other equity-linked instruments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8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Vergütung kann bar und in Form von Optionen, Aktien oder anderen eigenkapitalbasierten Instrumenten der Gesellschaft bezahlt werden. Der Verwaltungsrat oder, soweit an ihn delegiert, der Vergütungsausschuss legen Zuteilungs-, Ausübungs- und Verfallsbedingungen fest. Sie können insbesondere vorsehen, dass aufgrund des Eintritts im Voraus bestimmter Ereignisse, wie eines Kontrollwechsels oder der Beendigung des Arbeits- oder Mandatsverhältnisses, Vesting-, Ausübungs- und Verfallsbedingungen weitergelten, verkürzt oder aufgehoben werden, Vergütungen unter der Annahme der Erreichung von Zielwerten ausgerichtet werden oder Vergütungen verfallen. Die Gesellschaft kann die erforderlichen Aktien auf dem Markt erwerben, aus Beständen eigener Aktien entnehmen oder unter Verwendung von bedingtem oder genehmigtem Kapital bereitstellen.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35</w:t>
      </w:r>
    </w:p>
    <w:tbl>
      <w:tblPr>
        <w:tblW w:w="10205" w:type="dxa"/>
        <w:jc w:val="left"/>
        <w:tblInd w:w="0" w:type="dxa"/>
        <w:tblLayout w:type="fixed"/>
        <w:tblCellMar>
          <w:top w:w="28" w:type="dxa"/>
          <w:left w:w="28" w:type="dxa"/>
          <w:bottom w:w="28" w:type="dxa"/>
          <w:right w:w="28" w:type="dxa"/>
        </w:tblCellMar>
      </w:tblPr>
      <w:tblGrid>
        <w:gridCol w:w="3907"/>
        <w:gridCol w:w="1608"/>
        <w:gridCol w:w="4690"/>
      </w:tblGrid>
      <w:tr>
        <w:trPr/>
        <w:tc>
          <w:tcPr>
            <w:tcW w:w="390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690" w:type="dxa"/>
            <w:tcBorders/>
            <w:vAlign w:val="center"/>
          </w:tcPr>
          <w:p>
            <w:pPr>
              <w:pStyle w:val="TableContents"/>
              <w:bidi w:val="0"/>
              <w:spacing w:before="0" w:after="283"/>
              <w:jc w:val="left"/>
              <w:rPr>
                <w:sz w:val="4"/>
                <w:szCs w:val="4"/>
              </w:rPr>
            </w:pPr>
            <w:r>
              <w:rPr>
                <w:sz w:val="4"/>
                <w:szCs w:val="4"/>
              </w:rPr>
            </w:r>
          </w:p>
        </w:tc>
      </w:tr>
      <w:tr>
        <w:trPr/>
        <w:tc>
          <w:tcPr>
            <w:tcW w:w="3907"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shares or by using contingent or authorized share capital.</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6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9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Vorbehältlich der Genehmigung durch die Generalversammlung, kann den Mitgliedern des Verwaltungsrats eine Entschädigung in bar zu marktüblichen Konditionen für Beratungstätigkeiten, welche diese ausserhalb ihrer Funktion als Verwaltungsratsmitglied und zu Gunsten der Gesellschaft oder von ihr kontrollierter Gesellschaften erbringen, ausbezahlt werden. Die Generalversammlung kann in Ausnahmefällen einen zusätzlichen Bonus zu Gunsten der Verwaltungsratsmitglieder genehmigen.</w:t>
            </w:r>
          </w:p>
        </w:tc>
      </w:tr>
      <w:tr>
        <w:trPr/>
        <w:tc>
          <w:tcPr>
            <w:tcW w:w="390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compensation may also be paid for activities in companies that are directly or indirectly controlled by the Company and may be paid by the Company or by a company controlled by it.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90"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Vergütung kann auch ausgerichtet werden für Tätigkeiten in Unternehmen, die durch die Gesellschaft direkt oder indirekt kontrolliert werden und kann durch die Gesellschaft oder durch von ihr kontrollierte Unternehmen ausgerichtet werden.</w:t>
            </w:r>
          </w:p>
        </w:tc>
      </w:tr>
      <w:tr>
        <w:trPr/>
        <w:tc>
          <w:tcPr>
            <w:tcW w:w="3907"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35 Principles of the Compensation of the Executive Committee</w:t>
            </w:r>
          </w:p>
          <w:p>
            <w:pPr>
              <w:pStyle w:val="TableContents"/>
              <w:bidi w:val="0"/>
              <w:spacing w:before="0" w:after="120"/>
              <w:ind w:left="0" w:right="0" w:firstLine="1355"/>
              <w:jc w:val="left"/>
              <w:rPr>
                <w:rFonts w:ascii="Times New Roman" w:hAnsi="Times New Roman"/>
                <w:sz w:val="20"/>
              </w:rPr>
            </w:pPr>
            <w:r>
              <w:rPr>
                <w:rFonts w:ascii="Calibri Light;sans-serif" w:hAnsi="Calibri Light;sans-serif"/>
                <w:color w:val="000000"/>
                <w:sz w:val="20"/>
              </w:rPr>
              <w:t>The compensation payable to the members of the Executive Committee is subject to the approval by the General Meeting and comprises the following elements:</w:t>
            </w:r>
            <w:r>
              <w:rPr>
                <w:rFonts w:ascii="Times New Roman" w:hAnsi="Times New Roman"/>
                <w:color w:val="000000"/>
                <w:sz w:val="20"/>
              </w:rPr>
              <w:t xml:space="preserve"> </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fixed remuneration payable in cash;</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 performance-related remuneration payable in cash (variable);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number of options, shares or equity-lined instruments in the Company (variable), as further outlined in article 43 of the articles of association.</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690"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35 Grundsätze der Vergütung für die Mitglieder der Geschäftsleitung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Vergütung für die Mitglieder der Geschäftsleitung ist von der Generalversammlung zu genehmigen und umfasst folgende Elemente:</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fixe Vergütung in bar;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pPr>
            <w:r>
              <w:rPr>
                <w:rFonts w:ascii="Calibri Light;sans-serif" w:hAnsi="Calibri Light;sans-serif"/>
                <w:color w:val="000000"/>
                <w:sz w:val="20"/>
              </w:rPr>
              <w:t xml:space="preserve">eine erfolgsabhängige Vergütung in bar (variabel);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Anzahl Optionen, Aktien oder anderen eigenkapitalbasierten Instrumenten der Gesellschaft (variabel), gemäss Artikel 43 der Statuten.</w:t>
            </w:r>
          </w:p>
        </w:tc>
      </w:tr>
      <w:tr>
        <w:trPr/>
        <w:tc>
          <w:tcPr>
            <w:tcW w:w="390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69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erfolgsabhängige Vergütung richtet sich nach dem Geschäftserfolg und der individuellen Leistung gemessen nach dem Erreichen bestimmter vordefinierter Ziele über ein Geschäftsjahr. Der Verwaltungsrat definiert jährlich am Anfang jeder Leistungsperiode auf Antrag des Vergütungsausschusses hin die relevanten Ziele und deren Gewichtung. Die Höhe der erfolgsabhängigen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36</w:t>
      </w:r>
    </w:p>
    <w:tbl>
      <w:tblPr>
        <w:tblW w:w="10205" w:type="dxa"/>
        <w:jc w:val="left"/>
        <w:tblInd w:w="0" w:type="dxa"/>
        <w:tblLayout w:type="fixed"/>
        <w:tblCellMar>
          <w:top w:w="28" w:type="dxa"/>
          <w:left w:w="28" w:type="dxa"/>
          <w:bottom w:w="28" w:type="dxa"/>
          <w:right w:w="28" w:type="dxa"/>
        </w:tblCellMar>
      </w:tblPr>
      <w:tblGrid>
        <w:gridCol w:w="3682"/>
        <w:gridCol w:w="1608"/>
        <w:gridCol w:w="4915"/>
      </w:tblGrid>
      <w:tr>
        <w:trPr/>
        <w:tc>
          <w:tcPr>
            <w:tcW w:w="368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15" w:type="dxa"/>
            <w:tcBorders/>
            <w:vAlign w:val="center"/>
          </w:tcPr>
          <w:p>
            <w:pPr>
              <w:pStyle w:val="TableContents"/>
              <w:bidi w:val="0"/>
              <w:spacing w:before="0" w:after="283"/>
              <w:jc w:val="left"/>
              <w:rPr>
                <w:sz w:val="4"/>
                <w:szCs w:val="4"/>
              </w:rPr>
            </w:pPr>
            <w:r>
              <w:rPr>
                <w:sz w:val="4"/>
                <w:szCs w:val="4"/>
              </w:rPr>
            </w:r>
          </w:p>
        </w:tc>
      </w:tr>
      <w:tr>
        <w:trPr/>
        <w:tc>
          <w:tcPr>
            <w:tcW w:w="3682"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business year the decisive targets and their weighting upon proposal by the Compensation Committee. The amount of the performance-related remuneration in cash for each member of the Compensation Committee is determined by the Board of Directors and may not exceed 100% of the respective individual fixed remuneration for the same year.</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91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Vergütung in bar für das jeweilige Geschäftsleitungsmitglied wird vom Verwaltungsrat festgelegt und darf 100% der im entsprechenden Geschäftsjahr relevanten individuellen, fixen Vergütung nicht überschreiten.</w:t>
            </w:r>
          </w:p>
        </w:tc>
      </w:tr>
      <w:tr>
        <w:trPr/>
        <w:tc>
          <w:tcPr>
            <w:tcW w:w="368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compensation may also be paid for activities in companies that are directly or indirectly controlled by the Company and may be paid by the Company or by a company controlled by it.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1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Vergütung kann auch ausgerichtet werden für Tätigkeiten in Unternehmen, die durch die Gesellschaft direkt oder indirekt kontrolliert werden und kann durch die Gesellschaft oder durch von ihr kontrollierte Unternehmen ausgerichtet werden.</w:t>
            </w:r>
          </w:p>
        </w:tc>
      </w:tr>
      <w:tr>
        <w:trPr/>
        <w:tc>
          <w:tcPr>
            <w:tcW w:w="3682"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36 Compensation for new Members of the Executive Committee</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1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36 Vergütungen für neue Mitglieder der Geschäftsleitung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Sofern neue Mitglieder der Geschäftsleitung ernannt werden und ihre Stelle antreten, nachdem die Generalversammlung die Gesamtvergütung für die Geschäftsleitungsmitglieder im entsprechenden Jahr genehmigt hat, darf diesen neuen Mitglieder ein zusätzlicher Betrag für die Dauer bis zur nächsten ordentlichen Generalversammlung vergütet werden. Dieser Zusatzbetrag an alle neuen Mitglieder der Geschäftsleitung darf 50% der von der Generalversammlung für das betreffende Jahr bereits genehmigten Gesamtvergütung nicht übersteigen. Der Zusatzbetrag darf nur ausgerichtet werden, sofern und soweit die von der Generalversammlung beschlossenen Vergütungsbeträge an die Geschäftsleitungsmitglieder bis zur nächsten ordentlichen Generalversammlung für die Vergütung der neuen Mitglieder nicht ausreicht. Über den verwendeten Zusatzbetrag stimmt die Generalversammlung nicht ab.</w:t>
            </w:r>
          </w:p>
        </w:tc>
      </w:tr>
      <w:tr>
        <w:trPr/>
        <w:tc>
          <w:tcPr>
            <w:tcW w:w="368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This additional overall compensation is understood to include any settlements for any disadvantage suffered as a result of the change of job.</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1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Mit diesem Zusatzbetrag sind allfällige durch ein Geschäftsleitungsmitglied erlittene Nachteile aufgrund Stellenwechsel abgegolten.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37</w:t>
      </w:r>
    </w:p>
    <w:tbl>
      <w:tblPr>
        <w:tblW w:w="10205" w:type="dxa"/>
        <w:jc w:val="left"/>
        <w:tblInd w:w="0" w:type="dxa"/>
        <w:tblLayout w:type="fixed"/>
        <w:tblCellMar>
          <w:top w:w="28" w:type="dxa"/>
          <w:left w:w="28" w:type="dxa"/>
          <w:bottom w:w="28" w:type="dxa"/>
          <w:right w:w="28" w:type="dxa"/>
        </w:tblCellMar>
      </w:tblPr>
      <w:tblGrid>
        <w:gridCol w:w="3711"/>
        <w:gridCol w:w="1608"/>
        <w:gridCol w:w="4886"/>
      </w:tblGrid>
      <w:tr>
        <w:trPr/>
        <w:tc>
          <w:tcPr>
            <w:tcW w:w="371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886" w:type="dxa"/>
            <w:tcBorders/>
            <w:vAlign w:val="center"/>
          </w:tcPr>
          <w:p>
            <w:pPr>
              <w:pStyle w:val="TableContents"/>
              <w:bidi w:val="0"/>
              <w:spacing w:before="0" w:after="283"/>
              <w:jc w:val="left"/>
              <w:rPr>
                <w:sz w:val="4"/>
                <w:szCs w:val="4"/>
              </w:rPr>
            </w:pPr>
            <w:r>
              <w:rPr>
                <w:sz w:val="4"/>
                <w:szCs w:val="4"/>
              </w:rPr>
            </w:r>
          </w:p>
        </w:tc>
      </w:tr>
      <w:tr>
        <w:trPr/>
        <w:tc>
          <w:tcPr>
            <w:tcW w:w="37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37 Expenses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Expenses which are not covered by the lump sum compensation pursuant to the Company's expense regulations shall be reimbursed following presentation of the supporting receipts. This additional remuneration is not subject to a separate vote by the General Meeting.</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8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37 Spesen</w:t>
            </w:r>
          </w:p>
          <w:p>
            <w:pPr>
              <w:pStyle w:val="TableContents"/>
              <w:bidi w:val="0"/>
              <w:spacing w:before="0" w:after="120"/>
              <w:ind w:left="0" w:right="0" w:firstLine="1357"/>
              <w:jc w:val="left"/>
              <w:rPr>
                <w:rFonts w:ascii="Times New Roman" w:hAnsi="Times New Roman"/>
                <w:sz w:val="20"/>
              </w:rPr>
            </w:pPr>
            <w:r>
              <w:rPr>
                <w:rFonts w:ascii="Calibri Light;sans-serif" w:hAnsi="Calibri Light;sans-serif"/>
                <w:color w:val="000000"/>
                <w:sz w:val="20"/>
              </w:rPr>
              <w:t>Spesen, welche nicht durch die pauschale Spesenentschädigung gemäss Spesenreglement abgedeckt sind, werden nach Vorlage der entsprechenden Belege rückvergütet. Diese Rückvergütung ist von der Generalversammlung nicht zu genehmigen.</w:t>
            </w:r>
            <w:r>
              <w:rPr>
                <w:rFonts w:ascii="Times New Roman" w:hAnsi="Times New Roman"/>
                <w:color w:val="000000"/>
                <w:sz w:val="20"/>
              </w:rPr>
              <w:t xml:space="preserve"> </w:t>
            </w:r>
          </w:p>
        </w:tc>
      </w:tr>
      <w:tr>
        <w:trPr/>
        <w:tc>
          <w:tcPr>
            <w:tcW w:w="3711"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38 Compensation Agreements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Agreements on compensation with members of the Board of Directors may not exceed the term of maximal one year.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88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38 Verträge über die Vergütung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Verträge, die den Vergütungen für die Mitglieder des Verwaltungsrats zugrunde liegen, sind auf maximal ein Jahr befristet.</w:t>
            </w:r>
          </w:p>
        </w:tc>
      </w:tr>
      <w:tr>
        <w:trPr/>
        <w:tc>
          <w:tcPr>
            <w:tcW w:w="37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Employment agreements of the members of the Executive Committee are principally concluded for an indefinite period of time whereas a notice period may not exceed twelve months. If an employment agreement is concluded for a fixed term such term may not exceed one year.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8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Arbeitsverträge der Geschäftsleitungsmitglieder sind grundsätzlich unbefristet, wobei die Kündigungsfrist maximal zwölf Monate betragen darf. Wird ein befristeter Vertrag abgeschlossen, so darf dieser die Dauer von ein Jahr nicht überschreiten.</w:t>
            </w:r>
          </w:p>
        </w:tc>
      </w:tr>
      <w:tr>
        <w:trPr/>
        <w:tc>
          <w:tcPr>
            <w:tcW w:w="3711"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39 Mandates of a Member of the Board of Directors outside the Company</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7 mandates for publicly traded companies pursuant to article 727 para. 1 number 1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8 mandates for companies pursuant to article 727 para. 1 number 2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mandates for companies which do not fulfil the criteria under a) and b) hereunder.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88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39 Mandate eines Verwaltungsratsmitglieds ausserhalb der Gesellschaft</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Ein Mitglied des Verwaltungsrats darf kumulativ maximal folgende Mandate in einem obersten Leitungs- oder Verwaltungsorgan von Rechtseinheiten, die verpflichtet sind, sich ins Handelsregister oder in ein entsprechendes ausländisches Register eintragen zu lassen, übernehmen:</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7 Mandate für Publikumsgesellschaften gemäss Artikel 727 Abs. 1 Ziff. 1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8 Mandate für Gesellschaften gemäss Artikel 727 Abs. 1 Ziff. 2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 für Rechtseinheiten, welche die Kriterien gemäss lit. a) und b) hiervor nicht erfüllen.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38</w:t>
      </w:r>
    </w:p>
    <w:tbl>
      <w:tblPr>
        <w:tblW w:w="10205" w:type="dxa"/>
        <w:jc w:val="left"/>
        <w:tblInd w:w="0" w:type="dxa"/>
        <w:tblLayout w:type="fixed"/>
        <w:tblCellMar>
          <w:top w:w="28" w:type="dxa"/>
          <w:left w:w="28" w:type="dxa"/>
          <w:bottom w:w="28" w:type="dxa"/>
          <w:right w:w="28" w:type="dxa"/>
        </w:tblCellMar>
      </w:tblPr>
      <w:tblGrid>
        <w:gridCol w:w="3547"/>
        <w:gridCol w:w="1608"/>
        <w:gridCol w:w="5050"/>
      </w:tblGrid>
      <w:tr>
        <w:trPr/>
        <w:tc>
          <w:tcPr>
            <w:tcW w:w="354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5050" w:type="dxa"/>
            <w:tcBorders/>
            <w:vAlign w:val="center"/>
          </w:tcPr>
          <w:p>
            <w:pPr>
              <w:pStyle w:val="TableContents"/>
              <w:bidi w:val="0"/>
              <w:spacing w:before="0" w:after="283"/>
              <w:jc w:val="left"/>
              <w:rPr>
                <w:sz w:val="4"/>
                <w:szCs w:val="4"/>
              </w:rPr>
            </w:pPr>
            <w:r>
              <w:rPr>
                <w:sz w:val="4"/>
                <w:szCs w:val="4"/>
              </w:rPr>
            </w:r>
          </w:p>
        </w:tc>
      </w:tr>
      <w:tr>
        <w:trPr/>
        <w:tc>
          <w:tcPr>
            <w:tcW w:w="354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Mandates held in several legal entities each operating under the same management or same beneficial owner (group) are deemed to be a single mandate.</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5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Mandate von verschiedenen Rechtseinheiten, welche aber derselben Führung oder derselben wirtschaftlichen Eigentümerin unterstehen (Konzern), gelten als ein Mandat, dürfen aber insgesamt vierzig nicht übersteigen.</w:t>
            </w:r>
          </w:p>
        </w:tc>
      </w:tr>
      <w:tr>
        <w:trPr/>
        <w:tc>
          <w:tcPr>
            <w:tcW w:w="354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a legal entity fulfills several of the above mentioned criteria, it can be freely counted towards any category. The following mandates are excepted from this restrictions: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pPr>
            <w:r>
              <w:rPr>
                <w:rFonts w:ascii="Calibri Light;sans-serif" w:hAnsi="Calibri Light;sans-serif"/>
                <w:color w:val="000000"/>
                <w:sz w:val="20"/>
              </w:rPr>
              <w:t xml:space="preserve">mandates in legal entities which are controlled by the Company or which control the Company;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honorary mandates in charitable legal entities.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5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Erfüllt eine Rechtseinheit mehrere der vorgenannten Kriterien, kann sie beliebig jeder auf sie zutreffenden Kategorie zugerechnet werden. Folgende Mandate sind von diesen Beschränkungen ausgenommen: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Mandate in Rechtseinheiten, welche von der Gesellschaft kontrolliert werden oder welche die Gesellschaft kontrollieren;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ind w:left="0" w:right="0" w:firstLine="1355"/>
              <w:jc w:val="both"/>
              <w:rPr>
                <w:rFonts w:ascii="Calibri Light;sans-serif" w:hAnsi="Calibri Light;sans-serif"/>
                <w:color w:val="000000"/>
                <w:sz w:val="20"/>
              </w:rPr>
            </w:pPr>
            <w:r>
              <w:rPr>
                <w:rFonts w:ascii="Calibri Light;sans-serif" w:hAnsi="Calibri Light;sans-serif"/>
                <w:color w:val="000000"/>
                <w:sz w:val="20"/>
              </w:rPr>
              <w:t>Ehrenamtliche Mandate in gemeinnützigen Rechtseinheiten.</w:t>
            </w:r>
          </w:p>
        </w:tc>
      </w:tr>
      <w:tr>
        <w:trPr/>
        <w:tc>
          <w:tcPr>
            <w:tcW w:w="3547"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b/>
                <w:color w:val="000000"/>
                <w:sz w:val="20"/>
              </w:rPr>
            </w:pPr>
            <w:r>
              <w:rPr>
                <w:rFonts w:ascii="Calibri Light;sans-serif" w:hAnsi="Calibri Light;sans-serif"/>
                <w:b/>
                <w:color w:val="000000"/>
                <w:sz w:val="20"/>
              </w:rPr>
              <w:t>Article 40 Mandates of a Member of the Executive Committee outside the Company</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2 mandates for publicly traded companies pursuant to article 727 para. 1 number 1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3 mandates for companies pursuant to article 727 para. 1 number 2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mandates for companies which do not fulfil the criteria under litera a) and b) hereunder.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050"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Times New Roman" w:hAnsi="Times New Roman"/>
                <w:sz w:val="20"/>
              </w:rPr>
            </w:pPr>
            <w:r>
              <w:rPr>
                <w:rFonts w:ascii="Calibri Light;sans-serif" w:hAnsi="Calibri Light;sans-serif"/>
                <w:b/>
                <w:color w:val="000000"/>
                <w:sz w:val="20"/>
              </w:rPr>
              <w:t>Artikel 40 Mandate eines Geschäftsleitungsmitglieds ausserhalb der Gesellschaft</w:t>
              <w:br/>
            </w:r>
            <w:r>
              <w:rPr>
                <w:rFonts w:ascii="Times New Roman" w:hAnsi="Times New Roman"/>
                <w:color w:val="000000"/>
                <w:sz w:val="20"/>
              </w:rPr>
              <w:t> </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Jedes Mitglied der Geschäftsleitung darf mit Genehmigung des Verwaltungsrats kumulativ maximal folgende Mandate in einem obersten Leitungs- oder Verwaltungsorgan von Rechtseinheiten, die verpflichtet sind, sich ins Handelsregister oder in ein entsprechendes ausländisches Register eintragen zu lassen, übernehmen:</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2 Mandate für Publikumsgesellschaften gemäss Artikel 727 Abs. 1 Ziff. 1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3 Mandate für Gesellschaften gemäss Artikel 727 Abs. 1 Ziff. 2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 für Rechtseinheiten, welche die Kriterien gemäss lit. a) und b) hiervor nicht erfüllen.</w:t>
            </w:r>
          </w:p>
        </w:tc>
      </w:tr>
      <w:tr>
        <w:trPr/>
        <w:tc>
          <w:tcPr>
            <w:tcW w:w="354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Mandates held in several legal entities each operating under the same management or same beneficial owner</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5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Mandate von verschiedenen Rechtseinheiten, welche aber derselben Führung oder derselben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39</w:t>
      </w:r>
    </w:p>
    <w:tbl>
      <w:tblPr>
        <w:tblW w:w="10205" w:type="dxa"/>
        <w:jc w:val="left"/>
        <w:tblInd w:w="0" w:type="dxa"/>
        <w:tblLayout w:type="fixed"/>
        <w:tblCellMar>
          <w:top w:w="28" w:type="dxa"/>
          <w:left w:w="28" w:type="dxa"/>
          <w:bottom w:w="28" w:type="dxa"/>
          <w:right w:w="28" w:type="dxa"/>
        </w:tblCellMar>
      </w:tblPr>
      <w:tblGrid>
        <w:gridCol w:w="3741"/>
        <w:gridCol w:w="251"/>
        <w:gridCol w:w="6213"/>
      </w:tblGrid>
      <w:tr>
        <w:trPr/>
        <w:tc>
          <w:tcPr>
            <w:tcW w:w="37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13" w:type="dxa"/>
            <w:tcBorders/>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(group) are deemed to be a single mandate.</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wirtschaftlichen Eigentümerin unterstehen (Konzern), gelten als ein Mandat.</w:t>
            </w:r>
          </w:p>
        </w:tc>
      </w:tr>
      <w:tr>
        <w:trPr/>
        <w:tc>
          <w:tcPr>
            <w:tcW w:w="374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a legal entity fulfills several of the above mentioned criteria, it can be freely counted towards any category. The following mandates are excepted from this restrictions: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pPr>
            <w:r>
              <w:rPr>
                <w:rFonts w:ascii="Calibri Light;sans-serif" w:hAnsi="Calibri Light;sans-serif"/>
                <w:color w:val="000000"/>
                <w:sz w:val="20"/>
              </w:rPr>
              <w:t xml:space="preserve">mandates in legal entities which are controlled by the Company or which control the Company;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honorary mandates in charitable legal entities.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Erfüllt eine Rechtseinheit mehrere der vorgenannten Kriterien, kann sie beliebig jeder auf sie zutreffenden Kategorie zugerechnet werden. Folgende Mandate sind von diesen Beschränkungen ausgenommen: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Mandate in Rechtseinheiten, welche von der Gesellschaft kontrolliert werden oder welche die Gesellschaft kontrollieren;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Ehrenamtliche Mandate in gemeinnützigen Rechtseinheiten.</w:t>
            </w:r>
          </w:p>
        </w:tc>
      </w:tr>
      <w:tr>
        <w:trPr/>
        <w:tc>
          <w:tcPr>
            <w:tcW w:w="374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b/>
                <w:color w:val="000000"/>
                <w:sz w:val="20"/>
              </w:rPr>
              <w:t>Article 41 Loans and Credits</w:t>
            </w:r>
            <w:r>
              <w:rPr>
                <w:rFonts w:ascii="Times New Roman" w:hAnsi="Times New Roman"/>
                <w:color w:val="000000"/>
                <w:sz w:val="20"/>
              </w:rPr>
              <w:t xml:space="preserve"> </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members of the Board of Directors and the Executive Committee may not be granted any loans, credits or securities. Excepted from the above are advances in the maximum amount of CHF 500'000 per person for attorneys' fees, court and other similar costs required for the defence of third-party liability claims permitted by article 31.</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b/>
                <w:color w:val="000000"/>
                <w:sz w:val="20"/>
              </w:rPr>
              <w:t>Artikel 41 Darlehen und Kredite</w:t>
            </w:r>
            <w:r>
              <w:rPr>
                <w:rFonts w:ascii="Times New Roman" w:hAnsi="Times New Roman"/>
                <w:color w:val="000000"/>
                <w:sz w:val="20"/>
              </w:rPr>
              <w:t xml:space="preserve"> </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Den Mitgliedern des Verwaltungsrats und der Geschäftsleitung dürfen keine Darlehen, Kredite oder Sicherheiten gewährt werden. Ausnahme davon bilden Vorschusszahlungen über einen Betrag von maximal CHF 500'000 pro Person für Anwalts-, Gerichts- und ähnliche Kosten zur Abwehr von Verantwortlichkeitsansprüchen, sofern zulässig nach Artikel 31.</w:t>
            </w:r>
          </w:p>
        </w:tc>
      </w:tr>
      <w:tr>
        <w:trPr/>
        <w:tc>
          <w:tcPr>
            <w:tcW w:w="374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42 Pension Funds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42 Pensionskasse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Gesellschaft leistet für die Mitglieder des Verwaltungsrats die gesetzlichen Arbeitgebersozialversicherungsbeiträge. Abgesehen davon richtet die Gesellschaft keine Beiträge an die Pensionskasse oder andere Vorsorgeeinrichtungen für die Mitglieder des Verwaltungsrats aus. Solche Beiträge können ausnahmsweise auf Antrag des Vergütungsausschusses und nach Genehmigung der Generalversammlung ausgerichtet werden.</w:t>
            </w:r>
          </w:p>
        </w:tc>
      </w:tr>
      <w:tr>
        <w:trPr/>
        <w:tc>
          <w:tcPr>
            <w:tcW w:w="37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Members of the Executive Committee participate in the Company's pension plans (the Company's pension fund and the management pension plan). The pension plans conform to the legal requirements (BVG). For members of the Executive Committee, the insured income</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Mitglieder der Geschäftsleitung partizipieren am Pensionsplan der Gesellschaft (Pensionskasse sowie Management Pensionsplan). Der Pensionsplan hat den gesetzlichen Bestimmungen (BVG) zu entsprechen. Das versicherte Einkommen der Mitglieder der Geschäftsleitung entspricht jeweils dem Betrag der fixen Vergütung zuzüglich 50% 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40</w:t>
      </w:r>
    </w:p>
    <w:tbl>
      <w:tblPr>
        <w:tblW w:w="10205" w:type="dxa"/>
        <w:jc w:val="left"/>
        <w:tblInd w:w="0" w:type="dxa"/>
        <w:tblLayout w:type="fixed"/>
        <w:tblCellMar>
          <w:top w:w="28" w:type="dxa"/>
          <w:left w:w="28" w:type="dxa"/>
          <w:bottom w:w="28" w:type="dxa"/>
          <w:right w:w="28" w:type="dxa"/>
        </w:tblCellMar>
      </w:tblPr>
      <w:tblGrid>
        <w:gridCol w:w="4481"/>
        <w:gridCol w:w="251"/>
        <w:gridCol w:w="5473"/>
      </w:tblGrid>
      <w:tr>
        <w:trPr/>
        <w:tc>
          <w:tcPr>
            <w:tcW w:w="44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73" w:type="dxa"/>
            <w:tcBorders/>
            <w:vAlign w:val="center"/>
          </w:tcPr>
          <w:p>
            <w:pPr>
              <w:pStyle w:val="TableContents"/>
              <w:bidi w:val="0"/>
              <w:spacing w:before="0" w:after="283"/>
              <w:jc w:val="left"/>
              <w:rPr>
                <w:sz w:val="4"/>
                <w:szCs w:val="4"/>
              </w:rPr>
            </w:pPr>
            <w:r>
              <w:rPr>
                <w:sz w:val="4"/>
                <w:szCs w:val="4"/>
              </w:rPr>
            </w:r>
          </w:p>
        </w:tc>
      </w:tr>
      <w:tr>
        <w:trPr/>
        <w:tc>
          <w:tcPr>
            <w:tcW w:w="448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is defined as the fixed remuneration plus 50% of the target performance-related remuneration, up to the legal maximum. Equity-linked income components are not included.</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erfolgsabhängigen Vergütung bis zum gesetzlichen Maximum. Aktienbezogene Vergütungen werden nicht berücksichtigt.</w:t>
            </w:r>
          </w:p>
        </w:tc>
      </w:tr>
      <w:tr>
        <w:trPr/>
        <w:tc>
          <w:tcPr>
            <w:tcW w:w="44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zugunsten der Geschäftsleitungsmitglieder und im Rahmen der von der Generalversammlung genehmigten Gesamtvergütungen zusätzliche Einkäufe in die Pensionskasse tätigen, um Nachteile aufgrund von Stellenwechsel auszugleichen oder zugunsten zusätzlicher Rentenansprüche. In diesem Zusammenhang kann die Gesellschaft Lebensversicherungen zugunsten der Mitglieder der Geschäftsleitung abschliessen und die Versicherungsprämien vollumfänglich oder teilweise zahlen.</w:t>
            </w:r>
          </w:p>
        </w:tc>
      </w:tr>
      <w:tr>
        <w:trPr/>
        <w:tc>
          <w:tcPr>
            <w:tcW w:w="44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Upon retirement, the Company may also grant members of the Executive Committee a bridging pension to cover the period between early retirement at 62 and the ordinary age of retirement, if such bridging pension does not exceed 100% of the total annual compensation of the respective member last paid.</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ihren Geschäftsleitungsmitgliedern eine Überbrückungsrente zusichern, um die Zeitdauer zwischen einer Frühpensionierung ab dem 62. Altersjahr und dem ordentlichen Pensionsalter abzudecken, soweit eine solche Überbrückungsrente 100% der letztmalig an dieses Mitglied bezahlte Jahresvergütung nicht übersteigt.</w:t>
            </w:r>
          </w:p>
        </w:tc>
      </w:tr>
      <w:tr>
        <w:trPr/>
        <w:tc>
          <w:tcPr>
            <w:tcW w:w="44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43 Option and Share Plans</w:t>
            </w:r>
          </w:p>
          <w:p>
            <w:pPr>
              <w:pStyle w:val="TableContents"/>
              <w:bidi w:val="0"/>
              <w:spacing w:before="0" w:after="120"/>
              <w:jc w:val="left"/>
              <w:rPr>
                <w:rFonts w:ascii="Times New Roman" w:hAnsi="Times New Roman"/>
                <w:sz w:val="20"/>
              </w:rPr>
            </w:pPr>
            <w:r>
              <w:rPr>
                <w:rFonts w:ascii="Calibri Light;sans-serif" w:hAnsi="Calibri Light;sans-serif"/>
                <w:color w:val="000000"/>
                <w:sz w:val="20"/>
              </w:rPr>
              <w:t>Under the Company's Option Plan, the Board of Directors, upon proposal of the Compensation Committee, allocates the participating members of the Executive Committee and the Board of Directors a fixed number of options, shares or other equity-linked instruments with a vesting for a period to be determined by the Board of Directors (the vesting period). At the end of the vesting period, participants in the Option Plan are entitled to exercise the options granted against payment of the strike price. These options to acquire shares in the Company or allocated shares or other equity-linked instruments are subject to the basic principles set out in the following:</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43 Options- und Aktienpläne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Gemäss dem Optionsplan der Gesellschaft, teilt der Verwaltungsrat auf Antrag des Vergütungsausschusses den Mitgliedern der Geschäftsleitung und des Verwaltungsrats eine bestimmte Anzahl Optionen, Aktien oder anderen eigenkapitalbasierten Instrumenten zu, welche einer durch den Verwaltungsrat festzulegenden Sperrfrist unterliegen. Am Optionsplan partizipierende Mitglieder sind nach Ablauf der Sperrfrist berechtigt, die gewährten Optionen gegen Bezahlung des Ausübungspreises auszuüben. Die Optionen, welche zum Erwerb von Aktien an der Gesellschaft berechtigen, bzw. zugeteilten Aktien oder anderen eigenkapitalbasierten Instrumenten unterliegen den folgenden Grundsätzen:</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Es liegt im freien Ermessen des Verwaltungsrats, ob und wem Optionen, Aktien oder anderen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41</w:t>
      </w:r>
    </w:p>
    <w:tbl>
      <w:tblPr>
        <w:tblW w:w="10205" w:type="dxa"/>
        <w:jc w:val="left"/>
        <w:tblInd w:w="0" w:type="dxa"/>
        <w:tblLayout w:type="fixed"/>
        <w:tblCellMar>
          <w:top w:w="28" w:type="dxa"/>
          <w:left w:w="28" w:type="dxa"/>
          <w:bottom w:w="28" w:type="dxa"/>
          <w:right w:w="28" w:type="dxa"/>
        </w:tblCellMar>
      </w:tblPr>
      <w:tblGrid>
        <w:gridCol w:w="4250"/>
        <w:gridCol w:w="650"/>
        <w:gridCol w:w="5305"/>
      </w:tblGrid>
      <w:tr>
        <w:trPr/>
        <w:tc>
          <w:tcPr>
            <w:tcW w:w="42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305"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4250"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it is the sole discretion of the Board of Directors to decide whether to allocate options, shares and other equity-linked instruments and to whom;</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year, the Board of Directors, upon proposal of the Compensation Committee, stipulates the number of options and shares to be allocated, the date of allocation and the strike price;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option incorporates a non-transferable, pre-emptive, and contingent right to acquire a certain number of Company's shares;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 xml:space="preserve">in the case of a change of control (as defined in the Option Plan) or delisting of the Company's shares, the Board may decide that the vesting period shall end (accelerated vesting) and whether the participating member of the Executive Committee or the Board shall be entitled to exercise the options on a pro rata basis on the day the transaction that led to the change of control or delisting was executed. It is at the sole discretion of the Board of Directors to decide upon proposal of the Compensation Committee whether the objectives have been met; </w:t>
              <w:br/>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pPr>
            <w:r>
              <w:rPr>
                <w:rFonts w:ascii="Calibri Light;sans-serif" w:hAnsi="Calibri Light;sans-serif"/>
                <w:color w:val="000000"/>
                <w:sz w:val="20"/>
              </w:rPr>
              <w:t xml:space="preserve">the individual members of the Executive Committee or the Board of Directors participating in the Option Plan are responsible for paying any taxes or social security contributions for which they are legally liable and for declaring income correctly to the authorities; </w:t>
              <w:br/>
            </w:r>
            <w:r>
              <w:rPr>
                <w:color w:val="000000"/>
              </w:rPr>
              <w:t> </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it is at the sole discretion of the Board of Directors to decide whether to </w:t>
            </w:r>
          </w:p>
        </w:tc>
        <w:tc>
          <w:tcPr>
            <w:tcW w:w="650"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5305"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eigenkapitalbasierten Instrumenten zugeteilt werden;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Der Verwaltungsrat bestimmt jährlich auf Antrag des Vergütungsausschusses Anzahl und Datum der Zuteilung sowie Ausübungspreis der Optionen und 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Jede Option begründet ein unübertragbares, bedingtes Bezugsrecht eine bestimmte Anzahl Aktien der Gesellschaft zu erwerben;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Im Falle eines Kontrollwechsels (gemäss Definition im Optionsplan) oder der Dekotierung der Aktien kann der Verwaltungsrat entscheiden, ob die Sperrfrist vorzeitig endet und das teilnehmende Geschäftsleitungsmitglied oder Mitglied des Verwaltungsrat entsprechend berechtigt wird, seine Optionen pro-rata basierend auf dem Stichtag der Transaktion, welche zum Kontrollwechsel geführt hat, oder der Dekotierung der Aktien auszuüben. Der Verwaltungsrat entscheidet nach freiem Ermessen und auf Antrag des Vergütungsausschusses, ob die Ziele in diesem Zusammenhang gegeben sind;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Das jeweilige Mitglied der Geschäftsleitung oder des Verwaltungsrats, welches am Optionsplan teilnimmt, ist selber dafür verantwortlich, dass die vom Empfänger zu bezahlenden Steuern oder Sozialabgaben bezahlt und Einkommen der zuständigen Behörden korrekt gemeldet werden.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Der Verwaltungsrat entscheidet nach freiem Ermessen über Ergänzungen des Optionsplans im Rahmen der obgenannten Grundsätze oder über dessen Beendigung.</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42</w:t>
      </w:r>
    </w:p>
    <w:tbl>
      <w:tblPr>
        <w:tblW w:w="10205" w:type="dxa"/>
        <w:jc w:val="left"/>
        <w:tblInd w:w="0" w:type="dxa"/>
        <w:tblLayout w:type="fixed"/>
        <w:tblCellMar>
          <w:top w:w="28" w:type="dxa"/>
          <w:left w:w="28" w:type="dxa"/>
          <w:bottom w:w="28" w:type="dxa"/>
          <w:right w:w="28" w:type="dxa"/>
        </w:tblCellMar>
      </w:tblPr>
      <w:tblGrid>
        <w:gridCol w:w="4211"/>
        <w:gridCol w:w="1041"/>
        <w:gridCol w:w="4953"/>
      </w:tblGrid>
      <w:tr>
        <w:trPr/>
        <w:tc>
          <w:tcPr>
            <w:tcW w:w="4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953"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4211"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supplement the Option Plan within the bounds of the principles set out above or to discontinue it.</w:t>
            </w:r>
          </w:p>
        </w:tc>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The Company may periodically offer shares in the Company to important and long-term employees for a price being at maximum 10% below the average volume-weighted price of the last 30 trading days at the stock exchange. Members of the Board of Directors and the Executive Committee may be included in this programme. The shares acquired thereby shall be blocked for a period of at least 3 years.</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ind w:left="0" w:right="0" w:firstLine="788"/>
              <w:jc w:val="left"/>
              <w:rPr>
                <w:rFonts w:ascii="Calibri Light;sans-serif" w:hAnsi="Calibri Light;sans-serif"/>
                <w:color w:val="000000"/>
                <w:sz w:val="20"/>
              </w:rPr>
            </w:pPr>
            <w:r>
              <w:rPr>
                <w:rFonts w:ascii="Calibri Light;sans-serif" w:hAnsi="Calibri Light;sans-serif"/>
                <w:color w:val="000000"/>
                <w:sz w:val="20"/>
              </w:rPr>
              <w:t>Die Gesellschaft kann periodisch Aktien der Gesellschaft zu einem Preis, der maximal 10% unter dem über 30 Börsentage volumengewichteten durchschnittlichen Kurs an der Börse liegt, an wichtige und langjährige Mitarbeiter abgeben. Die Mitglieder des Verwaltungsrats und der Geschäftsleitung können in dieses Programm eingeschlossen werden. Die so erworbenen Aktien sind für mindestens 3 Jahre gesperrt.</w:t>
            </w:r>
          </w:p>
        </w:tc>
      </w:tr>
      <w:tr>
        <w:trPr/>
        <w:tc>
          <w:tcPr>
            <w:tcW w:w="421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VIII. Fiscal Year, Accounting principles, Allocation of Profits</w:t>
            </w:r>
          </w:p>
        </w:tc>
        <w:tc>
          <w:tcPr>
            <w:tcW w:w="1041"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953"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VIII. Geschäftsjahr, REchnungslegung, Gewinnverteilung</w:t>
            </w:r>
          </w:p>
        </w:tc>
      </w:tr>
      <w:tr>
        <w:trPr/>
        <w:tc>
          <w:tcPr>
            <w:tcW w:w="421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44 Fiscal Year</w:t>
            </w:r>
          </w:p>
          <w:p>
            <w:pPr>
              <w:pStyle w:val="TableContents"/>
              <w:bidi w:val="0"/>
              <w:spacing w:before="0" w:after="120"/>
              <w:jc w:val="left"/>
              <w:rPr>
                <w:rFonts w:ascii="Times New Roman" w:hAnsi="Times New Roman"/>
                <w:sz w:val="20"/>
              </w:rPr>
            </w:pPr>
            <w:r>
              <w:rPr>
                <w:rFonts w:ascii="Calibri Light;sans-serif" w:hAnsi="Calibri Light;sans-serif"/>
                <w:color w:val="000000"/>
                <w:sz w:val="20"/>
              </w:rPr>
              <w:t>The Board of Directors shall determine the start and the end of the Company's business year.</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44 Geschäftsjahr</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bestimmt, wann das Geschäftsjahr beginnt und wann es endet.</w:t>
            </w:r>
          </w:p>
        </w:tc>
      </w:tr>
      <w:tr>
        <w:trPr/>
        <w:tc>
          <w:tcPr>
            <w:tcW w:w="421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45 Accounting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annual accounts consist of the profit and loss statement, the balance sheet, the cash flow statement, the annex and the management report, and shall be drawn up pursuant to the provisions of the Swiss Code of Obligations, particularly of articles 958 et seq. CO, and the generally accepted commercial principles and customary rules in that business area.</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45 Rechnungslegung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Jahresrechnung besteht aus der Erfolgsrechnung, der Bilanz, der Geldflussrechnung, dem Anhang und dem Lagebericht und ist gemäss den Vorschriften des Schweizerischen Obligationenrechts, insbesondere Artikeln 958 ff. OR, sowie nach den allgemein anerkannten kaufmännischen und branchenüblichen Grundsätzen zu erstellen.</w:t>
            </w:r>
          </w:p>
        </w:tc>
      </w:tr>
      <w:tr>
        <w:trPr/>
        <w:tc>
          <w:tcPr>
            <w:tcW w:w="42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required by law, the consolidated financial statements shall be drawn in accordance with the provisions of article 962 CO.</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Konzernrechnung wird, sofern gesetzlich vorgeschrieben, gemäss den Bestimmungen von Artikeln 962 OR erstellt.</w:t>
            </w:r>
          </w:p>
        </w:tc>
      </w:tr>
      <w:tr>
        <w:trPr/>
        <w:tc>
          <w:tcPr>
            <w:tcW w:w="421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46 Allocation of Profits</w:t>
            </w:r>
          </w:p>
          <w:p>
            <w:pPr>
              <w:pStyle w:val="TableContents"/>
              <w:bidi w:val="0"/>
              <w:spacing w:before="0" w:after="283"/>
              <w:jc w:val="left"/>
              <w:rPr>
                <w:rFonts w:ascii="Times New Roman" w:hAnsi="Times New Roman"/>
                <w:sz w:val="20"/>
              </w:rPr>
            </w:pPr>
            <w:r>
              <w:rPr>
                <w:rFonts w:ascii="Calibri Light;sans-serif" w:hAnsi="Calibri Light;sans-serif"/>
                <w:color w:val="000000"/>
                <w:sz w:val="20"/>
              </w:rPr>
              <w:t>Subject to the legal provisions regarding distribution of profits, the profit as shown on the balance sheet shall be allocated by</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46 Gewinnverteilung</w:t>
            </w:r>
          </w:p>
          <w:p>
            <w:pPr>
              <w:pStyle w:val="TableContents"/>
              <w:bidi w:val="0"/>
              <w:spacing w:before="0" w:after="283"/>
              <w:jc w:val="left"/>
              <w:rPr>
                <w:rFonts w:ascii="Times New Roman" w:hAnsi="Times New Roman"/>
                <w:sz w:val="20"/>
              </w:rPr>
            </w:pPr>
            <w:r>
              <w:rPr>
                <w:rFonts w:ascii="Calibri Light;sans-serif" w:hAnsi="Calibri Light;sans-serif"/>
                <w:color w:val="000000"/>
                <w:sz w:val="20"/>
              </w:rPr>
              <w:t>Die Generalversammlung beschliesst nach Entgegennahme der Anträge des Verwaltungsrates und des Berichtes der Revisionsstelle unter Vorbehalt</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43</w:t>
      </w:r>
    </w:p>
    <w:tbl>
      <w:tblPr>
        <w:tblW w:w="10205" w:type="dxa"/>
        <w:jc w:val="left"/>
        <w:tblInd w:w="0" w:type="dxa"/>
        <w:tblLayout w:type="fixed"/>
        <w:tblCellMar>
          <w:top w:w="28" w:type="dxa"/>
          <w:left w:w="28" w:type="dxa"/>
          <w:bottom w:w="28" w:type="dxa"/>
          <w:right w:w="28" w:type="dxa"/>
        </w:tblCellMar>
      </w:tblPr>
      <w:tblGrid>
        <w:gridCol w:w="3676"/>
        <w:gridCol w:w="1608"/>
        <w:gridCol w:w="4921"/>
      </w:tblGrid>
      <w:tr>
        <w:trPr/>
        <w:tc>
          <w:tcPr>
            <w:tcW w:w="367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General Meeting at its discretion after receipt of the proposals of the Board of Directors and the Auditors.</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92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gesetzlichen Bestimmungen über die Verwendung des Bilanzgewinnes und setzt die Dividende und den Zeitpunkt ihrer Auszahlung fest.</w:t>
            </w:r>
          </w:p>
        </w:tc>
      </w:tr>
      <w:tr>
        <w:trPr/>
        <w:tc>
          <w:tcPr>
            <w:tcW w:w="36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In addition to the legal reserves, the General Meeting may create supplemental reserves.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Zusätzlich zu den gesetzlichen Reserven kann die Generalversammlung zusätzliche Reserven bereitstellen.</w:t>
            </w:r>
          </w:p>
        </w:tc>
      </w:tr>
      <w:tr>
        <w:trPr/>
        <w:tc>
          <w:tcPr>
            <w:tcW w:w="36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Dividends not claimed within five years after the due date shall remain with the Company and be allocated to the general reserves.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ind w:left="0" w:right="0" w:firstLine="790"/>
              <w:jc w:val="left"/>
              <w:rPr>
                <w:rFonts w:ascii="Calibri Light;sans-serif" w:hAnsi="Calibri Light;sans-serif"/>
                <w:color w:val="000000"/>
                <w:sz w:val="20"/>
              </w:rPr>
            </w:pPr>
            <w:r>
              <w:rPr>
                <w:rFonts w:ascii="Calibri Light;sans-serif" w:hAnsi="Calibri Light;sans-serif"/>
                <w:color w:val="000000"/>
                <w:sz w:val="20"/>
              </w:rPr>
              <w:t>Dividenden, die nicht innerhalb von fünf Jahren nach dem Fälligkeitstag beansprucht werden, verbleiben bei der Gesellschaft und werden den allgemeinen Rücklagen zugeführt.</w:t>
            </w:r>
          </w:p>
        </w:tc>
      </w:tr>
      <w:tr>
        <w:trPr/>
        <w:tc>
          <w:tcPr>
            <w:tcW w:w="3676"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Ix. Dissolution and Liquidation</w:t>
            </w:r>
          </w:p>
        </w:tc>
        <w:tc>
          <w:tcPr>
            <w:tcW w:w="1608"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921"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ix. Auflösung und Liquidation</w:t>
            </w:r>
          </w:p>
        </w:tc>
      </w:tr>
      <w:tr>
        <w:trPr/>
        <w:tc>
          <w:tcPr>
            <w:tcW w:w="367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Article 47 Dissolution and Liquidation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dissolution and liquidation of the Company shall take place in accordance with the provisions of the Swiss Code of Obligations.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47 Auflösung und Liquidation</w:t>
            </w:r>
          </w:p>
          <w:p>
            <w:pPr>
              <w:pStyle w:val="TableContents"/>
              <w:bidi w:val="0"/>
              <w:spacing w:before="0" w:after="120"/>
              <w:ind w:left="0" w:right="0" w:firstLine="790"/>
              <w:jc w:val="left"/>
              <w:rPr>
                <w:rFonts w:ascii="Calibri Light;sans-serif" w:hAnsi="Calibri Light;sans-serif"/>
                <w:color w:val="000000"/>
                <w:sz w:val="20"/>
              </w:rPr>
            </w:pPr>
            <w:r>
              <w:rPr>
                <w:rFonts w:ascii="Calibri Light;sans-serif" w:hAnsi="Calibri Light;sans-serif"/>
                <w:color w:val="000000"/>
                <w:sz w:val="20"/>
              </w:rPr>
              <w:t>Für die Auflösung und Liquidation der Gesellschaft gelten die Bestimmungen des Schweizerischen Obligationenrechts.</w:t>
            </w:r>
          </w:p>
        </w:tc>
      </w:tr>
      <w:tr>
        <w:trPr/>
        <w:tc>
          <w:tcPr>
            <w:tcW w:w="3676"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X. Notices and Publications</w:t>
            </w:r>
          </w:p>
        </w:tc>
        <w:tc>
          <w:tcPr>
            <w:tcW w:w="1608"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921"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X. Mitteilungen und Bekanntmachungen</w:t>
            </w:r>
          </w:p>
        </w:tc>
      </w:tr>
      <w:tr>
        <w:trPr/>
        <w:tc>
          <w:tcPr>
            <w:tcW w:w="367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48 Notices and Publications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Swiss Official Gazette of Commerce (SOGC) is the official publication medium.</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48 Mitteilungen und Bekanntmachungen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Das Schweizerische Handelsamtsblatt (SHAB) ist das offizielle Publikationsmedium.</w:t>
            </w:r>
          </w:p>
        </w:tc>
      </w:tr>
      <w:tr>
        <w:trPr/>
        <w:tc>
          <w:tcPr>
            <w:tcW w:w="36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 communications and notices the shareholders shall be made by publication in the Swiss Official Gazette of Commerce or sent by mail or e-mail to the addresses registered in the share register.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Mitteilungen und Bekanntmachungen an die Aktionäre erfolgen durch Publikation im Schweizerischen Handelsamtsblatt oder durch Brief oder E-Mail an die im Aktienbuch verzeichneten Adressen.</w:t>
            </w:r>
          </w:p>
        </w:tc>
      </w:tr>
      <w:tr>
        <w:trPr/>
        <w:tc>
          <w:tcPr>
            <w:tcW w:w="36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Unless the law provides otherwise, notices shall be given to creditors by publication in the Swiss Official Gazette of Commerce. The Board of Directors may assign further means of communication.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Bekanntmachungen an die Gläubiger erfolgen in den vom Gesetz vorgeschriebenen Fällen durch Veröffentlichung im Schweizerischen Handelsamtsblatt, dem Publikationsorgan der Gesellschaft. Der Verwaltungsrat kann weitere Publikationsmittel bezeichnen.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44</w:t>
      </w:r>
    </w:p>
    <w:tbl>
      <w:tblPr>
        <w:tblW w:w="10205" w:type="dxa"/>
        <w:jc w:val="left"/>
        <w:tblInd w:w="0" w:type="dxa"/>
        <w:tblLayout w:type="fixed"/>
        <w:tblCellMar>
          <w:top w:w="28" w:type="dxa"/>
          <w:left w:w="28" w:type="dxa"/>
          <w:bottom w:w="28" w:type="dxa"/>
          <w:right w:w="28" w:type="dxa"/>
        </w:tblCellMar>
      </w:tblPr>
      <w:tblGrid>
        <w:gridCol w:w="4035"/>
        <w:gridCol w:w="1503"/>
        <w:gridCol w:w="4667"/>
      </w:tblGrid>
      <w:tr>
        <w:trPr/>
        <w:tc>
          <w:tcPr>
            <w:tcW w:w="4035"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4667" w:type="dxa"/>
            <w:tcBorders/>
            <w:vAlign w:val="center"/>
          </w:tcPr>
          <w:p>
            <w:pPr>
              <w:pStyle w:val="TableContents"/>
              <w:bidi w:val="0"/>
              <w:spacing w:before="0" w:after="283"/>
              <w:ind w:left="0" w:right="0" w:firstLine="790"/>
              <w:jc w:val="left"/>
              <w:rPr>
                <w:sz w:val="4"/>
                <w:szCs w:val="4"/>
              </w:rPr>
            </w:pPr>
            <w:r>
              <w:rPr>
                <w:sz w:val="4"/>
                <w:szCs w:val="4"/>
              </w:rPr>
            </w:r>
          </w:p>
        </w:tc>
      </w:tr>
      <w:tr>
        <w:trPr/>
        <w:tc>
          <w:tcPr>
            <w:tcW w:w="4035" w:type="dxa"/>
            <w:tcBorders/>
            <w:tcMar>
              <w:top w:w="0" w:type="dxa"/>
              <w:left w:w="0" w:type="dxa"/>
              <w:bottom w:w="0" w:type="dxa"/>
              <w:right w:w="0" w:type="dxa"/>
            </w:tcMar>
            <w:vAlign w:val="center"/>
          </w:tcPr>
          <w:p>
            <w:pPr>
              <w:pStyle w:val="Heading1"/>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XI. QUALIFIED FACTS</w:t>
            </w:r>
          </w:p>
        </w:tc>
        <w:tc>
          <w:tcPr>
            <w:tcW w:w="1503"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667" w:type="dxa"/>
            <w:tcBorders/>
            <w:tcMar>
              <w:top w:w="0" w:type="dxa"/>
              <w:left w:w="0" w:type="dxa"/>
              <w:bottom w:w="0" w:type="dxa"/>
              <w:right w:w="0" w:type="dxa"/>
            </w:tcMar>
            <w:vAlign w:val="center"/>
          </w:tcPr>
          <w:p>
            <w:pPr>
              <w:pStyle w:val="Heading1"/>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XI. QUALIFIZIERTE TATBESTÄNDE</w:t>
            </w:r>
          </w:p>
        </w:tc>
      </w:tr>
      <w:tr>
        <w:trPr/>
        <w:tc>
          <w:tcPr>
            <w:tcW w:w="4035"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49 Contribution in Kind</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In connection with the capital increase of 1 March 2023, and in accordance with the contribution in kind agreement as of 1 March 2023 (the Contribution in Kind Agreement), the Company acquires 10'489'371 ordinary shares in the nominal amount of UDS 0.001 each of European Biotech Acquisition Corp with registered seat in George Town, Cayman Islands (EBAC), from Continental Stock Exchange Corp (Contributor), acting in its own name but on behalf of the shareholders of EBAC. The shares of EBAC are acquired for a total value of USD 104'893'710.00. Based on the Contribution in Kind Agreement and as consideration, the Company issues to the Contributor, acting in its own name but for the account of the holders of ordinary shares of EBAC, a total of 10'489'371 fully paid registered shares with a with a par value of CHF 0.01 each.</w:t>
            </w:r>
          </w:p>
        </w:tc>
        <w:tc>
          <w:tcPr>
            <w:tcW w:w="1503" w:type="dxa"/>
            <w:tcBorders/>
            <w:tcMar>
              <w:top w:w="0" w:type="dxa"/>
              <w:left w:w="0" w:type="dxa"/>
              <w:bottom w:w="0" w:type="dxa"/>
              <w:right w:w="0" w:type="dxa"/>
            </w:tcMar>
            <w:vAlign w:val="center"/>
          </w:tcPr>
          <w:p>
            <w:pPr>
              <w:pStyle w:val="TableContents"/>
              <w:bidi w:val="0"/>
              <w:spacing w:before="120" w:after="120"/>
              <w:ind w:left="0" w:right="0" w:firstLine="1357"/>
              <w:jc w:val="both"/>
              <w:rPr/>
            </w:pPr>
            <w:r>
              <w:rPr/>
              <w:t> </w:t>
            </w:r>
          </w:p>
        </w:tc>
        <w:tc>
          <w:tcPr>
            <w:tcW w:w="4667"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b/>
                <w:color w:val="000000"/>
                <w:sz w:val="20"/>
              </w:rPr>
            </w:pPr>
            <w:r>
              <w:rPr>
                <w:rFonts w:ascii="Calibri Light;sans-serif" w:hAnsi="Calibri Light;sans-serif"/>
                <w:b/>
                <w:color w:val="000000"/>
                <w:sz w:val="20"/>
              </w:rPr>
              <w:t>Artikel 49 Sacheinlage</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Gesellschaft übernimmt bei der Kapitalerhöhung vom 1. März 2023 gemäss Sacheinlagevertrag vom 1. März 2023 (Sacheinlagevertrag) 10'489'371 Aktien (ordinary shares) im Nennwert von USD 0.001 der European Biotech Acquisition Corp, mit Sitz in George Town, Cayman Islands (EBAC), von Continental Stock Exchange Corp (Einlegerin), handelnd im eigenen Namen aber auf Rechnung der Aktionäre der EBAC. Die Aktien der EBAC werden zu einem Übernahmewert von insgesamt USD 104'893'710.00 übernommen. Im Einklang mit dem Sacheinlagevertrag weist die Gesellschaft als Gegenleistung der Einlegerin, handelnd im eigenen Namen aber auf Rechnung der Aktionäre der EBAC, insgesamt 10'489'371 voll einbezahlte Namenaktien mit einem Nennwert von je CHF 0.01 der Gesellschaft zu.</w:t>
            </w:r>
          </w:p>
        </w:tc>
      </w:tr>
      <w:tr>
        <w:trPr/>
        <w:tc>
          <w:tcPr>
            <w:tcW w:w="4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"In connection with the capital increase of 2 March 2023, and in accordance with the contribution in kind agreement as of 2 March 2023 (the Contribution in Kind Agreement), the Company acquires</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3'306'771 registered shares (Common Shares)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1'623'793 registered shares series A (Preferred Shares Series A)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2'486'188 registered shares series B1 (Preferred Shares Series B1)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1'675'474 registered shares series B2 (Preferred Shares Series B2 First Tranche)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426'378 registered shares series B2 </w:t>
            </w:r>
          </w:p>
        </w:tc>
        <w:tc>
          <w:tcPr>
            <w:tcW w:w="1503" w:type="dxa"/>
            <w:tcBorders/>
            <w:tcMar>
              <w:top w:w="0" w:type="dxa"/>
              <w:left w:w="0" w:type="dxa"/>
              <w:bottom w:w="0" w:type="dxa"/>
              <w:right w:w="0" w:type="dxa"/>
            </w:tcMar>
            <w:vAlign w:val="center"/>
          </w:tcPr>
          <w:p>
            <w:pPr>
              <w:pStyle w:val="TableContents"/>
              <w:bidi w:val="0"/>
              <w:spacing w:before="120" w:after="120"/>
              <w:jc w:val="both"/>
              <w:rPr/>
            </w:pPr>
            <w:r>
              <w:rPr/>
              <w:t> </w:t>
            </w:r>
          </w:p>
        </w:tc>
        <w:tc>
          <w:tcPr>
            <w:tcW w:w="4667"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 xml:space="preserve">Die Gesellschaft übernimmt bei der Kapitalerhöhung vom 2. März 2023 gemäss Sacheinlagevertrag vom 2. März 2023 (Sacheinlagevertrag) </w:t>
              <w:br/>
            </w:r>
            <w:r>
              <w:rPr>
                <w:rFonts w:ascii="Times New Roman" w:hAnsi="Times New Roman"/>
                <w:color w:val="000000"/>
                <w:sz w:val="20"/>
              </w:rPr>
              <w:t> </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3'306'771 Namenaktien (Stammaktien) mit einem Nennwert von je CHF 0.10;</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1'623'793 Namenaktien (Vorzugsaktien Serie A) mit einem Nennwert von je CHF 0.10;</w:t>
            </w:r>
            <w:r>
              <w:rPr>
                <w:color w:val="000000"/>
              </w:rPr>
              <w:t xml:space="preserve"> </w:t>
            </w:r>
            <w:r>
              <w:rPr>
                <w:rFonts w:ascii="Calibri Light;sans-serif" w:hAnsi="Calibri Light;sans-serif"/>
                <w:color w:val="000000"/>
                <w:sz w:val="20"/>
              </w:rPr>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2'486'188 Namenaktien (Vorzugsaktien Serie B1) mit einem Nennwert von je CHF 0.10;</w:t>
            </w:r>
            <w:r>
              <w:rPr>
                <w:color w:val="000000"/>
              </w:rPr>
              <w:t xml:space="preserve"> </w:t>
            </w:r>
            <w:r>
              <w:rPr>
                <w:rFonts w:ascii="Calibri Light;sans-serif" w:hAnsi="Calibri Light;sans-serif"/>
                <w:color w:val="000000"/>
                <w:sz w:val="24"/>
              </w:rPr>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1'675'474 Namenaktien (Vorzugsaktien Serie B2 erste Tranche) mit einem Nennwert von je CHF 0.10;</w:t>
              <w:br/>
            </w:r>
            <w:r>
              <w:rPr>
                <w:color w:val="000000"/>
              </w:rPr>
              <w:t> </w:t>
            </w:r>
          </w:p>
          <w:p>
            <w:pPr>
              <w:pStyle w:val="TableContents"/>
              <w:bidi w:val="0"/>
              <w:spacing w:before="0" w:after="120"/>
              <w:jc w:val="both"/>
              <w:rPr>
                <w:color w:val="000000"/>
              </w:rPr>
            </w:pPr>
            <w:r>
              <w:rPr>
                <w:color w:val="000000"/>
              </w:rPr>
              <w:t></w:t>
            </w:r>
          </w:p>
          <w:p>
            <w:pPr>
              <w:pStyle w:val="TableContents"/>
              <w:bidi w:val="0"/>
              <w:spacing w:before="0" w:after="120"/>
              <w:jc w:val="both"/>
              <w:rPr/>
            </w:pPr>
            <w:r>
              <w:rPr>
                <w:rFonts w:ascii="Calibri Light;sans-serif" w:hAnsi="Calibri Light;sans-serif"/>
                <w:color w:val="000000"/>
                <w:sz w:val="20"/>
              </w:rPr>
              <w:t xml:space="preserve">426'378 Namenaktien (Vorzugsaktien Serie B2 zweite Tranche) mit einem Nennwert von je CHF 0.10; </w:t>
            </w:r>
            <w:r>
              <w:rPr>
                <w:rFonts w:ascii="Calibri Light;sans-serif" w:hAnsi="Calibri Light;sans-serif"/>
                <w:color w:val="000000"/>
                <w:sz w:val="24"/>
              </w:rPr>
              <w:br/>
            </w:r>
            <w:r>
              <w:rPr>
                <w:color w:val="000000"/>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45</w:t>
      </w:r>
    </w:p>
    <w:tbl>
      <w:tblPr>
        <w:tblW w:w="10205" w:type="dxa"/>
        <w:jc w:val="left"/>
        <w:tblInd w:w="0" w:type="dxa"/>
        <w:tblLayout w:type="fixed"/>
        <w:tblCellMar>
          <w:top w:w="28" w:type="dxa"/>
          <w:left w:w="28" w:type="dxa"/>
          <w:bottom w:w="28" w:type="dxa"/>
          <w:right w:w="28" w:type="dxa"/>
        </w:tblCellMar>
      </w:tblPr>
      <w:tblGrid>
        <w:gridCol w:w="4561"/>
        <w:gridCol w:w="434"/>
        <w:gridCol w:w="5210"/>
      </w:tblGrid>
      <w:tr>
        <w:trPr/>
        <w:tc>
          <w:tcPr>
            <w:tcW w:w="456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210"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120"/>
              <w:jc w:val="both"/>
              <w:rPr/>
            </w:pPr>
            <w:r>
              <w:rPr>
                <w:rFonts w:ascii="Calibri Light;sans-serif" w:hAnsi="Calibri Light;sans-serif"/>
                <w:color w:val="000000"/>
                <w:sz w:val="20"/>
              </w:rPr>
              <w:t>(Preferred Shares Series B2 Second Tranche) with a nominal value of CHF 0.10 each;</w:t>
            </w:r>
            <w:r>
              <w:rPr>
                <w:color w:val="000000"/>
              </w:rPr>
              <w:t xml:space="preserve"> </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603'472 registered shares series B2 (Preferred Shares Series B2 Third Tranche)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5'337'777 registered shares series C 1a (Preferred Shares Series C 1a First Tranche)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362'036 registered shares series C 1a (Preferred Shares Series C 1a Second Tranche) with a nominal value of CHF 0.10 each</w:t>
            </w:r>
          </w:p>
          <w:p>
            <w:pPr>
              <w:pStyle w:val="TableContents"/>
              <w:bidi w:val="0"/>
              <w:spacing w:before="0" w:after="0"/>
              <w:jc w:val="both"/>
              <w:rPr>
                <w:color w:val="000000"/>
              </w:rPr>
            </w:pPr>
            <w:r>
              <w:rPr>
                <w:color w:val="000000"/>
              </w:rPr>
              <w:t></w:t>
            </w:r>
          </w:p>
          <w:p>
            <w:pPr>
              <w:pStyle w:val="TableContents"/>
              <w:bidi w:val="0"/>
              <w:jc w:val="both"/>
              <w:rPr>
                <w:rFonts w:ascii="Calibri Light;sans-serif" w:hAnsi="Calibri Light;sans-serif"/>
                <w:color w:val="000000"/>
                <w:sz w:val="20"/>
              </w:rPr>
            </w:pPr>
            <w:r>
              <w:rPr>
                <w:rFonts w:ascii="Calibri Light;sans-serif" w:hAnsi="Calibri Light;sans-serif"/>
                <w:color w:val="000000"/>
                <w:sz w:val="20"/>
              </w:rPr>
              <w:t>197'745 registered shares series C 1b (Preferred Shares Series C 1b) with a nominal value of CHF 0.50 each</w:t>
            </w:r>
          </w:p>
          <w:p>
            <w:pPr>
              <w:pStyle w:val="TableContents"/>
              <w:bidi w:val="0"/>
              <w:spacing w:before="0" w:after="120"/>
              <w:ind w:left="0" w:right="0" w:firstLine="288"/>
              <w:jc w:val="left"/>
              <w:rPr>
                <w:rFonts w:ascii="Calibri Light;sans-serif" w:hAnsi="Calibri Light;sans-serif"/>
                <w:color w:val="000000"/>
                <w:sz w:val="20"/>
              </w:rPr>
            </w:pPr>
            <w:r>
              <w:rPr>
                <w:rFonts w:ascii="Calibri Light;sans-serif" w:hAnsi="Calibri Light;sans-serif"/>
                <w:color w:val="000000"/>
                <w:sz w:val="20"/>
              </w:rPr>
              <w:t>of Oculis SA with registered seat in Ecublens (VD), Switzerland, from Continental Stock Exchange Corp (Contributor), acting in its own name but on behalf of the shareholders Oculis SA. The shares of Oculis SA are acquired for a total value of USD 202'770.02 and CHF 37'939.95. Based on the Contribution in Kind Agreement and as consideration, the Company issues to the Contributor, acting in its own name but for the account of the shareholders of Oculis SA, a total of 24'070'997 fully paid registered shares with a with a par value of CHF 0.01.</w:t>
            </w:r>
          </w:p>
        </w:tc>
        <w:tc>
          <w:tcPr>
            <w:tcW w:w="43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5210"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Calibri Light;sans-serif" w:hAnsi="Calibri Light;sans-serif"/>
                <w:color w:val="000000"/>
                <w:sz w:val="20"/>
              </w:rPr>
              <w:t xml:space="preserve">603'472 Namenaktien (Vorzugsaktien Serie B2 dritte Tranche) mit einem Nennwert von je CHF 0.10; </w:t>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5'337'777 Namenaktien (Vorzugsaktien Serie C 1a erste Tranche) mit einem Nennwert von je CHF 0.10;</w:t>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362'036 Namenaktien (Vorzugsaktien Serie C 1a zweite Tranche) mit einem Nennwert von je CHF 0.10; sowie</w:t>
            </w:r>
          </w:p>
          <w:p>
            <w:pPr>
              <w:pStyle w:val="TableContents"/>
              <w:bidi w:val="0"/>
              <w:spacing w:before="0" w:after="0"/>
              <w:jc w:val="both"/>
              <w:rPr>
                <w:color w:val="000000"/>
              </w:rPr>
            </w:pPr>
            <w:r>
              <w:rPr>
                <w:color w:val="000000"/>
              </w:rPr>
              <w:t></w:t>
            </w:r>
          </w:p>
          <w:p>
            <w:pPr>
              <w:pStyle w:val="TableContents"/>
              <w:bidi w:val="0"/>
              <w:jc w:val="both"/>
              <w:rPr/>
            </w:pPr>
            <w:r>
              <w:rPr>
                <w:rFonts w:ascii="Calibri Light;sans-serif" w:hAnsi="Calibri Light;sans-serif"/>
                <w:color w:val="000000"/>
                <w:sz w:val="20"/>
              </w:rPr>
              <w:t>197'745 Namenaktien (Vorzugsaktien Serie C 1b) mit einem Nennwert von je CHF 0.50</w:t>
            </w:r>
            <w:r>
              <w:rPr>
                <w:color w:val="000000"/>
              </w:rPr>
              <w:t xml:space="preserve"> </w:t>
            </w:r>
            <w:r>
              <w:rPr>
                <w:rFonts w:ascii="Calibri Light;sans-serif" w:hAnsi="Calibri Light;sans-serif"/>
                <w:color w:val="000000"/>
                <w:sz w:val="24"/>
              </w:rPr>
              <w:br/>
            </w:r>
            <w:r>
              <w:rPr>
                <w:color w:val="000000"/>
              </w:rPr>
              <w:t> </w:t>
            </w:r>
          </w:p>
          <w:p>
            <w:pPr>
              <w:pStyle w:val="TableContents"/>
              <w:bidi w:val="0"/>
              <w:spacing w:before="0" w:after="120"/>
              <w:ind w:left="0" w:right="0" w:firstLine="288"/>
              <w:jc w:val="left"/>
              <w:rPr>
                <w:rFonts w:ascii="Calibri Light;sans-serif" w:hAnsi="Calibri Light;sans-serif"/>
                <w:color w:val="000000"/>
                <w:sz w:val="20"/>
              </w:rPr>
            </w:pPr>
            <w:r>
              <w:rPr>
                <w:rFonts w:ascii="Calibri Light;sans-serif" w:hAnsi="Calibri Light;sans-serif"/>
                <w:color w:val="000000"/>
                <w:sz w:val="20"/>
              </w:rPr>
              <w:t>der Oculis SA mit Sitz in Ecublens (VD), Schweiz, von Continental Stock Exchange Corp (Einlegerin), handelnd im eigenen Namen aber auf Rechnung der Aktionäre der Oculis SA. Die Aktien der Oculis SA werden zu einem Übernahmewert von insgesamt USD 202'770.02 und CHF 37'939.95 übernommen. Im Einklang mit dem Sacheinlagevertrag weist die Gesellschaft als Gegenleistung der Einlegerin, handelnd im eigenen Namen aber auf Rechnung der Aktionäre der Oculis SA, insgesamt 24'070'997 voll einbezahlte Namenaktien mit einem Nennwert von je CHF 0.01 zu.</w:t>
            </w:r>
          </w:p>
        </w:tc>
      </w:tr>
    </w:tbl>
    <w:p>
      <w:pPr>
        <w:pStyle w:val="TextBody"/>
        <w:bidi w:val="0"/>
        <w:jc w:val="both"/>
        <w:rPr/>
      </w:pPr>
      <w:r>
        <w:rPr/>
        <w:t> </w:t>
      </w:r>
    </w:p>
    <w:p>
      <w:pPr>
        <w:pStyle w:val="TextBody"/>
        <w:bidi w:val="0"/>
        <w:jc w:val="both"/>
        <w:rPr>
          <w:rFonts w:ascii="Calibri Light;sans-serif" w:hAnsi="Calibri Light;sans-serif"/>
          <w:color w:val="000000"/>
          <w:sz w:val="20"/>
        </w:rPr>
      </w:pPr>
      <w:r>
        <w:rPr>
          <w:rFonts w:ascii="Calibri Light;sans-serif" w:hAnsi="Calibri Light;sans-serif"/>
          <w:color w:val="000000"/>
          <w:sz w:val="20"/>
        </w:rPr>
        <w:t>Zug, 13 Mai 2026 Zug, 13.Mai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Verdana;sans-serif" w:hAnsi="Verdana;sans-serif"/>
          <w:b/>
          <w:color w:val="000000"/>
          <w:sz w:val="24"/>
        </w:rPr>
        <w:br/>
      </w:r>
      <w:r>
        <w:rPr>
          <w:rFonts w:ascii="Times New Roman" w:hAnsi="Times New Roman"/>
          <w:color w:val="000000"/>
          <w:sz w:val="20"/>
        </w:rPr>
        <w:t> </w:t>
      </w:r>
    </w:p>
    <w:p>
      <w:pPr>
        <w:pStyle w:val="TextBody"/>
        <w:bidi w:val="0"/>
        <w:jc w:val="both"/>
        <w:rPr/>
      </w:pPr>
      <w:r>
        <w:rPr/>
        <w:t> </w:t>
      </w:r>
    </w:p>
    <w:p>
      <w:pPr>
        <w:pStyle w:val="TextBody"/>
        <w:bidi w:val="0"/>
        <w:jc w:val="center"/>
        <w:rPr>
          <w:rFonts w:ascii="sans-serif" w:hAnsi="sans-serif"/>
          <w:b/>
          <w:color w:val="000000"/>
          <w:sz w:val="32"/>
        </w:rPr>
      </w:pPr>
      <w:r>
        <w:rPr>
          <w:rFonts w:ascii="sans-serif" w:hAnsi="sans-serif"/>
          <w:b/>
          <w:color w:val="000000"/>
          <w:sz w:val="32"/>
        </w:rPr>
        <w:t>KONFORMITÄTSBEURKUNDUNG</w:t>
      </w:r>
    </w:p>
    <w:p>
      <w:pPr>
        <w:pStyle w:val="TextBody"/>
        <w:bidi w:val="0"/>
        <w:spacing w:before="120" w:after="120"/>
        <w:jc w:val="both"/>
        <w:rPr>
          <w:rFonts w:ascii="sans-serif" w:hAnsi="sans-serif"/>
          <w:color w:val="000000"/>
          <w:sz w:val="24"/>
        </w:rPr>
      </w:pPr>
      <w:r>
        <w:rPr>
          <w:rFonts w:ascii="sans-serif" w:hAnsi="sans-serif"/>
          <w:color w:val="000000"/>
          <w:sz w:val="24"/>
        </w:rPr>
        <w:t>Der unterzeichnete öffentliche Notar zu Zug, Dr. Markus Zwicky, beurkundet hiermit, dass der vorstehende Statutentext unter Berücksichtigung der heutigen Beschlüsse der ordentlichen Generalversammlung wörtlich übereinstimmt mit den derzeit geltenden Statuten der</w:t>
      </w:r>
    </w:p>
    <w:p>
      <w:pPr>
        <w:pStyle w:val="TextBody"/>
        <w:bidi w:val="0"/>
        <w:spacing w:before="0" w:after="120"/>
        <w:jc w:val="center"/>
        <w:rPr>
          <w:rFonts w:ascii="sans-serif" w:hAnsi="sans-serif"/>
          <w:b/>
          <w:color w:val="000000"/>
          <w:sz w:val="24"/>
        </w:rPr>
      </w:pPr>
      <w:r>
        <w:rPr>
          <w:rFonts w:ascii="sans-serif" w:hAnsi="sans-serif"/>
          <w:b/>
          <w:color w:val="000000"/>
          <w:sz w:val="24"/>
        </w:rPr>
        <w:t xml:space="preserve">Oculis Holding AG </w:t>
        <w:br/>
        <w:t>(Oculis Holding SA)</w:t>
        <w:br/>
        <w:t>(Oculis Holding Ltd)</w:t>
      </w:r>
    </w:p>
    <w:p>
      <w:pPr>
        <w:pStyle w:val="TextBody"/>
        <w:bidi w:val="0"/>
        <w:jc w:val="left"/>
        <w:rPr>
          <w:rFonts w:ascii="sans-serif" w:hAnsi="sans-serif"/>
          <w:color w:val="000000"/>
          <w:sz w:val="24"/>
        </w:rPr>
      </w:pPr>
      <w:r>
        <w:rPr>
          <w:rFonts w:ascii="sans-serif" w:hAnsi="sans-serif"/>
          <w:color w:val="000000"/>
          <w:sz w:val="24"/>
        </w:rPr>
        <w:t>mit Sitz in Zug.</w:t>
      </w:r>
    </w:p>
    <w:p>
      <w:pPr>
        <w:pStyle w:val="TextBody"/>
        <w:bidi w:val="0"/>
        <w:jc w:val="both"/>
        <w:rPr/>
      </w:pPr>
      <w:r>
        <w:rPr/>
        <w:t> </w:t>
      </w:r>
    </w:p>
    <w:p>
      <w:pPr>
        <w:pStyle w:val="TextBody"/>
        <w:bidi w:val="0"/>
        <w:jc w:val="both"/>
        <w:rPr/>
      </w:pPr>
      <w:r>
        <w:rPr/>
        <w:t> </w:t>
      </w:r>
    </w:p>
    <w:p>
      <w:pPr>
        <w:pStyle w:val="TextBody"/>
        <w:bidi w:val="0"/>
        <w:jc w:val="center"/>
        <w:rPr>
          <w:rFonts w:ascii="sans-serif" w:hAnsi="sans-serif"/>
          <w:b/>
          <w:color w:val="000000"/>
          <w:sz w:val="32"/>
        </w:rPr>
      </w:pPr>
      <w:r>
        <w:rPr>
          <w:rFonts w:ascii="sans-serif" w:hAnsi="sans-serif"/>
          <w:b/>
          <w:color w:val="000000"/>
          <w:sz w:val="32"/>
        </w:rPr>
        <w:t>CONFORMITY CERTIFICATE</w:t>
      </w:r>
    </w:p>
    <w:p>
      <w:pPr>
        <w:pStyle w:val="TextBody"/>
        <w:bidi w:val="0"/>
        <w:spacing w:before="120" w:after="120"/>
        <w:jc w:val="both"/>
        <w:rPr>
          <w:rFonts w:ascii="sans-serif" w:hAnsi="sans-serif"/>
          <w:color w:val="000000"/>
          <w:sz w:val="24"/>
        </w:rPr>
      </w:pPr>
      <w:r>
        <w:rPr>
          <w:rFonts w:ascii="sans-serif" w:hAnsi="sans-serif"/>
          <w:color w:val="000000"/>
          <w:sz w:val="24"/>
        </w:rPr>
        <w:t>The undersigned notary public of Zug, Dr. Markus Zwicky, hereby certifies that the above articles of association text, taking into account the today's decisions of the ordinary general meeting, coincides verbatim with the current articles of association of</w:t>
      </w:r>
    </w:p>
    <w:p>
      <w:pPr>
        <w:pStyle w:val="TextBody"/>
        <w:bidi w:val="0"/>
        <w:spacing w:before="0" w:after="120"/>
        <w:jc w:val="center"/>
        <w:rPr>
          <w:rFonts w:ascii="sans-serif" w:hAnsi="sans-serif"/>
          <w:b/>
          <w:color w:val="000000"/>
          <w:sz w:val="24"/>
        </w:rPr>
      </w:pPr>
      <w:r>
        <w:rPr>
          <w:rFonts w:ascii="sans-serif" w:hAnsi="sans-serif"/>
          <w:b/>
          <w:color w:val="000000"/>
          <w:sz w:val="24"/>
        </w:rPr>
        <w:t xml:space="preserve">Oculis Holding AG </w:t>
        <w:br/>
        <w:t>(Oculis Holding SA)</w:t>
        <w:br/>
        <w:t>(Oculis Holding Ltd)</w:t>
      </w:r>
    </w:p>
    <w:p>
      <w:pPr>
        <w:pStyle w:val="TextBody"/>
        <w:bidi w:val="0"/>
        <w:jc w:val="both"/>
        <w:rPr>
          <w:rFonts w:ascii="sans-serif" w:hAnsi="sans-serif"/>
          <w:color w:val="000000"/>
          <w:sz w:val="24"/>
        </w:rPr>
      </w:pPr>
      <w:r>
        <w:rPr>
          <w:rFonts w:ascii="sans-serif" w:hAnsi="sans-serif"/>
          <w:color w:val="000000"/>
          <w:sz w:val="24"/>
        </w:rPr>
        <w:t>with registered seat in Zug.</w:t>
      </w:r>
    </w:p>
    <w:p>
      <w:pPr>
        <w:pStyle w:val="TextBody"/>
        <w:bidi w:val="0"/>
        <w:spacing w:before="120" w:after="120"/>
        <w:jc w:val="both"/>
        <w:rPr>
          <w:rFonts w:ascii="Times New Roman" w:hAnsi="Times New Roman"/>
          <w:sz w:val="20"/>
        </w:rPr>
      </w:pPr>
      <w:r>
        <w:rPr>
          <w:rFonts w:ascii="sans-serif" w:hAnsi="sans-serif"/>
          <w:b/>
          <w:color w:val="000000"/>
          <w:sz w:val="24"/>
        </w:rPr>
        <w:t>Zug</w:t>
      </w:r>
      <w:r>
        <w:rPr>
          <w:rFonts w:ascii="sans-serif" w:hAnsi="sans-serif"/>
          <w:color w:val="000000"/>
          <w:sz w:val="24"/>
        </w:rPr>
        <w:t>, den 13. (dreizehnten) Mai 2026 (zweitausendsechsundzwanzig)/ 13</w:t>
      </w:r>
      <w:r>
        <w:rPr>
          <w:rFonts w:ascii="sans-serif" w:hAnsi="sans-serif"/>
          <w:color w:val="000000"/>
          <w:sz w:val="16"/>
        </w:rPr>
        <w:t>th</w:t>
      </w:r>
      <w:r>
        <w:rPr>
          <w:rFonts w:ascii="Times New Roman" w:hAnsi="Times New Roman"/>
          <w:color w:val="000000"/>
          <w:sz w:val="20"/>
        </w:rPr>
        <w:t xml:space="preserve"> </w:t>
      </w:r>
      <w:r>
        <w:rPr>
          <w:rFonts w:ascii="sans-serif" w:hAnsi="sans-serif"/>
          <w:color w:val="000000"/>
          <w:sz w:val="24"/>
        </w:rPr>
        <w:t>(thirteenth) day of May 2026 (two thousand twenty-six)</w:t>
      </w:r>
    </w:p>
    <w:p>
      <w:pPr>
        <w:pStyle w:val="TextBody"/>
        <w:bidi w:val="0"/>
        <w:jc w:val="both"/>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Verdana">
    <w:altName w:val="sans-serif"/>
    <w:charset w:val="01"/>
    <w:family w:val="auto"/>
    <w:pitch w:val="default"/>
  </w:font>
  <w:font w:name="Calibri Light">
    <w:altName w:val="sans-serif"/>
    <w:charset w:val="01"/>
    <w:family w:val="auto"/>
    <w:pitch w:val="default"/>
  </w:font>
  <w:font w:name="Calibri Light">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19292</Words>
  <Characters>114779</Characters>
  <CharactersWithSpaces>133625</CharactersWithSpaces>
  <Paragraphs>1294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