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4"/>
          <w:szCs w:val="24"/>
          <w:color w:val="auto"/>
        </w:rPr>
      </w:pPr>
    </w:p>
    <w:p>
      <w:pPr>
        <w:spacing w:after="0" w:line="25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333-291426</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173990</wp:posOffset>
            </wp:positionV>
            <wp:extent cx="109728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Oculis Holding AG</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494,259 Ordinary Shares offered by the Selling Securityholder</w:t>
      </w:r>
    </w:p>
    <w:p>
      <w:pPr>
        <w:spacing w:after="0" w:line="236" w:lineRule="exact"/>
        <w:rPr>
          <w:sz w:val="24"/>
          <w:szCs w:val="24"/>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 identified in this prospectus, or the selling securityholder, of up to 494,259 ordinary shares of Oculis Holding AG, or the Company, issuable upon the exercise of a warrant that was issued to the selling securityholder on May 29, 2024, and amended on July 31, 2025, or the Warrant. This prospectus is not intended to constitute an indication or prediction of the date on which the selling securityholder will exercise the Warrant for ordinary shares, if at all. We are filing the registration statement of which this prospectus forms a part in order to fulfill our contractual obligations under the Warrant.</w:t>
      </w:r>
    </w:p>
    <w:p>
      <w:pPr>
        <w:spacing w:after="0" w:line="183" w:lineRule="exact"/>
        <w:rPr>
          <w:sz w:val="24"/>
          <w:szCs w:val="24"/>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the effectiveness of this registration statement, we intend to withdraw the registration statement on Form F-3 (File No. 333-281798) that was declared effective on September 6, 2024 relating to the resale of 361,011 ordinary shares underlying the original warrant issued to the selling securityholder.</w:t>
      </w:r>
    </w:p>
    <w:p>
      <w:pPr>
        <w:spacing w:after="0" w:line="176" w:lineRule="exact"/>
        <w:rPr>
          <w:sz w:val="24"/>
          <w:szCs w:val="24"/>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securityholder may, from time to time, sell, transfer or otherwise dispose of any or all of the ordinary shares being registered or interests in the ordinary shares being registered on any stock exchange, market or trading facility on which our ordinary shares are traded or in private transactions. These dispositions may be at fixed prices, at prevailing market prices at the time of sale, at prices related to the prevailing market price, at varying prices determined at the time of sale, or at negotiated prices. Prices may vary from purchaser to purchaser during the period of distribution. See “Plan of Distribution.” We are not selling any securities and will not receive any of the proceeds from the sale or other disposition of our ordinary shares by the selling securityholder under this prospectus. Upon the exercise of the Warrant, however, we will receive the exercise price of the Warrant. The net proceeds received from the sale or other disposition of our ordinary shares by the selling securityholder, if any, is unknown.</w:t>
      </w:r>
    </w:p>
    <w:p>
      <w:pPr>
        <w:spacing w:after="0" w:line="189" w:lineRule="exact"/>
        <w:rPr>
          <w:sz w:val="24"/>
          <w:szCs w:val="24"/>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including the additional information described under the heading “Incorporation by Reference,” and any amendments or supplements carefully before you make your investment decision.</w:t>
      </w:r>
    </w:p>
    <w:p>
      <w:pPr>
        <w:spacing w:after="0" w:line="176" w:lineRule="exact"/>
        <w:rPr>
          <w:sz w:val="24"/>
          <w:szCs w:val="24"/>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ordinary shares are traded on The Nasdaq Global Market, or Nasdaq, and The Nasdaq Iceland Main Market, or Nasdaq Iceland, under the symbol “OCS.” On November 28, 2025, the last reported sale price of our ordinary shares on Nasdaq was $19.00 per ordinary share. On November 28, 2025, the last reported sale price of our ordinary shares on Nasdaq Iceland was ISK 2,420.00 per ordinary share.</w:t>
      </w:r>
    </w:p>
    <w:p>
      <w:pPr>
        <w:spacing w:after="0" w:line="176" w:lineRule="exact"/>
        <w:rPr>
          <w:sz w:val="24"/>
          <w:szCs w:val="24"/>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a “foreign private issuer” under applicable U.S. Securities and Exchange Commission, or SEC, rules and an “emerging growth company” as that term is defined in the Jumpstart Our Business Startups Act of 2012, or the JOBS Act, and are eligible for reduced public company disclosure requirements.</w:t>
      </w:r>
    </w:p>
    <w:p>
      <w:pPr>
        <w:spacing w:after="0" w:line="172" w:lineRule="exact"/>
        <w:rPr>
          <w:sz w:val="24"/>
          <w:szCs w:val="24"/>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46" w:lineRule="exact"/>
        <w:rPr>
          <w:sz w:val="24"/>
          <w:szCs w:val="24"/>
          <w:color w:val="auto"/>
        </w:rPr>
      </w:pPr>
    </w:p>
    <w:p>
      <w:pPr>
        <w:ind w:left="120" w:right="40" w:firstLine="551"/>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8 of this prospectus. In addition, please review any additional risk factors in any accompanying prospectus supplement, any free writing prospectus and any documents we incorporate by reference.</w:t>
      </w:r>
    </w:p>
    <w:p>
      <w:pPr>
        <w:spacing w:after="0" w:line="1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8"/>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TRADEMARKS AND TRADENAMES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PRESENTATION OF FINANCIAL INFORMATION</w:t>
            </w:r>
          </w:p>
        </w:tc>
        <w:tc>
          <w:tcPr>
            <w:tcW w:w="67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3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ABOUT THIS OFFERING</w:t>
            </w:r>
          </w:p>
        </w:tc>
        <w:tc>
          <w:tcPr>
            <w:tcW w:w="85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68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18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w:t>
            </w:r>
          </w:p>
        </w:tc>
        <w:tc>
          <w:tcPr>
            <w:tcW w:w="82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EXPENSES OF THE OFFERING</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SERVICE OF PROCESS AND ENFORCEABILITY OF CIVIL LIABILITIES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4260" w:type="dxa"/>
            <w:vAlign w:val="bottom"/>
            <w:tcBorders>
              <w:top w:val="single" w:sz="8" w:color="0000EE"/>
            </w:tcBorders>
            <w:gridSpan w:val="14"/>
          </w:tcPr>
          <w:p>
            <w:pPr>
              <w:spacing w:after="0"/>
              <w:rPr>
                <w:sz w:val="17"/>
                <w:szCs w:val="17"/>
                <w:color w:val="auto"/>
              </w:rPr>
            </w:pPr>
          </w:p>
        </w:tc>
        <w:tc>
          <w:tcPr>
            <w:tcW w:w="49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2"/>
          </w:tcPr>
          <w:p>
            <w:pPr>
              <w:spacing w:after="0"/>
              <w:rPr>
                <w:sz w:val="17"/>
                <w:szCs w:val="17"/>
                <w:color w:val="auto"/>
              </w:rPr>
            </w:pPr>
          </w:p>
        </w:tc>
        <w:tc>
          <w:tcPr>
            <w:tcW w:w="68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describes the general manner in which the selling securityholder identified in this prospectus may offer from time to time up to 494,259 ordinary shares issuable upon the exercise of the Warrant. If necessary, the specific manner in which the ordinary shares may be offered and sold will be described in a supplement to this prospectus, which supplement may also add, update or change any of the information contained in this prospectus. To the extent there is a conflict between the information contained in this prospectus and any applicable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securityholder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noted or the context otherwise requires, references in this prospectus to “Registrant,” “Oculis,” “the Company,” “our company,” “we,” “us” or “our” refer to Oculis Holding AG and its subsidiaries.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AND TRADENAMES</w:t>
      </w:r>
    </w:p>
    <w:p>
      <w:pPr>
        <w:spacing w:after="0" w:line="229"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 xml:space="preserve">This prospectus includes trademarks, tradenames and service marks, certain of which belong to us and others that are the property of other organizations. Solely for convenience, trademarks, tradenames and service marks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SM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unless otherwise specified, all monetary amounts are in U.S. dollars, all references to “U.S. dollars,” “$,” “US$” and “USD” mean United States dollars and all references to “CHF” mean Swiss francs.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presented in Swiss francs and in accordance with International Financial Reporting Standards, or IFRS, as issued by the International Accounting Standards Board, or IASB. None of the financial statements were prepared in accordance with generally accepted accounting principles in the United States, or U.S. GAAP.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our financial statements and other documents and information incorporated by reference in this prospectus contain forward-looking statements, including statements concerning our industry, our operations, our anticipated financial performance and financial condition, our business plans and growth strategy and our product development efforts. These statements constitute forward-looking statements within the meaning of Section 27A of the Securities Act of 1933, as amended, or the Securities Act, and Section 21E of the Securities Exchange Act of 1934, as amended, or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67"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ordinary shares on the Nasdaq Global Market and Nasdaq Iceland Main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expected outcomes of clinical trials, preclinical studies, regulatory submissions and approvals, as well as commercial outcomes;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benefits of our business and scientific approach and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and efficacy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advance and commercialize our pipeline of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profitability of our collaborations and partnerships, our ability to maintain current collaborations and partnerships and enter into new collaborations and partnerships;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future milestone and royalty payments and other economic terms under our collaborations and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future revenue, expenses, capital requirements, financial condition, cash runway and need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market opportunity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advantages and the impact those advantages may have on future financial and operational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plans and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and grow our business in a cost-effective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and other global events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governmental policies, laws or regulations and their impact on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current expectations, forecasts and assumptions, and involve a number of judgments, risks and uncertainties. Our actual results or performance could differ materially from those expressed in, or implied by, any forward-looking statements relating to those matters.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Accordingly, you should not place undue reliance on these forward-looking statements in deciding whether to invest in our securities. As a result of a number of known and unknown risks and uncertainties, our actual results or performance may be materially different from those expressed or implied by these forward-looking statements. 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9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42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in filings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20-F for the year ended December 31, 2024 and our reports on Form 6-K, before deciding to invest in our securities.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Please see the section entitled “Item 4. Information on the Company – B. Business Overview,” incorporated by reference from our Annual Report on Form 20-F for the fiscal year ended December 31, 2024, or the Annual Report, which was filed with the SEC on March 11, 2025, as well as any amendments thereto reflected in our subsequent filings with the SEC.</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Please see the section entitled “Item 4. Information on the Company – A. History and Development of the Company,” incorporated by reference from our Annual Report, as well as any amendments thereto reflected in our subsequent filings with the SEC.</w:t>
      </w:r>
    </w:p>
    <w:p>
      <w:pPr>
        <w:spacing w:after="0" w:line="162"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certain exemptions from specified disclosure and other requirements that are otherwise generally applicable to public companies. These exemptions include:</w:t>
      </w:r>
    </w:p>
    <w:p>
      <w:pPr>
        <w:spacing w:after="0" w:line="81" w:lineRule="exact"/>
        <w:rPr>
          <w:sz w:val="20"/>
          <w:szCs w:val="20"/>
          <w:color w:val="auto"/>
        </w:rPr>
      </w:pPr>
    </w:p>
    <w:p>
      <w:pPr>
        <w:ind w:left="1240" w:right="6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for the assessment of our internal control over financial reporting provided by Section 404 of the Sarbanes-Oxley Act of 2002;</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30"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or seek shareholder approval of any golden parachute payments not previously approved.</w:t>
      </w:r>
    </w:p>
    <w:p>
      <w:pPr>
        <w:spacing w:after="0" w:line="162" w:lineRule="exact"/>
        <w:rPr>
          <w:sz w:val="20"/>
          <w:szCs w:val="20"/>
          <w:color w:val="auto"/>
        </w:rPr>
      </w:pPr>
    </w:p>
    <w:p>
      <w:pPr>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We may take advantage of these reporting exemptions until we are no longer an “emerging growth company.” Based on the aggregate worldwide market value of our voting and non-voting common equity held by our non-affiliates as of June 30, 2025, we will be deemed a “large accelerated filer” as of the end of our fiscal year 2025. We will therefore cease being an emerging growth company on December 31, 2025.</w:t>
      </w:r>
    </w:p>
    <w:p>
      <w:pPr>
        <w:spacing w:after="0" w:line="158"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are also considered a “foreign private issuer” and report under the Securities 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public companies, including:</w:t>
      </w:r>
    </w:p>
    <w:p>
      <w:pPr>
        <w:spacing w:after="0" w:line="85" w:lineRule="exact"/>
        <w:rPr>
          <w:sz w:val="20"/>
          <w:szCs w:val="20"/>
          <w:color w:val="auto"/>
        </w:rPr>
      </w:pPr>
    </w:p>
    <w:p>
      <w:pPr>
        <w:ind w:left="1240" w:right="3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781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27813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may take advantage of these reporting exemptions until such time that we are no longer a “foreign private issuer.” 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w:t>
      </w:r>
    </w:p>
    <w:p>
      <w:pPr>
        <w:spacing w:after="0" w:line="183"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reduced burdens. We have taken advantage of reduced reporting requirements in this prospectus. Accordingly, the information contained or incorporated by reference in this prospectus may be different from the information you receive from our competitors that are public companies, or other public companies in which you have made an investment.</w:t>
      </w:r>
    </w:p>
    <w:p>
      <w:pPr>
        <w:spacing w:after="0" w:line="176"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are also eligible to, and have chosen to, take advantage of certain exemptions from Nasdaq corporate governance requirements for foreign private issuers. Please see the section entitled “Item 16G. Corporate Governance,” incorporated by reference from our Annual Report, as well as any amendments thereto reflected in our subsequent filings with the SEC.</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9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ABOUT THIS OFFERING</w:t>
      </w:r>
    </w:p>
    <w:p>
      <w:pPr>
        <w:spacing w:after="0" w:line="229"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 identified in this prospectus of up to 494,259 ordinary shares upon exercise of the Warrant. As of the date of amendment of the Warrant, the Warrant was exercisable for 59,310 ordinary shares. The Loan Agreement by and among the Company, Oculis Operations Sàrl and Kreos Capital VII (UK) Limited, which is a fund and account managed by subsidiaries of BlackRock, Inc., dated as of May 29, 2024 and amended and restated on July 31, 2025, provides for three potential loans. Following the drawdown of each of the three loans, if such drawdowns occur, or the achievement of a specified milestone with respect to the first loan, the Warrant will become exercisable for additional amounts of ordinary shares and ratably based on the amounts of each of the three loans that are drawn. The maximum number of shares issuable upon exercise of the Warrant is 494,259.</w:t>
      </w:r>
    </w:p>
    <w:p>
      <w:pPr>
        <w:spacing w:after="0" w:line="18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selling securityholder may sell their ordinary shares from time to time at prevailing market prices. We will not receive any proceeds from the resale of the ordinary shares in this offering</w:t>
      </w:r>
    </w:p>
    <w:p>
      <w:pPr>
        <w:sectPr>
          <w:pgSz w:w="11900" w:h="16838" w:orient="portrait"/>
          <w:cols w:equalWidth="0" w:num="1">
            <w:col w:w="10920"/>
          </w:cols>
          <w:pgMar w:left="320" w:top="455" w:right="659" w:bottom="1440" w:gutter="0" w:footer="0" w:header="0"/>
        </w:sectPr>
      </w:pPr>
    </w:p>
    <w:p>
      <w:pPr>
        <w:spacing w:after="0" w:line="185" w:lineRule="exact"/>
        <w:rPr>
          <w:sz w:val="20"/>
          <w:szCs w:val="20"/>
          <w:color w:val="auto"/>
        </w:rPr>
      </w:pPr>
    </w:p>
    <w:p>
      <w:pPr>
        <w:ind w:left="380" w:right="420" w:hanging="78"/>
        <w:spacing w:after="0" w:line="286" w:lineRule="auto"/>
        <w:rPr>
          <w:sz w:val="20"/>
          <w:szCs w:val="20"/>
          <w:color w:val="auto"/>
        </w:rPr>
      </w:pPr>
      <w:r>
        <w:rPr>
          <w:rFonts w:ascii="Times New Roman" w:cs="Times New Roman" w:eastAsia="Times New Roman" w:hAnsi="Times New Roman"/>
          <w:sz w:val="18"/>
          <w:szCs w:val="18"/>
          <w:b w:val="1"/>
          <w:bCs w:val="1"/>
          <w:color w:val="auto"/>
        </w:rPr>
        <w:t>Ordinary shares offered by the selling securityholder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494,259 ordinary shares</w:t>
      </w:r>
    </w:p>
    <w:p>
      <w:pPr>
        <w:spacing w:after="0" w:line="488"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Ordinary shares currently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52,374,811</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73" w:lineRule="exact"/>
        <w:rPr>
          <w:sz w:val="20"/>
          <w:szCs w:val="20"/>
          <w:color w:val="auto"/>
        </w:rPr>
      </w:pPr>
    </w:p>
    <w:p>
      <w:pPr>
        <w:ind w:left="380" w:right="260" w:hanging="78"/>
        <w:spacing w:after="0" w:line="286" w:lineRule="auto"/>
        <w:rPr>
          <w:sz w:val="20"/>
          <w:szCs w:val="20"/>
          <w:color w:val="auto"/>
        </w:rPr>
      </w:pPr>
      <w:r>
        <w:rPr>
          <w:rFonts w:ascii="Times New Roman" w:cs="Times New Roman" w:eastAsia="Times New Roman" w:hAnsi="Times New Roman"/>
          <w:sz w:val="18"/>
          <w:szCs w:val="18"/>
          <w:b w:val="1"/>
          <w:bCs w:val="1"/>
          <w:color w:val="auto"/>
        </w:rPr>
        <w:t>Ordinary shares to be outstanding after this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52,869,070, assuming the exercise of the Warrant for the maximum of 494,259 ordinary shares</w:t>
      </w:r>
    </w:p>
    <w:p>
      <w:pPr>
        <w:spacing w:after="0" w:line="197"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494,259 ordinary shares subject to resale by the selling securityholder under this prospectus. If the Warrant is exercised for cash for the maximum of 361,011 ordinary shares at an exercise price of $12.17 per ordinary share and 133,248 ordinary shares at an exercise price of $18.64, we will receive proceeds of $6,877,246.59. We currently intend to use such proceeds, if any, for pipeline development, general corporate purposes and working capital.</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ind w:right="80"/>
        <w:spacing w:after="0" w:line="284" w:lineRule="auto"/>
        <w:rPr>
          <w:sz w:val="20"/>
          <w:szCs w:val="20"/>
          <w:color w:val="auto"/>
        </w:rPr>
      </w:pPr>
      <w:r>
        <w:rPr>
          <w:rFonts w:ascii="Times New Roman" w:cs="Times New Roman" w:eastAsia="Times New Roman" w:hAnsi="Times New Roman"/>
          <w:sz w:val="18"/>
          <w:szCs w:val="18"/>
          <w:color w:val="auto"/>
        </w:rPr>
        <w:t>Investing in our securities involves significant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on page 10 of this prospectus, and in documents incorporated by reference into this prospectus.</w:t>
      </w:r>
    </w:p>
    <w:p>
      <w:pPr>
        <w:spacing w:after="0" w:line="183"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Nasdaq Global Select Market symbol for the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“OCS”</w:t>
      </w:r>
    </w:p>
    <w:p>
      <w:pPr>
        <w:spacing w:after="0" w:line="488" w:lineRule="exact"/>
        <w:rPr>
          <w:sz w:val="20"/>
          <w:szCs w:val="20"/>
          <w:color w:val="auto"/>
        </w:rPr>
      </w:pPr>
    </w:p>
    <w:p>
      <w:pPr>
        <w:sectPr>
          <w:pgSz w:w="11900" w:h="16838" w:orient="portrait"/>
          <w:cols w:equalWidth="0" w:num="2">
            <w:col w:w="3720" w:space="6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Iceland symbol for the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“OCS”</w:t>
      </w:r>
    </w:p>
    <w:p>
      <w:pPr>
        <w:spacing w:after="0" w:line="200" w:lineRule="exact"/>
        <w:rPr>
          <w:sz w:val="20"/>
          <w:szCs w:val="20"/>
          <w:color w:val="auto"/>
        </w:rPr>
      </w:pPr>
    </w:p>
    <w:p>
      <w:pPr>
        <w:sectPr>
          <w:pgSz w:w="11900" w:h="16838" w:orient="portrait"/>
          <w:cols w:equalWidth="0" w:num="2">
            <w:col w:w="3900" w:space="440"/>
            <w:col w:w="6580"/>
          </w:cols>
          <w:pgMar w:left="320" w:top="455" w:right="659" w:bottom="1440" w:gutter="0" w:footer="0" w:header="0"/>
          <w:type w:val="continuous"/>
        </w:sectPr>
      </w:pPr>
    </w:p>
    <w:p>
      <w:pPr>
        <w:spacing w:after="0" w:line="50"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auto"/>
        </w:rPr>
        <w:t>The number of ordinary shares outstanding in the table above is based on 52,374,811 ordinary shares outstanding as of September 30, 2025, and excludes:</w:t>
      </w:r>
    </w:p>
    <w:p>
      <w:pPr>
        <w:spacing w:after="0" w:line="67" w:lineRule="exact"/>
        <w:rPr>
          <w:sz w:val="20"/>
          <w:szCs w:val="20"/>
          <w:color w:val="auto"/>
        </w:rPr>
      </w:pPr>
    </w:p>
    <w:p>
      <w:pPr>
        <w:ind w:left="1240" w:right="3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5,201,093 ordinary shares issuable upon the exercise of options outstanding as of September 30, 2025 under our Stock Option and Incentive Plan Regulation 2023, or the 2023 Plan, at a weighted-average exercise price of $8.39 per share, inclusive of 216,998 earn-out options issuable upon exercise, subject to satisfaction of certain vesting conditions;</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344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23444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1,047,219 ordinary shares issuable upon the vesting of restricted stock units outstanding as of September 30, 2025 under the 2023 Plan;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4,204,450 ordinary shares reserved for future issuance under the 2023 Plan as of September 30, 2025;</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948,549 earn-out shares available for future issuance, subject to satisfaction of certain vesting conditions;</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2,158,000 ordinary shares issuable upon exercise of warrants outstanding as of September 30, 2025 at an exercise price of $11.50 per share;</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59,310 ordinary shares issuable upon exercise of the Warrant at an exercise price of (i) $12.17 per share for up to 43,321 ordinary shares and (ii) $18.64 per share for up to 15,989 ordinary shares;</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3,500,000 ordinary shares held in treasury as of September 30, 2025, of which 703,703 remain in treasury following the closing of the Financing described below; and</w:t>
      </w:r>
    </w:p>
    <w:p>
      <w:pPr>
        <w:spacing w:after="0" w:line="67" w:lineRule="exact"/>
        <w:rPr>
          <w:rFonts w:ascii="Times New Roman" w:cs="Times New Roman" w:eastAsia="Times New Roman" w:hAnsi="Times New Roman"/>
          <w:sz w:val="18"/>
          <w:szCs w:val="18"/>
          <w:color w:val="auto"/>
        </w:rPr>
      </w:pPr>
    </w:p>
    <w:p>
      <w:pPr>
        <w:ind w:left="1240" w:hanging="415"/>
        <w:spacing w:after="0" w:line="312"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5,432,098 ordinary shares issued on November 3, 2025 in connection with two registered offerings (the “Financing”), plus up to 703,703 ordinary shares that may be issued pursuant to the underwriters’ option to purchase additional shares related to the Financing.</w:t>
      </w:r>
    </w:p>
    <w:p>
      <w:pPr>
        <w:spacing w:after="0" w:line="2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securities carries a significant degree of risk. Prior to making a decision about investing in our securities, you should carefully consider the specific factors discussed below, together with all of the other information appearing or incorporated by reference in this prospectus. See “Where You Can Find More Information” and “Incorporation by Reference.” You should also consider the risks, uncertainties and assumptions discussed under “Item 3.D—Risk Factors” of our most recent Annual Report on Form 20-F and reports on Form 6-K we file after the date of this prospectus, that are incorporated herein by reference, as may be amended, supplemented or superseded from time to time by other reports we file with the SEC in the future.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securities could decline, and you could lose part or all of your investment. Additional risks and uncertainties of which we are not presently aware or that we currently deem immaterial could also affect our business operations and financial condition. Please also carefully read the section in this prospectus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ordinary shares upon exercise of the Warrant could dilute your investment.</w:t>
      </w:r>
    </w:p>
    <w:p>
      <w:pPr>
        <w:spacing w:after="0" w:line="1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Warrant is exercisable for up to 494,259 ordinary shares. Such exercise may give the selling securityholder an opportunity to profit from a rise in the market price of our ordinary shares such that exercise thereof could result in dilution of the equity interests of our shareholders. We have no control over whether the holder will exercise the Warrant. While the Warrant is exercisable at a fixed price of (i) $12.17 per share with respect to</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361,011 ordinary shares, and (ii) $18.64 per share with respect to 133,248 shares, we cannot predict the market price of our ordinary shares at any future date, and therefore, cannot predict whether the Warrant will be exercised.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short-term financial assets and capitalization as of September 30, 2025.</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CHF thousands)</w:t>
            </w: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5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Cash, cash equivalents and short-term financial assets</w:t>
            </w:r>
            <w:r>
              <w:rPr>
                <w:rFonts w:ascii="Times New Roman" w:cs="Times New Roman" w:eastAsia="Times New Roman" w:hAnsi="Times New Roman"/>
                <w:sz w:val="24"/>
                <w:szCs w:val="24"/>
                <w:color w:val="auto"/>
                <w:vertAlign w:val="superscript"/>
              </w:rPr>
              <w:t>(1)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capital</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premium</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Reserve for share-based payment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 on post-employment benefit obligations</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shares</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losses</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(361,000)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CHF 46.4 million of cash and cash equivalents and CHF 98.7 million of short-term financial assets.</w:t>
      </w:r>
    </w:p>
    <w:p>
      <w:pPr>
        <w:spacing w:after="0" w:line="225"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number of ordinary shares outstanding in the table above is based on 52,374,811 ordinary shares outstanding as of September 30, 2025, and excludes:</w:t>
      </w:r>
    </w:p>
    <w:p>
      <w:pPr>
        <w:spacing w:after="0" w:line="67" w:lineRule="exact"/>
        <w:rPr>
          <w:sz w:val="20"/>
          <w:szCs w:val="20"/>
          <w:color w:val="auto"/>
        </w:rPr>
      </w:pPr>
    </w:p>
    <w:p>
      <w:pPr>
        <w:ind w:left="1080" w:right="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5,201,093 ordinary shares issuable upon the exercise of options outstanding as of September 30, 2025 under our Stock Option and Incentive Plan Regulation 2023, or the 2023 Plan, at a weighted-average exercise price of $8.39 per share, inclusive of 216,998 earn-out options issuable upon exercise, subject to satisfaction of certain vesting conditions;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1,047,219 ordinary shares issuable upon the vesting of restricted stock units outstanding as of September 30, 2025 under the 2023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4,204,450 ordinary shares reserved for future issuance under the 2023 Plan as of September 30,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948,549 earn-out shares available for future issuance, subject to satisfaction of certain vesting conditions;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2,158,000 ordinary shares issuable upon exercise of warrants outstanding as of September 30, 2025 at an exercise price of $11.50 per share;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59,310 ordinary shares issuable upon exercise of the Warrant at an exercise price of (i) $12.17 per share for up to 43,321 ordinary shares and (ii) $18.64 per share for up to 15,989 ordinary shares;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3,500,000 ordinary shares held in treasury as of September 30, 2025, of which 703,703 remain in treasury following the closing of the Financing described below;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5,432,098 ordinary shares issued on November 3, 2025 in connection with the Financing, plus up to 703,703 ordinary shares that may be issued pursuant to the underwriters’ option to purchase additional shares related to the Financing.</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assumes no exercise or conversion of the options or warrants described above.</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We will not receive any proceeds from the sale of the 494,259 ordinary shares subject to resale by the selling securityholder in this offering. However, if the Warrant is exercised for cash for the maximum of 494,259 ordinary shares, we will receive proceeds of $6,877,246.59. We currently intend to use such proceeds, if any, for pipeline development, advancement of our clinical programs, general corporate purposes and working capital.</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Warrant provides that in lieu of cash payment of the exercise price, the selling securityholder may elect a nominal value exercise. In the event the Warrant is exercised using the nominal value exercise method, we will receive only the nominal amount per share received by the selling securityholder.</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 Warrant is exercisable for 59,310 ordinary shares. The Loan Agreement provides for three potential loans. Following the drawdown of each of the three loans, if such drawdowns occur, or the achievement of a specified milestone with respect to the first loan, the Warrant will become exercisable for additional amounts of ordinary shares and ratably based on the amounts of each of the three loans. The Warrant will only become exercisable for the maximum of 494,259 ordinary shares if we have fully drawn each of the loans, among other conditions.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 will pay all underwriting discounts, selling commissions and expenses incurred by it for brokerage, accounting, tax or legal services or any other expenses incurred by the selling securityholder in connection with the sale of the ordinary shares, if any. We will bear all other costs, fees and expenses incurred in effecting the registration of the ordinary shares covered by this prospectus, including, without limitation, all registration and filing fees, Nasdaq listing fees and fees and expenses of our counsel and our accountants.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registering for resale by the selling securityholder identified below up to 494,259 ordinary shares issuable upon the exercise of the Warrant in order to permit the selling securityholder to offer the ordinary shares for resale from time to time. As of the date of this prospectus, the Warrant has not yet been exercised. As of the date of amendment of the Warrant, the Warrant was exercisable for 59,310 ordinary shares. Following the drawdown of each of Loans 1, 2 and 3, if such drawdowns occur, or the achievement of a specified milestone with respect to the Loan 1, the Warrant will become exercisable for additional amounts of ordinary shares, ratably based on the amounts of each of the three loans. The maximum number of shares issuable upon exercise of the Warrant is 494,259.</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To our knowledge, the selling securityholder is not an employee or supplier of ours or one of our affiliates. Within the past three years, the selling securityholder has not held a position as an officer or a director of ours and has not had any other material relationship with us or any of our affiliates, other than beneficial ownership of the shares described in the table below and as an affiliate of a lender to the Company. The selling securityholder does not have any family relationships with our officers, directors or controlling securityholders. All information with respect to share ownership has been furnished by the selling securityholder, unless otherwise noted. The ordinary shares being offered are being registered to permit secondary trading of such ordinary shares and the selling securityholder may offer all or part of the ordinary shares they receive from exercise of the Warrant for resale from time to time pursuant to this prospectus.</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term “selling securityholder” also includes any transferees, pledgees, donees, or other successors in interest to the selling securityholder named in the table below. To the extent required, we will file a supplement to this prospectus (or a post-effective amendment hereto, if necessary) to name successors to the selling securityholder who are able to use this prospectus to resell the ordinary shares registered hereby.</w:t>
      </w:r>
    </w:p>
    <w:p>
      <w:pPr>
        <w:spacing w:after="0" w:line="176"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table below lists the selling securityholder and other information regarding the beneficial ownership of the ordinary shares held by the selling securityholder. The second column lists the number of ordinary shares beneficially owned by the selling securityholder, based on their beneficial ownership of ordinary shares as of November 6, 2025. The third column lists the maximum number of ordinary shares being offered by this prospectus by the selling securityholder. The fourth column assumes the sale of all of the maximum number of ordinary shares offered by the selling securityholder pursuant to this prospectus. The selling securityholder may sell all, some or none of their shares pursuant to this prospectus. See “Plan of Distribution.”</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580" w:type="dxa"/>
            <w:vAlign w:val="bottom"/>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80" w:type="dxa"/>
            <w:vAlign w:val="bottom"/>
          </w:tcPr>
          <w:p>
            <w:pPr>
              <w:jc w:val="center"/>
              <w:ind w:left="346"/>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580" w:type="dxa"/>
            <w:vAlign w:val="bottom"/>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Immediately</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80" w:type="dxa"/>
            <w:vAlign w:val="bottom"/>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After Sale of</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820" w:type="dxa"/>
            <w:vAlign w:val="bottom"/>
            <w:vMerge w:val="restart"/>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580" w:type="dxa"/>
            <w:vAlign w:val="bottom"/>
          </w:tcPr>
          <w:p>
            <w:pPr>
              <w:jc w:val="center"/>
              <w:ind w:left="34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Sold</w:t>
            </w:r>
          </w:p>
        </w:tc>
        <w:tc>
          <w:tcPr>
            <w:tcW w:w="1580" w:type="dxa"/>
            <w:vAlign w:val="bottom"/>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820" w:type="dxa"/>
            <w:vAlign w:val="bottom"/>
          </w:tcPr>
          <w:p>
            <w:pPr>
              <w:jc w:val="center"/>
              <w:ind w:left="304"/>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580" w:type="dxa"/>
            <w:vAlign w:val="bottom"/>
          </w:tcPr>
          <w:p>
            <w:pPr>
              <w:jc w:val="center"/>
              <w:ind w:left="346"/>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87"/>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2820" w:type="dxa"/>
            <w:vAlign w:val="bottom"/>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Prior to Offering</w:t>
            </w:r>
            <w:r>
              <w:rPr>
                <w:rFonts w:ascii="Times New Roman" w:cs="Times New Roman" w:eastAsia="Times New Roman" w:hAnsi="Times New Roman"/>
                <w:sz w:val="10"/>
                <w:szCs w:val="10"/>
                <w:b w:val="1"/>
                <w:bCs w:val="1"/>
                <w:color w:val="auto"/>
              </w:rPr>
              <w:t>(1)</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580" w:type="dxa"/>
            <w:vAlign w:val="bottom"/>
          </w:tcPr>
          <w:p>
            <w:pPr>
              <w:jc w:val="center"/>
              <w:ind w:left="326"/>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(2)</w:t>
            </w:r>
          </w:p>
        </w:tc>
        <w:tc>
          <w:tcPr>
            <w:tcW w:w="2820" w:type="dxa"/>
            <w:vAlign w:val="bottom"/>
            <w:shd w:val="clear" w:color="auto" w:fill="CCEEFF"/>
          </w:tcPr>
          <w:p>
            <w:pPr>
              <w:jc w:val="right"/>
              <w:ind w:right="384"/>
              <w:spacing w:after="0" w:line="216" w:lineRule="exact"/>
              <w:rPr>
                <w:sz w:val="20"/>
                <w:szCs w:val="20"/>
                <w:color w:val="auto"/>
              </w:rPr>
            </w:pPr>
            <w:r>
              <w:rPr>
                <w:rFonts w:ascii="Times New Roman" w:cs="Times New Roman" w:eastAsia="Times New Roman" w:hAnsi="Times New Roman"/>
                <w:sz w:val="17"/>
                <w:szCs w:val="17"/>
                <w:color w:val="auto"/>
              </w:rPr>
              <w:t>59,310</w:t>
            </w:r>
            <w:r>
              <w:rPr>
                <w:rFonts w:ascii="Times New Roman" w:cs="Times New Roman" w:eastAsia="Times New Roman" w:hAnsi="Times New Roman"/>
                <w:sz w:val="25"/>
                <w:szCs w:val="25"/>
                <w:color w:val="auto"/>
                <w:vertAlign w:val="superscript"/>
              </w:rPr>
              <w:t>(3)</w:t>
            </w:r>
          </w:p>
        </w:tc>
        <w:tc>
          <w:tcPr>
            <w:tcW w:w="196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8"/>
                <w:szCs w:val="18"/>
                <w:color w:val="auto"/>
              </w:rPr>
              <w:t>494,259</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80" w:hanging="424"/>
        <w:spacing w:after="0" w:line="257"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and generally includes voting or investment power with respect to securities. Ordinary shares subject to options or warrants currently exercisable, or exercisable within 60 days of November 6, 2025, are considered outstanding.</w:t>
      </w:r>
    </w:p>
    <w:p>
      <w:pPr>
        <w:spacing w:after="0" w:line="1" w:lineRule="exact"/>
        <w:rPr>
          <w:rFonts w:ascii="Times New Roman" w:cs="Times New Roman" w:eastAsia="Times New Roman" w:hAnsi="Times New Roman"/>
          <w:sz w:val="18"/>
          <w:szCs w:val="18"/>
          <w:color w:val="auto"/>
        </w:rPr>
      </w:pPr>
    </w:p>
    <w:p>
      <w:pPr>
        <w:ind w:left="540" w:right="120" w:hanging="424"/>
        <w:spacing w:after="0" w:line="25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the referenced shares to be registered are the following funds and accounts under management by subsidiaries of BlackRock, Inc.: Kreos Capital VII Aggregator SCSp.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80"/>
        <w:spacing w:after="0" w:line="276" w:lineRule="auto"/>
        <w:rPr>
          <w:sz w:val="20"/>
          <w:szCs w:val="20"/>
          <w:color w:val="auto"/>
        </w:rPr>
      </w:pPr>
      <w:r>
        <w:rPr>
          <w:rFonts w:ascii="Times New Roman" w:cs="Times New Roman" w:eastAsia="Times New Roman" w:hAnsi="Times New Roman"/>
          <w:sz w:val="17"/>
          <w:szCs w:val="17"/>
          <w:color w:val="auto"/>
        </w:rPr>
        <w:t>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 w:lineRule="exact"/>
        <w:rPr>
          <w:sz w:val="20"/>
          <w:szCs w:val="20"/>
          <w:color w:val="auto"/>
        </w:rPr>
      </w:pPr>
    </w:p>
    <w:p>
      <w:pPr>
        <w:ind w:left="540" w:hanging="424"/>
        <w:spacing w:after="0" w:line="255"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shares underlying the Warrant which are currently exercisable. The Warrant will become exercisable for additional amounts of ordinary shares, up to a maximum of 494,259 ordinary shares, following the drawdown of each of the three loans, if such drawdowns occur, or the achievement of a specified milestone with respect to the first loan, ratably based on the amounts that are drawn.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 which as used herein includes donees, pledgees, transferees or other successors in interest selling ordinary shares received after the date of this prospectus from the selling securityholder as a gift, pledge, partnership distribution or other transfer, may, from time to time, sell, transfer or otherwise dispose of any or all of their ordinary shares on any stock exchange, market or trading facility on which the ordinary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securityholder may use any one or more of the following methods when disposing of ordinary shares or interests therein:</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ordinary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selling securityholder’s members, partners or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 to sell a specified number of such ordinary shares at a stipulated price per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 may, from time to time, pledge or grant a security interest in some or all of the ordinary shares owned by them and, if they default in the performance of their secured obligations, the pledgees or secured parties may offer and sell the ordinary shares, from time to time, under this prospectus, or under an amendment to this prospectus under Rule 424(b)(3) or other applicable provision of the Securities Act, amending the list of selling securityholder to include the pledgee, transferee or other successors in interest as selling securityholder under this prospectus. The selling securityholder also may transfer the ordinary shares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sale of our ordinary shares, the selling securityholder may enter into hedging transactions with broker-dealers or other financial institutions, which may in turn engage in short sales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ordinary shares in the course of hedging the positions they assume. The selling securityholder may also sell ordinary shares short and deliver these securities to close out their short positions, or loan or pledge the ordinary shares to broker-dealers that in turn may sell these securities. The selling securityholder may also enter into option or other transactions with broker-dealers or other financial institutions or the creation of one or more derivative securities which require the delivery to such broker-dealer or other financial institution of ordinary shares offered by this prospectus, which ordinary shares such broker-dealer or other financial institution may resell pursuant to this prospectus (as supplemented or amended to reflect such transaction).</w:t>
      </w:r>
    </w:p>
    <w:p>
      <w:pPr>
        <w:spacing w:after="0" w:line="16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securityholder from the sale of the ordinary shares offered by it will be the purchase price of the ordinary shares less discounts or commissions, if any. The selling securityholder reserves the right to accept and, together with its agents from time to time, to reject, in whole or in part, any proposed purchase of ordinary shares to be made directly or through agents. We will not receive any of the proceeds from this offering. We will, however, receive the exercise price upon exercise of the Warrant if the Warrant is exercised in cash.</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 also may resell all or a portion of the ordinary shares in open market transactions in reliance upon Rule 144 under the Securities Act, or any other exemptions from the registration requirements that become available, provided that they meet the criteria and conform to the requirements of that rule or exemption.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 and any underwriters, broker-dealers or agents that participate in the sale of the ordinary shares or interests therein may be “underwriters” within the meaning of Section 2(11) of the Securities Act. Any discounts, commissions, concessions or profit they earn on any resale of the ordinary shares may be underwriting discounts and commissions under the Securities Act. A selling securityholder who is an “underwriter” within the meaning of Section 2(11) of the Securities Act will be subject to the prospectus delivery requirements of the Securities Act. Underwriters and their controlling persons, dealers, and agents may be entitled, under agreements entered into with us and the selling securityholder, to indemnification against and contribution toward specific civil liabilities, including liabilities under the Securities Act.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ordinary shares to be sold, the name(s) of the selling securityholder (s),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ordinary shares may be sold in these jurisdictions only through registered or licensed brokers or dealers. In addition, in some states the ordinary shares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 that the anti-manipulation rules of Regulation M under the Securities Exchange Act of 1934, as amended, may apply to sales of ordinary shares in the market and to the activities of the selling securityholder and their affiliates. In addition, to the extent applicable, we will make copies of this prospectus (as it may be supplemented or amended from time to time) available to the selling securityholder for the purpose of satisfying the prospectus delivery requirements of the Securities Act. The selling securityholder may indemnify any broker-dealer that participates in transactions involving the sale of the ordinary shares against certain liabilities, including liabilities arising under the Securities Act.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Warrant. We have agreed to pay any costs and expenses born from our willful and knowing failure to comply with any provision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Warrant, as well as all taxes and expenses in connection with the issuance of ordinary shares upon exercise of the Warrant. We have also agreed pay all transfer agent fees required for same-day processing of any notice of exercise and all fees to the Depository Trust Company (or another established clearing corporation performing similar functions) required for same-day electronic delivery of the ordinary shares upon exercise of the Warrant in connection with this offering, other than underwriting fees, discounts, selling commissions, stock transfer taxes, and certain legal expenses. The selling securityholder will pay any other costs and expenses relating to the offering.</w:t>
      </w:r>
    </w:p>
    <w:p>
      <w:pPr>
        <w:spacing w:after="0" w:line="18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 may use this prospectus in connection with resales of ordinary shares. This prospectus and any accompanying prospectus supplement will identify the selling securityholder, the terms of the securities, and any material relationships between us and the selling securityholder. Unless otherwise set forth in a prospectus supplement, the selling securityholder will receive all the net proceeds from the resale of securities.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 may elect to make an in-kind distribution of the ordinary shares to its members, partners, or shareholders pursuant to the registration statement of which this prospectus forms a part by delivering a prospectus. To the extent that such members, partners, or shareholders are not affiliates of ours, such members, partners, or shareholders would thereby receive freely tradable securities pursuant to the distribution through a registration statement.</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320" w:top="455" w:right="5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an itemization of the total expenses that are expected to be incurred by us in connection with the offer and sale of ordinary shares by the selling securityholder. With the exception of the SEC registration fee, all amounts are estimates.</w:t>
      </w:r>
    </w:p>
    <w:p>
      <w:pPr>
        <w:sectPr>
          <w:pgSz w:w="11900" w:h="16838" w:orient="portrait"/>
          <w:cols w:equalWidth="0" w:num="1">
            <w:col w:w="10680"/>
          </w:cols>
          <w:pgMar w:left="320" w:top="455" w:right="899" w:bottom="1440" w:gutter="0" w:footer="0" w:header="0"/>
        </w:sectPr>
      </w:pPr>
    </w:p>
    <w:p>
      <w:pPr>
        <w:spacing w:after="0" w:line="18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7620</wp:posOffset>
            </wp:positionV>
            <wp:extent cx="474916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Miscellaneous costs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96" w:lineRule="exact"/>
        <w:rPr>
          <w:sz w:val="20"/>
          <w:szCs w:val="20"/>
          <w:color w:val="auto"/>
        </w:rPr>
      </w:pPr>
    </w:p>
    <w:p>
      <w:pPr>
        <w:jc w:val="right"/>
        <w:ind w:right="2235"/>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7" w:lineRule="exact"/>
        <w:rPr>
          <w:sz w:val="20"/>
          <w:szCs w:val="20"/>
          <w:color w:val="auto"/>
        </w:rPr>
      </w:pPr>
    </w:p>
    <w:p>
      <w:pPr>
        <w:ind w:left="225" w:hanging="225"/>
        <w:spacing w:after="0"/>
        <w:tabs>
          <w:tab w:leader="none" w:pos="22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1,324</w:t>
      </w:r>
    </w:p>
    <w:p>
      <w:pPr>
        <w:spacing w:after="0" w:line="18" w:lineRule="exact"/>
        <w:rPr>
          <w:rFonts w:ascii="Times New Roman" w:cs="Times New Roman" w:eastAsia="Times New Roman" w:hAnsi="Times New Roman"/>
          <w:sz w:val="17"/>
          <w:szCs w:val="17"/>
          <w:color w:val="auto"/>
        </w:rPr>
      </w:pPr>
    </w:p>
    <w:p>
      <w:pPr>
        <w:ind w:left="12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45,000</w:t>
      </w:r>
    </w:p>
    <w:p>
      <w:pPr>
        <w:spacing w:after="0" w:line="9" w:lineRule="exact"/>
        <w:rPr>
          <w:rFonts w:ascii="Times New Roman" w:cs="Times New Roman" w:eastAsia="Times New Roman" w:hAnsi="Times New Roman"/>
          <w:sz w:val="17"/>
          <w:szCs w:val="17"/>
          <w:color w:val="auto"/>
        </w:rPr>
      </w:pPr>
    </w:p>
    <w:p>
      <w:pPr>
        <w:ind w:left="12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20,000</w:t>
      </w:r>
    </w:p>
    <w:p>
      <w:pPr>
        <w:spacing w:after="0" w:line="9" w:lineRule="exact"/>
        <w:rPr>
          <w:rFonts w:ascii="Times New Roman" w:cs="Times New Roman" w:eastAsia="Times New Roman" w:hAnsi="Times New Roman"/>
          <w:sz w:val="17"/>
          <w:szCs w:val="17"/>
          <w:color w:val="auto"/>
        </w:rPr>
      </w:pPr>
    </w:p>
    <w:p>
      <w:pPr>
        <w:ind w:left="12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94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ind w:left="5"/>
        <w:spacing w:after="0"/>
        <w:rPr>
          <w:sz w:val="20"/>
          <w:szCs w:val="20"/>
          <w:color w:val="auto"/>
        </w:rPr>
      </w:pPr>
      <w:r>
        <w:rPr>
          <w:rFonts w:ascii="Times New Roman" w:cs="Times New Roman" w:eastAsia="Times New Roman" w:hAnsi="Times New Roman"/>
          <w:sz w:val="17"/>
          <w:szCs w:val="17"/>
          <w:u w:val="single" w:color="auto"/>
          <w:color w:val="auto"/>
        </w:rPr>
        <w:t>$ 96,324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3943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ectPr>
          <w:pgSz w:w="11900" w:h="16838" w:orient="portrait"/>
          <w:cols w:equalWidth="0" w:num="2">
            <w:col w:w="7955" w:space="720"/>
            <w:col w:w="2005"/>
          </w:cols>
          <w:pgMar w:left="320" w:top="455" w:right="8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SERVICE OF PROCESS AND ENFORCEABILITY OF CIVIL LIABILITIES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organized under the laws of Switzerland and our registered office and domicile is located in Zug, Switzerland. Moreover, a number of our directors and executive officers are not residents of the United States, and a substantial portion of the assets of such persons are located outside the U.S. As a result, it may not be possible for investors to effect service of process within the United States upon us or upon such persons or to enforce against us or them judgments obtained in United States courts, including judgments in actions predicated upon the civil liability provisions of U.S. federal securities laws.</w:t>
      </w:r>
    </w:p>
    <w:p>
      <w:pPr>
        <w:spacing w:after="0" w:line="183"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We have been advised by our Swiss counsel, Vischer AG,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of December 18, 1987, as amended (the “PILA”). The PILA provides that the application of provisions of non-Swiss law by the courts in Switzerland shall be precluded if the result would be incompatible with Swiss public policy (</w:t>
      </w:r>
      <w:r>
        <w:rPr>
          <w:rFonts w:ascii="Times New Roman" w:cs="Times New Roman" w:eastAsia="Times New Roman" w:hAnsi="Times New Roman"/>
          <w:sz w:val="17"/>
          <w:szCs w:val="17"/>
          <w:i w:val="1"/>
          <w:iCs w:val="1"/>
          <w:color w:val="auto"/>
        </w:rPr>
        <w:t>ordre public</w:t>
      </w:r>
      <w:r>
        <w:rPr>
          <w:rFonts w:ascii="Times New Roman" w:cs="Times New Roman" w:eastAsia="Times New Roman" w:hAnsi="Times New Roman"/>
          <w:sz w:val="17"/>
          <w:szCs w:val="17"/>
          <w:color w:val="auto"/>
        </w:rPr>
        <w:t>). Also, mandatory provisions of Swiss law may be applicable regardless of any other law that would otherwise apply.</w:t>
      </w:r>
    </w:p>
    <w:p>
      <w:pPr>
        <w:spacing w:after="0" w:line="173"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have appointed Oculis US,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Switzerland and the United States do not, as of the date of this proxy statement/prospectus, have a treaty providing for reciprocal recognition of and enforcement of judgments in civil and commercial matters. The recognition and enforcement of a judgment of the courts of the United States in Switzerland is governed by the principles set forth in the PILA. This statute provides in principle that a judgment rendered by a non-Swiss court may be enforced in Switzerland only if:</w:t>
      </w:r>
    </w:p>
    <w:p>
      <w:pPr>
        <w:spacing w:after="0" w:line="85"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PILA;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counterparty has been properly served with process according to the law of the state of his/her/its domicile or ordinary residence (if in Switzerland, through judicial aid granted by the Swiss authorities) or the counterparty has unconditionally joined the proceedings;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the foreign judgment is not manifestly contrary to the public policy or the law in Switzerland;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leading to the judgment have respected the principles of a fair trial (as understood in Switzerland) and, in particular, that the counterparty has been granted the right to be heard and the possibility to properly defend his/her/its case; and</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between the same parties and on the same subject matter has been commenced or decided first in a Swiss court and no judgment between the same parties and on the same subject matter has been first rendered by a foreign court, which judgment may be recognized in Switzerland.</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our ordinary shares offered hereby has been passed upon for us by Vischer AG, Basel, Switzerland.</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20-F for the year ended December 31, 2024 have been so incorporated in reliance on the report of PricewaterhouseCoopers SA, an independent registered accounting firm, given on the authority of said firm as experts in auditing and accounting. PricewaterhouseCoopers SA is a member of EXPERTsuisse — Swiss Expert Association for Audit, Tax and Fiduciary.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reports on Form 20-F, reports on Form 6-K and other information with the SEC. Our SEC filings are available to the public over the Internet at the SEC’s website at www.sec.gov. Copies of certain information filed by us with the SEC are also available on our website at https://www.oculis.com/. Information contained on, or that can be accessible through, our website is not a part of this prospectus and the inclusion of our website address in this prospectus is an inactive textual reference only.</w:t>
      </w:r>
    </w:p>
    <w:p>
      <w:pPr>
        <w:spacing w:after="0" w:line="180"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 and does not contain all of the information in the registration statement. You should review the information and exhibits in the registration statement for further information on us and the securities that we are offering.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rather than filed, and, except as may be noted in any such Form 6-K, exhibits filed on such form that are related to such information), until the offering of the securities under the registration statement of which this prospectus forms a part is terminated or completed:</w:t>
      </w:r>
    </w:p>
    <w:p>
      <w:pPr>
        <w:spacing w:after="0" w:line="7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1">
        <w:r>
          <w:rPr>
            <w:rFonts w:ascii="Times New Roman" w:cs="Times New Roman" w:eastAsia="Times New Roman" w:hAnsi="Times New Roman"/>
            <w:sz w:val="18"/>
            <w:szCs w:val="18"/>
            <w:u w:val="single" w:color="auto"/>
            <w:color w:val="0000EE"/>
          </w:rPr>
          <w:t>Annual Report on 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11, 2025;</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4"/>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Reports on Form 6-K filed with the SEC on </w:t>
      </w:r>
      <w:hyperlink r:id="rId42">
        <w:r>
          <w:rPr>
            <w:rFonts w:ascii="Times New Roman" w:cs="Times New Roman" w:eastAsia="Times New Roman" w:hAnsi="Times New Roman"/>
            <w:sz w:val="18"/>
            <w:szCs w:val="18"/>
            <w:u w:val="single" w:color="auto"/>
            <w:color w:val="0000EE"/>
          </w:rPr>
          <w:t>January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 99.1), </w:t>
      </w:r>
      <w:hyperlink r:id="rId43">
        <w:r>
          <w:rPr>
            <w:rFonts w:ascii="Times New Roman" w:cs="Times New Roman" w:eastAsia="Times New Roman" w:hAnsi="Times New Roman"/>
            <w:sz w:val="18"/>
            <w:szCs w:val="18"/>
            <w:u w:val="single" w:color="auto"/>
            <w:color w:val="0000EE"/>
          </w:rPr>
          <w:t>February 14,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exhibits 1.1, 5.1 </w:t>
      </w:r>
      <w:hyperlink r:id="rId44">
        <w:r>
          <w:rPr>
            <w:rFonts w:ascii="Times New Roman" w:cs="Times New Roman" w:eastAsia="Times New Roman" w:hAnsi="Times New Roman"/>
            <w:sz w:val="18"/>
            <w:szCs w:val="18"/>
            <w:color w:val="auto"/>
          </w:rPr>
          <w:t xml:space="preserve">and 99.1), </w:t>
        </w:r>
        <w:r>
          <w:rPr>
            <w:rFonts w:ascii="Times New Roman" w:cs="Times New Roman" w:eastAsia="Times New Roman" w:hAnsi="Times New Roman"/>
            <w:sz w:val="18"/>
            <w:szCs w:val="18"/>
            <w:u w:val="single" w:color="auto"/>
            <w:color w:val="0000EE"/>
          </w:rPr>
          <w:t>April 15, 2025</w:t>
        </w:r>
        <w:r>
          <w:rPr>
            <w:rFonts w:ascii="Times New Roman" w:cs="Times New Roman" w:eastAsia="Times New Roman" w:hAnsi="Times New Roman"/>
            <w:sz w:val="18"/>
            <w:szCs w:val="18"/>
            <w:color w:val="auto"/>
          </w:rPr>
          <w:t xml:space="preserve"> (excluding 99.2), </w:t>
        </w:r>
        <w:r>
          <w:rPr>
            <w:rFonts w:ascii="Times New Roman" w:cs="Times New Roman" w:eastAsia="Times New Roman" w:hAnsi="Times New Roman"/>
            <w:sz w:val="18"/>
            <w:szCs w:val="18"/>
            <w:u w:val="single" w:color="auto"/>
            <w:color w:val="0000EE"/>
          </w:rPr>
          <w:t>May 8, 2025</w:t>
        </w:r>
        <w:r>
          <w:rPr>
            <w:rFonts w:ascii="Times New Roman" w:cs="Times New Roman" w:eastAsia="Times New Roman" w:hAnsi="Times New Roman"/>
            <w:sz w:val="18"/>
            <w:szCs w:val="18"/>
            <w:color w:val="auto"/>
          </w:rPr>
          <w:t xml:space="preserve"> (excluding exhibit 99.3), </w:t>
        </w:r>
        <w:r>
          <w:rPr>
            <w:rFonts w:ascii="Times New Roman" w:cs="Times New Roman" w:eastAsia="Times New Roman" w:hAnsi="Times New Roman"/>
            <w:sz w:val="18"/>
            <w:szCs w:val="18"/>
            <w:u w:val="single" w:color="auto"/>
            <w:color w:val="0000EE"/>
          </w:rPr>
          <w:t>June 5, 2025</w:t>
        </w:r>
        <w:r>
          <w:rPr>
            <w:rFonts w:ascii="Times New Roman" w:cs="Times New Roman" w:eastAsia="Times New Roman" w:hAnsi="Times New Roman"/>
            <w:sz w:val="18"/>
            <w:szCs w:val="18"/>
            <w:color w:val="auto"/>
          </w:rPr>
          <w:t xml:space="preserve"> (excluding exhibit 99.1), </w:t>
        </w:r>
        <w:r>
          <w:rPr>
            <w:rFonts w:ascii="Times New Roman" w:cs="Times New Roman" w:eastAsia="Times New Roman" w:hAnsi="Times New Roman"/>
            <w:sz w:val="18"/>
            <w:szCs w:val="18"/>
            <w:u w:val="single" w:color="auto"/>
            <w:color w:val="0000EE"/>
          </w:rPr>
          <w:t>August 1,</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 xml:space="preserve">August 21, 2025 </w:t>
        </w:r>
      </w:hyperlink>
      <w:hyperlink r:id="rId44">
        <w:r>
          <w:rPr>
            <w:rFonts w:ascii="Times New Roman" w:cs="Times New Roman" w:eastAsia="Times New Roman" w:hAnsi="Times New Roman"/>
            <w:sz w:val="18"/>
            <w:szCs w:val="18"/>
            <w:color w:val="000000"/>
          </w:rPr>
          <w:t>(excluding exhibit 99.3),</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 xml:space="preserve">October 6, 2025 </w:t>
        </w:r>
      </w:hyperlink>
      <w:hyperlink r:id="rId44">
        <w:r>
          <w:rPr>
            <w:rFonts w:ascii="Times New Roman" w:cs="Times New Roman" w:eastAsia="Times New Roman" w:hAnsi="Times New Roman"/>
            <w:sz w:val="18"/>
            <w:szCs w:val="18"/>
            <w:color w:val="000000"/>
          </w:rPr>
          <w:t>(excluding exhibits 99.1 and 99.2),</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 xml:space="preserve">October 31, 2025 </w:t>
        </w:r>
      </w:hyperlink>
      <w:hyperlink r:id="rId44">
        <w:r>
          <w:rPr>
            <w:rFonts w:ascii="Times New Roman" w:cs="Times New Roman" w:eastAsia="Times New Roman" w:hAnsi="Times New Roman"/>
            <w:sz w:val="18"/>
            <w:szCs w:val="18"/>
            <w:color w:val="000000"/>
          </w:rPr>
          <w:t>(excluding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exhibits), and </w:t>
      </w:r>
      <w:hyperlink r:id="rId48">
        <w:r>
          <w:rPr>
            <w:rFonts w:ascii="Times New Roman" w:cs="Times New Roman" w:eastAsia="Times New Roman" w:hAnsi="Times New Roman"/>
            <w:sz w:val="18"/>
            <w:szCs w:val="18"/>
            <w:u w:val="single" w:color="auto"/>
            <w:color w:val="0000EE"/>
          </w:rPr>
          <w:t>November 10,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(excluding exhibit 99.3); and</w:t>
      </w:r>
    </w:p>
    <w:p>
      <w:pPr>
        <w:spacing w:after="0" w:line="85" w:lineRule="exact"/>
        <w:rPr>
          <w:rFonts w:ascii="Times New Roman" w:cs="Times New Roman" w:eastAsia="Times New Roman" w:hAnsi="Times New Roman"/>
          <w:sz w:val="18"/>
          <w:szCs w:val="18"/>
          <w:color w:val="000000"/>
        </w:rPr>
      </w:pPr>
    </w:p>
    <w:p>
      <w:pPr>
        <w:ind w:left="1080" w:right="6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w:t>
      </w:r>
      <w:hyperlink r:id="rId49">
        <w:r>
          <w:rPr>
            <w:rFonts w:ascii="Times New Roman" w:cs="Times New Roman" w:eastAsia="Times New Roman" w:hAnsi="Times New Roman"/>
            <w:sz w:val="18"/>
            <w:szCs w:val="18"/>
            <w:u w:val="single" w:color="auto"/>
            <w:color w:val="0000EE"/>
          </w:rPr>
          <w:t>Registration Statement on Form 8-A</w:t>
        </w:r>
      </w:hyperlink>
      <w:r>
        <w:rPr>
          <w:rFonts w:ascii="Times New Roman" w:cs="Times New Roman" w:eastAsia="Times New Roman" w:hAnsi="Times New Roman"/>
          <w:sz w:val="18"/>
          <w:szCs w:val="18"/>
          <w:color w:val="auto"/>
        </w:rPr>
        <w:t>, filed with the SEC on March 1, 2023, including any amendments or reports filed for the purpose of updating the description.</w:t>
      </w:r>
    </w:p>
    <w:p>
      <w:pPr>
        <w:spacing w:after="0" w:line="162" w:lineRule="exact"/>
        <w:rPr>
          <w:rFonts w:ascii="Times New Roman" w:cs="Times New Roman" w:eastAsia="Times New Roman" w:hAnsi="Times New Roman"/>
          <w:sz w:val="18"/>
          <w:szCs w:val="18"/>
          <w:color w:val="0000EE"/>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You can obtain any of the filings incorporated by reference in this prospectus through us or from the SEC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filings with the SEC, including our annual reports on Form 20-F and reports on Form 6-K and exhibits incorporated 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those reports, are also available free of charge on our website (</w:t>
      </w:r>
      <w:r>
        <w:rPr>
          <w:rFonts w:ascii="Times New Roman" w:cs="Times New Roman" w:eastAsia="Times New Roman" w:hAnsi="Times New Roman"/>
          <w:sz w:val="18"/>
          <w:szCs w:val="18"/>
          <w:i w:val="1"/>
          <w:iCs w:val="1"/>
          <w:color w:val="auto"/>
        </w:rPr>
        <w:t>www.oculis.com</w:t>
      </w:r>
      <w:r>
        <w:rPr>
          <w:rFonts w:ascii="Times New Roman" w:cs="Times New Roman" w:eastAsia="Times New Roman" w:hAnsi="Times New Roman"/>
          <w:sz w:val="18"/>
          <w:szCs w:val="18"/>
          <w:color w:val="auto"/>
        </w:rPr>
        <w:t>)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 and telephone number:</w:t>
      </w:r>
    </w:p>
    <w:p>
      <w:pPr>
        <w:spacing w:after="0" w:line="189"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Address: Oculis US Inc. 300 Washington Street, Suite 405, Newton, MA 02458</w:t>
      </w:r>
    </w:p>
    <w:p>
      <w:pPr>
        <w:spacing w:after="0" w:line="225"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Telephone: +1 617 928 5886</w:t>
      </w:r>
    </w:p>
    <w:p>
      <w:pPr>
        <w:spacing w:after="0" w:line="158"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738505</wp:posOffset>
            </wp:positionV>
            <wp:extent cx="109728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097280" cy="26543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Oculis Holding AG</w:t>
      </w:r>
    </w:p>
    <w:p>
      <w:pPr>
        <w:spacing w:after="0" w:line="2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5"/>
          <w:szCs w:val="25"/>
          <w:b w:val="1"/>
          <w:bCs w:val="1"/>
          <w:color w:val="auto"/>
        </w:rPr>
        <w:t>Up to 494,259 Ordinary Shares offered by the Selling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2767330</wp:posOffset>
            </wp:positionV>
            <wp:extent cx="1474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jpe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41" Type="http://schemas.openxmlformats.org/officeDocument/2006/relationships/hyperlink" Target="http://www.sec.gov/ix?doc=/Archives/edgar/data/1953530/000095017025037224/ocs-20241231.htm" TargetMode="External"/><Relationship Id="rId42" Type="http://schemas.openxmlformats.org/officeDocument/2006/relationships/hyperlink" Target="http://www.sec.gov/Archives/edgar/data/1953530/000095017025002044/6-k_-_accuity_tlr_-_jan_.htm" TargetMode="External"/><Relationship Id="rId43" Type="http://schemas.openxmlformats.org/officeDocument/2006/relationships/hyperlink" Target="http://www.sec.gov/Archives/edgar/data/1953530/000095017025021279/6-k_february_2025_offeri.htm" TargetMode="External"/><Relationship Id="rId44" Type="http://schemas.openxmlformats.org/officeDocument/2006/relationships/hyperlink" Target="http://www.sec.gov/Archives/edgar/data/1953530/000119312525171649/d921948d6k.htm" TargetMode="External"/><Relationship Id="rId45" Type="http://schemas.openxmlformats.org/officeDocument/2006/relationships/hyperlink" Target="http://www.sec.gov/ix?doc=/Archives/edgar/data/1953530/000119312525185344/ocs-20250630.htm" TargetMode="External"/><Relationship Id="rId46" Type="http://schemas.openxmlformats.org/officeDocument/2006/relationships/hyperlink" Target="http://www.sec.gov/Archives/edgar/data/1953530/000119312525231973/d891485d6k.htm" TargetMode="External"/><Relationship Id="rId47" Type="http://schemas.openxmlformats.org/officeDocument/2006/relationships/hyperlink" Target="http://www.sec.gov/Archives/edgar/data/1953530/000119312525260916/d66396d6k.htm" TargetMode="External"/><Relationship Id="rId48" Type="http://schemas.openxmlformats.org/officeDocument/2006/relationships/hyperlink" Target="http://www.sec.gov/Archives/edgar/data/1953530/000119312525274212/q3_2025_6-k_mda_pr_-_xbr.htm" TargetMode="External"/><Relationship Id="rId49" Type="http://schemas.openxmlformats.org/officeDocument/2006/relationships/hyperlink" Target="http://www.sec.gov/Archives/edgar/data/1953530/000119312523054545/d4696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2025-12-01T15:24:24Z</dcterms:created>
  <dcterms:modified xsi:type="dcterms:W3CDTF">2025-12-01T15:24:24Z</dcterms:modified>
</cp:coreProperties>
</file>