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gif" ContentType="image/gif"/>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gif" ContentType="image/gif"/>
  <Override PartName="/word/media/image6.jpeg" ContentType="image/jpeg"/>
  <Override PartName="/word/media/image5.jpeg" ContentType="image/jpeg"/>
  <Override PartName="/word/media/image4.jpeg" ContentType="image/jpeg"/>
  <Override PartName="/word/media/image23.jpeg" ContentType="image/jpeg"/>
  <Override PartName="/word/media/image18.jpeg" ContentType="image/jpeg"/>
  <Override PartName="/word/media/image3.gif" ContentType="image/gif"/>
  <Override PartName="/word/media/image22.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21.jpeg" ContentType="image/jpeg"/>
  <Override PartName="/word/media/image17.gif" ContentType="image/gif"/>
  <Override PartName="/word/media/image16.gif" ContentType="image/gif"/>
  <Override PartName="/word/media/image14.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6-k__agm_materials_2025_.htm"/>
      <w:bookmarkStart w:id="1" w:name="ks6k__agm_materials_2025_"/>
      <w:bookmarkEnd w:id="0"/>
      <w:bookmarkEnd w:id="1"/>
      <w:r>
        <w:rPr/>
        <w:drawing>
          <wp:anchor behindDoc="0" distT="0" distB="0" distL="0" distR="0" simplePos="0" locked="0" layoutInCell="1" allowOverlap="1" relativeHeight="58">
            <wp:simplePos x="0" y="0"/>
            <wp:positionH relativeFrom="page">
              <wp:posOffset>685800</wp:posOffset>
            </wp:positionH>
            <wp:positionV relativeFrom="page">
              <wp:posOffset>182880</wp:posOffset>
            </wp:positionV>
            <wp:extent cx="1644650" cy="1061720"/>
            <wp:effectExtent l="0" t="0" r="0" b="0"/>
            <wp:wrapNone/>
            <wp:docPr id="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7" descr=""/>
                    <pic:cNvPicPr>
                      <a:picLocks noChangeAspect="1" noChangeArrowheads="1"/>
                    </pic:cNvPicPr>
                  </pic:nvPicPr>
                  <pic:blipFill>
                    <a:blip r:embed="rId2"/>
                    <a:stretch>
                      <a:fillRect/>
                    </a:stretch>
                  </pic:blipFill>
                  <pic:spPr bwMode="auto">
                    <a:xfrm>
                      <a:off x="0" y="0"/>
                      <a:ext cx="1644650" cy="1061720"/>
                    </a:xfrm>
                    <a:prstGeom prst="rect">
                      <a:avLst/>
                    </a:prstGeom>
                  </pic:spPr>
                </pic:pic>
              </a:graphicData>
            </a:graphic>
          </wp:anchor>
        </w:drawing>
        <w:drawing>
          <wp:anchor behindDoc="0" distT="0" distB="0" distL="0" distR="0" simplePos="0" locked="0" layoutInCell="1" allowOverlap="1" relativeHeight="59">
            <wp:simplePos x="0" y="0"/>
            <wp:positionH relativeFrom="page">
              <wp:posOffset>685800</wp:posOffset>
            </wp:positionH>
            <wp:positionV relativeFrom="page">
              <wp:posOffset>182880</wp:posOffset>
            </wp:positionV>
            <wp:extent cx="1644650" cy="1061720"/>
            <wp:effectExtent l="0" t="0" r="0" b="0"/>
            <wp:wrapNone/>
            <wp:docPr id="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2" descr=""/>
                    <pic:cNvPicPr>
                      <a:picLocks noChangeAspect="1" noChangeArrowheads="1"/>
                    </pic:cNvPicPr>
                  </pic:nvPicPr>
                  <pic:blipFill>
                    <a:blip r:embed="rId3"/>
                    <a:stretch>
                      <a:fillRect/>
                    </a:stretch>
                  </pic:blipFill>
                  <pic:spPr bwMode="auto">
                    <a:xfrm>
                      <a:off x="0" y="0"/>
                      <a:ext cx="1644650" cy="1061720"/>
                    </a:xfrm>
                    <a:prstGeom prst="rect">
                      <a:avLst/>
                    </a:prstGeom>
                  </pic:spPr>
                </pic:pic>
              </a:graphicData>
            </a:graphic>
          </wp:anchor>
        </w:drawing>
        <w:drawing>
          <wp:anchor behindDoc="0" distT="0" distB="0" distL="0" distR="0" simplePos="0" locked="0" layoutInCell="1" allowOverlap="1" relativeHeight="60">
            <wp:simplePos x="0" y="0"/>
            <wp:positionH relativeFrom="page">
              <wp:posOffset>461645</wp:posOffset>
            </wp:positionH>
            <wp:positionV relativeFrom="page">
              <wp:posOffset>215900</wp:posOffset>
            </wp:positionV>
            <wp:extent cx="1644650" cy="1061720"/>
            <wp:effectExtent l="0" t="0" r="0" b="0"/>
            <wp:wrapNone/>
            <wp:docPr id="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5" descr=""/>
                    <pic:cNvPicPr>
                      <a:picLocks noChangeAspect="1" noChangeArrowheads="1"/>
                    </pic:cNvPicPr>
                  </pic:nvPicPr>
                  <pic:blipFill>
                    <a:blip r:embed="rId4"/>
                    <a:stretch>
                      <a:fillRect/>
                    </a:stretch>
                  </pic:blipFill>
                  <pic:spPr bwMode="auto">
                    <a:xfrm>
                      <a:off x="0" y="0"/>
                      <a:ext cx="1644650" cy="1061720"/>
                    </a:xfrm>
                    <a:prstGeom prst="rect">
                      <a:avLst/>
                    </a:prstGeom>
                  </pic:spPr>
                </pic:pic>
              </a:graphicData>
            </a:graphic>
          </wp:anchor>
        </w:drawing>
        <w:drawing>
          <wp:anchor behindDoc="0" distT="0" distB="0" distL="0" distR="0" simplePos="0" locked="0" layoutInCell="1" allowOverlap="1" relativeHeight="61">
            <wp:simplePos x="0" y="0"/>
            <wp:positionH relativeFrom="page">
              <wp:posOffset>461645</wp:posOffset>
            </wp:positionH>
            <wp:positionV relativeFrom="page">
              <wp:posOffset>215900</wp:posOffset>
            </wp:positionV>
            <wp:extent cx="1644650" cy="1061720"/>
            <wp:effectExtent l="0" t="0" r="0" b="0"/>
            <wp:wrapNone/>
            <wp:docPr id="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6" descr=""/>
                    <pic:cNvPicPr>
                      <a:picLocks noChangeAspect="1" noChangeArrowheads="1"/>
                    </pic:cNvPicPr>
                  </pic:nvPicPr>
                  <pic:blipFill>
                    <a:blip r:embed="rId5"/>
                    <a:stretch>
                      <a:fillRect/>
                    </a:stretch>
                  </pic:blipFill>
                  <pic:spPr bwMode="auto">
                    <a:xfrm>
                      <a:off x="0" y="0"/>
                      <a:ext cx="1644650" cy="1061720"/>
                    </a:xfrm>
                    <a:prstGeom prst="rect">
                      <a:avLst/>
                    </a:prstGeom>
                  </pic:spPr>
                </pic:pic>
              </a:graphicData>
            </a:graphic>
          </wp:anchor>
        </w:drawing>
        <w:drawing>
          <wp:anchor behindDoc="0" distT="0" distB="0" distL="0" distR="0" simplePos="0" locked="0" layoutInCell="1" allowOverlap="1" relativeHeight="62">
            <wp:simplePos x="0" y="0"/>
            <wp:positionH relativeFrom="page">
              <wp:posOffset>461645</wp:posOffset>
            </wp:positionH>
            <wp:positionV relativeFrom="page">
              <wp:posOffset>215900</wp:posOffset>
            </wp:positionV>
            <wp:extent cx="1644650" cy="1061720"/>
            <wp:effectExtent l="0" t="0" r="0" b="0"/>
            <wp:wrapNone/>
            <wp:docPr id="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7" descr=""/>
                    <pic:cNvPicPr>
                      <a:picLocks noChangeAspect="1" noChangeArrowheads="1"/>
                    </pic:cNvPicPr>
                  </pic:nvPicPr>
                  <pic:blipFill>
                    <a:blip r:embed="rId6"/>
                    <a:stretch>
                      <a:fillRect/>
                    </a:stretch>
                  </pic:blipFill>
                  <pic:spPr bwMode="auto">
                    <a:xfrm>
                      <a:off x="0" y="0"/>
                      <a:ext cx="1644650" cy="1061720"/>
                    </a:xfrm>
                    <a:prstGeom prst="rect">
                      <a:avLst/>
                    </a:prstGeom>
                  </pic:spPr>
                </pic:pic>
              </a:graphicData>
            </a:graphic>
          </wp:anchor>
        </w:drawing>
        <w:t> </w:t>
      </w:r>
      <w:r>
        <mc:AlternateContent>
          <mc:Choice Requires="wps">
            <w:drawing>
              <wp:anchor behindDoc="0" distT="0" distB="0" distL="0" distR="0" simplePos="0" locked="0" layoutInCell="1" allowOverlap="1" relativeHeight="44">
                <wp:simplePos x="0" y="0"/>
                <wp:positionH relativeFrom="page">
                  <wp:posOffset>882650</wp:posOffset>
                </wp:positionH>
                <wp:positionV relativeFrom="page">
                  <wp:posOffset>260350</wp:posOffset>
                </wp:positionV>
                <wp:extent cx="3696970" cy="127000"/>
                <wp:effectExtent l="0" t="0" r="0" b="0"/>
                <wp:wrapNone/>
                <wp:docPr id="6" name="Frame9"/>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882650</wp:posOffset>
                </wp:positionH>
                <wp:positionV relativeFrom="page">
                  <wp:posOffset>260350</wp:posOffset>
                </wp:positionV>
                <wp:extent cx="3696970" cy="127000"/>
                <wp:effectExtent l="0" t="0" r="0" b="0"/>
                <wp:wrapNone/>
                <wp:docPr id="7" name="Frame1"/>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6923405</wp:posOffset>
                </wp:positionH>
                <wp:positionV relativeFrom="page">
                  <wp:posOffset>262890</wp:posOffset>
                </wp:positionV>
                <wp:extent cx="145415" cy="187325"/>
                <wp:effectExtent l="0" t="0" r="0" b="0"/>
                <wp:wrapNone/>
                <wp:docPr id="8" name="Frame2"/>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882650</wp:posOffset>
                </wp:positionH>
                <wp:positionV relativeFrom="page">
                  <wp:posOffset>260350</wp:posOffset>
                </wp:positionV>
                <wp:extent cx="3696970" cy="127000"/>
                <wp:effectExtent l="0" t="0" r="0" b="0"/>
                <wp:wrapNone/>
                <wp:docPr id="9" name="Frame3"/>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6923405</wp:posOffset>
                </wp:positionH>
                <wp:positionV relativeFrom="page">
                  <wp:posOffset>262890</wp:posOffset>
                </wp:positionV>
                <wp:extent cx="145415" cy="187325"/>
                <wp:effectExtent l="0" t="0" r="0" b="0"/>
                <wp:wrapNone/>
                <wp:docPr id="10" name="Frame4"/>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882650</wp:posOffset>
                </wp:positionH>
                <wp:positionV relativeFrom="page">
                  <wp:posOffset>260350</wp:posOffset>
                </wp:positionV>
                <wp:extent cx="3696970" cy="127000"/>
                <wp:effectExtent l="0" t="0" r="0" b="0"/>
                <wp:wrapNone/>
                <wp:docPr id="11" name="Frame5"/>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6923405</wp:posOffset>
                </wp:positionH>
                <wp:positionV relativeFrom="page">
                  <wp:posOffset>262890</wp:posOffset>
                </wp:positionV>
                <wp:extent cx="145415" cy="187325"/>
                <wp:effectExtent l="0" t="0" r="0" b="0"/>
                <wp:wrapNone/>
                <wp:docPr id="12" name="Frame6"/>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882650</wp:posOffset>
                </wp:positionH>
                <wp:positionV relativeFrom="page">
                  <wp:posOffset>260350</wp:posOffset>
                </wp:positionV>
                <wp:extent cx="3696970" cy="127000"/>
                <wp:effectExtent l="0" t="0" r="0" b="0"/>
                <wp:wrapNone/>
                <wp:docPr id="13" name="Frame7"/>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6923405</wp:posOffset>
                </wp:positionH>
                <wp:positionV relativeFrom="page">
                  <wp:posOffset>262890</wp:posOffset>
                </wp:positionV>
                <wp:extent cx="145415" cy="187325"/>
                <wp:effectExtent l="0" t="0" r="0" b="0"/>
                <wp:wrapNone/>
                <wp:docPr id="14" name="Frame8"/>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6923405</wp:posOffset>
                </wp:positionH>
                <wp:positionV relativeFrom="page">
                  <wp:posOffset>262890</wp:posOffset>
                </wp:positionV>
                <wp:extent cx="145415" cy="187325"/>
                <wp:effectExtent l="0" t="0" r="0" b="0"/>
                <wp:wrapNone/>
                <wp:docPr id="15" name="Frame22"/>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6923405</wp:posOffset>
                </wp:positionH>
                <wp:positionV relativeFrom="page">
                  <wp:posOffset>262890</wp:posOffset>
                </wp:positionV>
                <wp:extent cx="145415" cy="187325"/>
                <wp:effectExtent l="0" t="0" r="0" b="0"/>
                <wp:wrapNone/>
                <wp:docPr id="16" name="Frame10"/>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882650</wp:posOffset>
                </wp:positionH>
                <wp:positionV relativeFrom="page">
                  <wp:posOffset>260350</wp:posOffset>
                </wp:positionV>
                <wp:extent cx="3696970" cy="127000"/>
                <wp:effectExtent l="0" t="0" r="0" b="0"/>
                <wp:wrapNone/>
                <wp:docPr id="17" name="Frame11"/>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6923405</wp:posOffset>
                </wp:positionH>
                <wp:positionV relativeFrom="page">
                  <wp:posOffset>262890</wp:posOffset>
                </wp:positionV>
                <wp:extent cx="145415" cy="187325"/>
                <wp:effectExtent l="0" t="0" r="0" b="0"/>
                <wp:wrapNone/>
                <wp:docPr id="18" name="Frame12"/>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882650</wp:posOffset>
                </wp:positionH>
                <wp:positionV relativeFrom="page">
                  <wp:posOffset>260350</wp:posOffset>
                </wp:positionV>
                <wp:extent cx="3696970" cy="127000"/>
                <wp:effectExtent l="0" t="0" r="0" b="0"/>
                <wp:wrapNone/>
                <wp:docPr id="19" name="Frame13"/>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6923405</wp:posOffset>
                </wp:positionH>
                <wp:positionV relativeFrom="page">
                  <wp:posOffset>262890</wp:posOffset>
                </wp:positionV>
                <wp:extent cx="145415" cy="187325"/>
                <wp:effectExtent l="0" t="0" r="0" b="0"/>
                <wp:wrapNone/>
                <wp:docPr id="20" name="Frame14"/>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882650</wp:posOffset>
                </wp:positionH>
                <wp:positionV relativeFrom="page">
                  <wp:posOffset>260350</wp:posOffset>
                </wp:positionV>
                <wp:extent cx="3696970" cy="127000"/>
                <wp:effectExtent l="0" t="0" r="0" b="0"/>
                <wp:wrapNone/>
                <wp:docPr id="21" name="Frame15"/>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6923405</wp:posOffset>
                </wp:positionH>
                <wp:positionV relativeFrom="page">
                  <wp:posOffset>262890</wp:posOffset>
                </wp:positionV>
                <wp:extent cx="145415" cy="187325"/>
                <wp:effectExtent l="0" t="0" r="0" b="0"/>
                <wp:wrapNone/>
                <wp:docPr id="22" name="Frame16"/>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882650</wp:posOffset>
                </wp:positionH>
                <wp:positionV relativeFrom="page">
                  <wp:posOffset>260350</wp:posOffset>
                </wp:positionV>
                <wp:extent cx="3696970" cy="127000"/>
                <wp:effectExtent l="0" t="0" r="0" b="0"/>
                <wp:wrapNone/>
                <wp:docPr id="23" name="Frame17"/>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6923405</wp:posOffset>
                </wp:positionH>
                <wp:positionV relativeFrom="page">
                  <wp:posOffset>262890</wp:posOffset>
                </wp:positionV>
                <wp:extent cx="145415" cy="187325"/>
                <wp:effectExtent l="0" t="0" r="0" b="0"/>
                <wp:wrapNone/>
                <wp:docPr id="24" name="Frame18"/>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882650</wp:posOffset>
                </wp:positionH>
                <wp:positionV relativeFrom="page">
                  <wp:posOffset>260350</wp:posOffset>
                </wp:positionV>
                <wp:extent cx="3696970" cy="127000"/>
                <wp:effectExtent l="0" t="0" r="0" b="0"/>
                <wp:wrapNone/>
                <wp:docPr id="25" name="Frame19"/>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6923405</wp:posOffset>
                </wp:positionH>
                <wp:positionV relativeFrom="page">
                  <wp:posOffset>262890</wp:posOffset>
                </wp:positionV>
                <wp:extent cx="145415" cy="187325"/>
                <wp:effectExtent l="0" t="0" r="0" b="0"/>
                <wp:wrapNone/>
                <wp:docPr id="26" name="Frame20"/>
                <a:graphic xmlns:a="http://schemas.openxmlformats.org/drawingml/2006/main">
                  <a:graphicData uri="http://schemas.microsoft.com/office/word/2010/wordprocessingShape">
                    <wps:wsp>
                      <wps:cNvSpPr txBox="1"/>
                      <wps:spPr>
                        <a:xfrm>
                          <a:off x="0" y="0"/>
                          <a:ext cx="145415" cy="187325"/>
                        </a:xfrm>
                        <a:prstGeom prst="rect"/>
                        <a:solidFill>
                          <a:srgbClr val="FFFFFF"/>
                        </a:solidFill>
                      </wps:spPr>
                      <wps:txbx>
                        <w:txbxContent>
                          <w:p>
                            <w:pPr>
                              <w:pStyle w:val="TextBody"/>
                              <w:bidi w:val="0"/>
                              <w:spacing w:before="19"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1.45pt;height:14.75pt;mso-wrap-distance-left:0pt;mso-wrap-distance-right:0pt;mso-wrap-distance-top:0pt;mso-wrap-distance-bottom:0pt;margin-top:20.7pt;mso-position-vertical-relative:page;margin-left:545.15pt;mso-position-horizontal-relative:page">
                <v:textbox inset="0in,0in,0in,0in">
                  <w:txbxContent>
                    <w:p>
                      <w:pPr>
                        <w:pStyle w:val="TextBody"/>
                        <w:bidi w:val="0"/>
                        <w:spacing w:before="19"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882650</wp:posOffset>
                </wp:positionH>
                <wp:positionV relativeFrom="page">
                  <wp:posOffset>260350</wp:posOffset>
                </wp:positionV>
                <wp:extent cx="3696970" cy="127000"/>
                <wp:effectExtent l="0" t="0" r="0" b="0"/>
                <wp:wrapNone/>
                <wp:docPr id="27" name="Frame21"/>
                <a:graphic xmlns:a="http://schemas.openxmlformats.org/drawingml/2006/main">
                  <a:graphicData uri="http://schemas.microsoft.com/office/word/2010/wordprocessingShape">
                    <wps:wsp>
                      <wps:cNvSpPr txBox="1"/>
                      <wps:spPr>
                        <a:xfrm>
                          <a:off x="0" y="0"/>
                          <a:ext cx="3696970" cy="127000"/>
                        </a:xfrm>
                        <a:prstGeom prst="rect"/>
                        <a:solidFill>
                          <a:srgbClr val="FFFFFF"/>
                        </a:solidFill>
                      </wps:spPr>
                      <wps:txbx>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wps:txbx>
                      <wps:bodyPr anchor="t" lIns="0" tIns="0" rIns="0" bIns="0">
                        <a:noAutofit/>
                      </wps:bodyPr>
                    </wps:wsp>
                  </a:graphicData>
                </a:graphic>
              </wp:anchor>
            </w:drawing>
          </mc:Choice>
          <mc:Fallback>
            <w:pict>
              <v:rect style="position:absolute;rotation:-0;width:291.1pt;height:10pt;mso-wrap-distance-left:0pt;mso-wrap-distance-right:0pt;mso-wrap-distance-top:0pt;mso-wrap-distance-bottom:0pt;margin-top:20.5pt;mso-position-vertical-relative:page;margin-left:69.5pt;mso-position-horizontal-relative:page">
                <v:textbox inset="0in,0in,0in,0in">
                  <w:txbxContent>
                    <w:p>
                      <w:pPr>
                        <w:pStyle w:val="TextBody"/>
                        <w:bidi w:val="0"/>
                        <w:spacing w:before="19" w:after="283"/>
                        <w:ind w:left="20" w:right="0" w:hanging="0"/>
                        <w:jc w:val="left"/>
                        <w:rPr>
                          <w:rFonts w:ascii="Verdana;sans-serif" w:hAnsi="Verdana;sans-serif"/>
                          <w:color w:val="000000"/>
                          <w:sz w:val="14"/>
                        </w:rPr>
                      </w:pPr>
                      <w:r>
                        <w:rPr>
                          <w:rFonts w:ascii="Verdana;sans-serif" w:hAnsi="Verdana;sans-serif"/>
                          <w:color w:val="000000"/>
                          <w:sz w:val="14"/>
                        </w:rPr>
                        <w:t>Invitation to the 2026 Annual General Meeting of Shareholders, Oculis Holding AG</w:t>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spacing w:before="0" w:after="40"/>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REPORT OF FOREIGN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Month of April 2026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No. 001-41636)</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Oculis Holding AG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(Translation of registrant's name into English)</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Bahnhofstrasse 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CH-6300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Zug, Switzerland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w:t>
      </w:r>
      <w:r>
        <w:rPr>
          <w:rFonts w:ascii="Times New Roman" w:hAnsi="Times New Roman"/>
          <w:color w:val="000000"/>
          <w:sz w:val="20"/>
        </w:rPr>
        <w:t xml:space="preserve"> </w:t>
      </w:r>
    </w:p>
    <w:p>
      <w:pPr>
        <w:pStyle w:val="TextBody"/>
        <w:bidi w:val="0"/>
        <w:jc w:val="center"/>
        <w:rPr/>
      </w:pPr>
      <w:r>
        <w:rPr/>
        <w:t>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tbl>
      <w:tblPr>
        <w:tblW w:w="2402" w:type="dxa"/>
        <w:jc w:val="left"/>
        <w:tblInd w:w="0" w:type="dxa"/>
        <w:tblLayout w:type="fixed"/>
        <w:tblCellMar>
          <w:top w:w="28" w:type="dxa"/>
          <w:left w:w="28" w:type="dxa"/>
          <w:bottom w:w="28" w:type="dxa"/>
          <w:right w:w="28" w:type="dxa"/>
        </w:tblCellMar>
      </w:tblPr>
      <w:tblGrid>
        <w:gridCol w:w="118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INFORMATION CONTAINED IN THIS REPORT ON FORM 6-K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21, 2026, Oculis Holding AG (the “Registrant”) published the invitation to its 2026 Annual General Meeting to be held on May 13, 2026 at Ochsen-Zug, Kolinplatz 11, CH-6300 Zug, Switzerland, at 6:00 a.m. EDT / 10:00 a.m. GMT / 12:00 p.m. CEST. The press release, the Invitation to the 2026 Annual General Meeting, the Annual General Meeting Proxy Card, and the 2025 Annual Report of the Registrant are furnished hereto as Exhibits 99.1, 99.2, 99.3 and 99.4, respectively. The results from the 2025 Annual General Meeting can be found on the Registrant's website at https://investors.oculis.com/events/event-details/2025-annual-general-meeting.</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6193" w:type="dxa"/>
        <w:jc w:val="left"/>
        <w:tblInd w:w="0" w:type="dxa"/>
        <w:tblLayout w:type="fixed"/>
        <w:tblCellMar>
          <w:top w:w="28" w:type="dxa"/>
          <w:left w:w="28" w:type="dxa"/>
          <w:bottom w:w="28" w:type="dxa"/>
          <w:right w:w="28" w:type="dxa"/>
        </w:tblCellMar>
      </w:tblPr>
      <w:tblGrid>
        <w:gridCol w:w="751"/>
        <w:gridCol w:w="146"/>
        <w:gridCol w:w="529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hyperlink w:anchor="ocs-ex99_1.htm">
              <w:r>
                <w:rPr>
                  <w:rStyle w:val="InternetLink"/>
                  <w:rFonts w:ascii="Times New Roman" w:hAnsi="Times New Roman"/>
                  <w:color w:val="0000FF"/>
                  <w:sz w:val="20"/>
                  <w:u w:val="single"/>
                </w:rPr>
                <w:t>Press Release dated April 21, 2026</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hyperlink w:anchor="ocs-ex99_2.htm">
              <w:r>
                <w:rPr>
                  <w:rStyle w:val="InternetLink"/>
                  <w:rFonts w:ascii="Times New Roman" w:hAnsi="Times New Roman"/>
                  <w:color w:val="0000FF"/>
                  <w:sz w:val="20"/>
                  <w:u w:val="single"/>
                </w:rPr>
                <w:t>Invitation to the 2026 Annual General Meeting of Shareholders</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hyperlink w:anchor="ocs-ex99_3.htm">
              <w:r>
                <w:rPr>
                  <w:rStyle w:val="InternetLink"/>
                  <w:rFonts w:ascii="Times New Roman" w:hAnsi="Times New Roman"/>
                  <w:color w:val="0000FF"/>
                  <w:sz w:val="20"/>
                  <w:u w:val="single"/>
                </w:rPr>
                <w:t>Annual General Meeting Proxy Card</w:t>
              </w:r>
            </w:hyperlink>
            <w:r>
              <w:rPr>
                <w:rFonts w:ascii="Times New Roman" w:hAnsi="Times New Roman"/>
                <w:color w:val="000000"/>
                <w:sz w:val="20"/>
              </w:rPr>
              <w:t xml:space="preserve">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6" w:type="dxa"/>
            <w:tcBorders/>
            <w:tcMar>
              <w:top w:w="0" w:type="dxa"/>
              <w:left w:w="0" w:type="dxa"/>
              <w:bottom w:w="0" w:type="dxa"/>
              <w:right w:w="0" w:type="dxa"/>
            </w:tcMar>
            <w:vAlign w:val="center"/>
          </w:tcPr>
          <w:p>
            <w:pPr>
              <w:pStyle w:val="TableContents"/>
              <w:bidi w:val="0"/>
              <w:spacing w:before="0" w:after="283"/>
              <w:jc w:val="left"/>
              <w:rPr/>
            </w:pPr>
            <w:hyperlink w:anchor="ocs-ex99_4.htm">
              <w:r>
                <w:rPr>
                  <w:rStyle w:val="InternetLink"/>
                  <w:rFonts w:ascii="Times New Roman" w:hAnsi="Times New Roman"/>
                  <w:color w:val="0000FF"/>
                  <w:sz w:val="20"/>
                  <w:u w:val="single"/>
                </w:rPr>
                <w:t>2025 Annual Report</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4766" w:type="dxa"/>
        <w:jc w:val="left"/>
        <w:tblInd w:w="0" w:type="dxa"/>
        <w:tblLayout w:type="fixed"/>
        <w:tblCellMar>
          <w:top w:w="28" w:type="dxa"/>
          <w:left w:w="28" w:type="dxa"/>
          <w:bottom w:w="28" w:type="dxa"/>
          <w:right w:w="28" w:type="dxa"/>
        </w:tblCellMar>
      </w:tblPr>
      <w:tblGrid>
        <w:gridCol w:w="1786"/>
        <w:gridCol w:w="109"/>
        <w:gridCol w:w="146"/>
        <w:gridCol w:w="109"/>
        <w:gridCol w:w="406"/>
        <w:gridCol w:w="109"/>
        <w:gridCol w:w="210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OCULIS HOLDING AG</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Sylvia Cheung</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ocs-ex99_1.htm"/>
      <w:bookmarkStart w:id="3" w:name="ksocs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jc w:val="right"/>
        <w:rPr/>
      </w:pPr>
      <w:r>
        <w:rPr/>
        <w:t> </w:t>
      </w:r>
    </w:p>
    <w:p>
      <w:pPr>
        <w:pStyle w:val="TextBody"/>
        <w:bidi w:val="0"/>
        <w:jc w:val="center"/>
        <w:rPr/>
      </w:pPr>
      <w:r>
        <w:rPr/>
        <w:drawing>
          <wp:inline distT="0" distB="0" distL="0" distR="0">
            <wp:extent cx="2838450" cy="962025"/>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7"/>
                    <a:stretch>
                      <a:fillRect/>
                    </a:stretch>
                  </pic:blipFill>
                  <pic:spPr bwMode="auto">
                    <a:xfrm>
                      <a:off x="0" y="0"/>
                      <a:ext cx="2838450" cy="962025"/>
                    </a:xfrm>
                    <a:prstGeom prst="rect">
                      <a:avLst/>
                    </a:prstGeom>
                  </pic:spPr>
                </pic:pic>
              </a:graphicData>
            </a:graphic>
          </wp:inline>
        </w:drawing>
      </w:r>
    </w:p>
    <w:p>
      <w:pPr>
        <w:pStyle w:val="TextBody"/>
        <w:bidi w:val="0"/>
        <w:jc w:val="right"/>
        <w:rPr/>
      </w:pPr>
      <w:r>
        <w:rPr/>
        <w:t> </w:t>
      </w:r>
    </w:p>
    <w:p>
      <w:pPr>
        <w:pStyle w:val="TextBody"/>
        <w:bidi w:val="0"/>
        <w:jc w:val="center"/>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Oculis Publishes Invitation to the Annual General Meeting</w:t>
      </w:r>
    </w:p>
    <w:p>
      <w:pPr>
        <w:pStyle w:val="TextBody"/>
        <w:bidi w:val="0"/>
        <w:jc w:val="center"/>
        <w:rPr/>
      </w:pPr>
      <w:r>
        <w:rPr/>
        <w:t> </w:t>
      </w:r>
    </w:p>
    <w:p>
      <w:pPr>
        <w:pStyle w:val="TextBody"/>
        <w:bidi w:val="0"/>
        <w:spacing w:before="0" w:after="160"/>
        <w:jc w:val="both"/>
        <w:rPr>
          <w:rFonts w:ascii="Aptos;sans-serif" w:hAnsi="Aptos;sans-serif"/>
          <w:color w:val="000000"/>
          <w:sz w:val="22"/>
        </w:rPr>
      </w:pPr>
      <w:r>
        <w:rPr>
          <w:rFonts w:ascii="Aptos;sans-serif" w:hAnsi="Aptos;sans-serif"/>
          <w:color w:val="000000"/>
          <w:sz w:val="22"/>
        </w:rPr>
        <w:t>ZUG, Switzerland, April 21, 2026 – Oculis Holding AG (Nasdaq: OCS; XICE: OCS) (“Oculis”), today published the invitation to the 2026 Annual General Meeting, which will be held on May 13, 2026 at Ochsen-Zug, Kolinplatz 11, CH-6300 Zug, Switzerland, at 6:00 a.m. EDT / 10:00 a.m. GMT / 12:00 p.m. CEST.</w:t>
      </w:r>
    </w:p>
    <w:p>
      <w:pPr>
        <w:pStyle w:val="TextBody"/>
        <w:bidi w:val="0"/>
        <w:spacing w:before="0" w:after="160"/>
        <w:jc w:val="both"/>
        <w:rPr>
          <w:rFonts w:ascii="Aptos;sans-serif" w:hAnsi="Aptos;sans-serif"/>
          <w:color w:val="000000"/>
          <w:sz w:val="22"/>
        </w:rPr>
      </w:pPr>
      <w:r>
        <w:rPr>
          <w:rFonts w:ascii="Aptos;sans-serif" w:hAnsi="Aptos;sans-serif"/>
          <w:color w:val="000000"/>
          <w:sz w:val="22"/>
        </w:rPr>
        <w:t>The 2026 Annual General Meeting will be held in-person and broadcast, with no option for virtual participation. To join the broadcast, please use the following link: https://meetings.lumiconnect.com/100-352-684-319.</w:t>
      </w:r>
    </w:p>
    <w:p>
      <w:pPr>
        <w:pStyle w:val="TextBody"/>
        <w:bidi w:val="0"/>
        <w:spacing w:before="0" w:after="160"/>
        <w:jc w:val="both"/>
        <w:rPr>
          <w:rFonts w:ascii="Aptos;sans-serif" w:hAnsi="Aptos;sans-serif"/>
          <w:color w:val="000000"/>
          <w:sz w:val="22"/>
        </w:rPr>
      </w:pPr>
      <w:r>
        <w:rPr>
          <w:rFonts w:ascii="Aptos;sans-serif" w:hAnsi="Aptos;sans-serif"/>
          <w:color w:val="000000"/>
          <w:sz w:val="22"/>
        </w:rPr>
        <w:t>Information pertaining to the 2026 Annual General Meeting, including meeting materials, can be accessed on our website at https://investors.oculis.com/events-presentations.</w:t>
      </w:r>
    </w:p>
    <w:p>
      <w:pPr>
        <w:pStyle w:val="TextBody"/>
        <w:bidi w:val="0"/>
        <w:jc w:val="both"/>
        <w:rPr>
          <w:rFonts w:ascii="Aptos;sans-serif" w:hAnsi="Aptos;sans-serif"/>
          <w:color w:val="000000"/>
          <w:sz w:val="22"/>
        </w:rPr>
      </w:pPr>
      <w:r>
        <w:rPr>
          <w:rFonts w:ascii="Aptos;sans-serif" w:hAnsi="Aptos;sans-serif"/>
          <w:color w:val="000000"/>
          <w:sz w:val="22"/>
        </w:rPr>
        <w:t>Shareholders holding shares traded on Nasdaq US will receive physical proxy materials and voting instructions.</w:t>
      </w:r>
    </w:p>
    <w:p>
      <w:pPr>
        <w:pStyle w:val="TextBody"/>
        <w:bidi w:val="0"/>
        <w:jc w:val="left"/>
        <w:rPr/>
      </w:pPr>
      <w:r>
        <w:rPr/>
        <w:t> </w:t>
      </w:r>
    </w:p>
    <w:p>
      <w:pPr>
        <w:pStyle w:val="TextBody"/>
        <w:bidi w:val="0"/>
        <w:spacing w:before="0" w:after="160"/>
        <w:jc w:val="both"/>
        <w:rPr>
          <w:rFonts w:ascii="Times New Roman" w:hAnsi="Times New Roman"/>
          <w:sz w:val="20"/>
        </w:rPr>
      </w:pPr>
      <w:r>
        <w:rPr>
          <w:rFonts w:ascii="Aptos;sans-serif" w:hAnsi="Aptos;sans-serif"/>
          <w:color w:val="000000"/>
          <w:sz w:val="22"/>
        </w:rPr>
        <w:t xml:space="preserve">Shareholders holding shares traded on Nasdaq Iceland will not receive physical proxy materials and may instead submit their voting instructions electronically via the Lumi AGM Mobile Platform provided by Lumi Global. To register for voting of your shares traded on Nasdaq Iceland, please access the following link: </w:t>
      </w:r>
      <w:r>
        <w:rPr>
          <w:rFonts w:ascii="Aptos;sans-serif" w:hAnsi="Aptos;sans-serif"/>
          <w:color w:val="000000"/>
          <w:sz w:val="22"/>
          <w:u w:val="single"/>
        </w:rPr>
        <w:t>www.lumiconnect.com/events/oculisagm2026</w:t>
      </w:r>
      <w:r>
        <w:rPr>
          <w:rFonts w:ascii="Aptos;sans-serif" w:hAnsi="Aptos;sans-serif"/>
          <w:color w:val="000000"/>
          <w:sz w:val="22"/>
        </w:rPr>
        <w:t>.</w:t>
      </w:r>
    </w:p>
    <w:p>
      <w:pPr>
        <w:pStyle w:val="TextBody"/>
        <w:bidi w:val="0"/>
        <w:spacing w:before="0" w:after="160"/>
        <w:jc w:val="both"/>
        <w:rPr>
          <w:rFonts w:ascii="Aptos;sans-serif" w:hAnsi="Aptos;sans-serif"/>
          <w:i/>
          <w:color w:val="000000"/>
          <w:sz w:val="22"/>
        </w:rPr>
      </w:pPr>
      <w:r>
        <w:rPr>
          <w:rFonts w:ascii="Aptos;sans-serif" w:hAnsi="Aptos;sans-serif"/>
          <w:i/>
          <w:color w:val="000000"/>
          <w:sz w:val="22"/>
        </w:rPr>
        <w:t>Shareholder Information Session</w:t>
      </w:r>
    </w:p>
    <w:p>
      <w:pPr>
        <w:pStyle w:val="TextBody"/>
        <w:bidi w:val="0"/>
        <w:spacing w:before="0" w:after="160"/>
        <w:jc w:val="both"/>
        <w:rPr>
          <w:rFonts w:ascii="Times New Roman" w:hAnsi="Times New Roman"/>
          <w:sz w:val="20"/>
        </w:rPr>
      </w:pPr>
      <w:r>
        <w:rPr>
          <w:rFonts w:ascii="Aptos;sans-serif" w:hAnsi="Aptos;sans-serif"/>
          <w:color w:val="000000"/>
          <w:sz w:val="22"/>
        </w:rPr>
        <w:t>Oculis will host an information session for all shareholders on Monday, May 11, 2026 at Hilton Reykjavík Nordica, Sudurlandsbraut 2, 108 Reykjavík, Iceland from 12:00-1:00 p.m. EDT / 4:00-5:00 p.m. GMT / 6:00-7:00 p.m. CEST, during which members of management will provide an overview of the 2026 Annual General Meeting proposals and answer questions from shareholders. To attend the shareholder information session either in person or virtually, please register via the following link: https://reg.lumiengage.com/oculis-agm-2026/informationsession. The webcast of the virtual information session will be available following the event by visiting our website at https://investors.oculis.com/events-presentations.</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About Oculis</w:t>
      </w:r>
    </w:p>
    <w:p>
      <w:pPr>
        <w:pStyle w:val="TextBody"/>
        <w:bidi w:val="0"/>
        <w:spacing w:before="0" w:after="160"/>
        <w:jc w:val="both"/>
        <w:rPr>
          <w:rFonts w:ascii="Times New Roman" w:hAnsi="Times New Roman"/>
          <w:sz w:val="20"/>
        </w:rPr>
      </w:pPr>
      <w:r>
        <w:rPr>
          <w:rFonts w:ascii="Aptos;sans-serif" w:hAnsi="Aptos;sans-serif"/>
          <w:color w:val="000000"/>
          <w:sz w:val="22"/>
        </w:rPr>
        <w:t>Oculis is a global biopharmaceutical company (Nasdaq: OCS; XICE: OCS) focused on breakthrough innovations to address significant unmet medical needs in neuro-ophthalmology and ophthalmology. Oculis’ highly differentiated late-stage clinical pipeline includes three core product candidates: OCS-01, an eye drop in pivotal registration studies, aiming to become the first non-invasive topical treatment for diabetic macular edema (DME); Licaminlimab, a novel, topical anti-TNFα in registrational trial, which is being developed with a genotype-based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jc w:val="right"/>
        <w:rPr/>
      </w:pPr>
      <w:r>
        <w:rPr/>
        <w:t> </w:t>
      </w:r>
    </w:p>
    <w:p>
      <w:pPr>
        <w:pStyle w:val="TextBody"/>
        <w:bidi w:val="0"/>
        <w:spacing w:before="0" w:after="160"/>
        <w:jc w:val="both"/>
        <w:rPr>
          <w:rFonts w:ascii="Aptos;sans-serif" w:hAnsi="Aptos;sans-serif"/>
          <w:color w:val="000000"/>
          <w:sz w:val="22"/>
        </w:rPr>
      </w:pPr>
      <w:r>
        <w:rPr>
          <w:rFonts w:ascii="Aptos;sans-serif" w:hAnsi="Aptos;sans-serif"/>
          <w:color w:val="000000"/>
          <w:sz w:val="22"/>
        </w:rPr>
        <w:t>approach to drive precision medicine in dry eye disease (DED); and Privosegtor, a breakthrough neuroprotective candidate in the PIONEER program which consists of studies intended to support registration plans for treatment in optic neuropathies like optic neuritis (ON) and non-arteritic anterior ischemic optic neuropathy (NAION), with potentially broad clinical applications in various other neuro-ophthalmic and neurological diseases. Headquartered in Switzerland with operations in the U.S. and Iceland, Oculis is led by an experienced management team with a successful track record and supported by leading international healthcare investors.</w:t>
      </w:r>
    </w:p>
    <w:p>
      <w:pPr>
        <w:pStyle w:val="TextBody"/>
        <w:bidi w:val="0"/>
        <w:spacing w:before="0" w:after="160"/>
        <w:jc w:val="both"/>
        <w:rPr>
          <w:rFonts w:ascii="Times New Roman" w:hAnsi="Times New Roman"/>
          <w:sz w:val="20"/>
        </w:rPr>
      </w:pPr>
      <w:r>
        <w:rPr>
          <w:rFonts w:ascii="Aptos;sans-serif" w:hAnsi="Aptos;sans-serif"/>
          <w:color w:val="000000"/>
          <w:sz w:val="22"/>
        </w:rPr>
        <w:t xml:space="preserve">For more information, please visit: </w:t>
      </w:r>
      <w:r>
        <w:rPr>
          <w:rFonts w:ascii="Aptos;sans-serif" w:hAnsi="Aptos;sans-serif"/>
          <w:color w:val="000000"/>
          <w:sz w:val="22"/>
          <w:u w:val="single"/>
        </w:rPr>
        <w:t>www.oculis.com</w:t>
      </w:r>
      <w:r>
        <w:rPr>
          <w:rFonts w:ascii="Times New Roman" w:hAnsi="Times New Roman"/>
          <w:color w:val="000000"/>
          <w:sz w:val="20"/>
        </w:rPr>
        <w:t xml:space="preserve"> </w:t>
      </w:r>
    </w:p>
    <w:p>
      <w:pPr>
        <w:pStyle w:val="TextBody"/>
        <w:bidi w:val="0"/>
        <w:spacing w:before="0" w:after="160"/>
        <w:jc w:val="both"/>
        <w:rPr>
          <w:rFonts w:ascii="Aptos;sans-serif" w:hAnsi="Aptos;sans-serif"/>
          <w:b/>
          <w:color w:val="000000"/>
          <w:sz w:val="22"/>
        </w:rPr>
      </w:pPr>
      <w:r>
        <w:rPr>
          <w:rFonts w:ascii="Aptos;sans-serif" w:hAnsi="Aptos;sans-serif"/>
          <w:b/>
          <w:color w:val="000000"/>
          <w:sz w:val="22"/>
        </w:rPr>
        <w:t>Oculis Contacts</w:t>
      </w:r>
    </w:p>
    <w:p>
      <w:pPr>
        <w:pStyle w:val="TextBody"/>
        <w:bidi w:val="0"/>
        <w:jc w:val="left"/>
        <w:rPr>
          <w:rFonts w:ascii="Times New Roman" w:hAnsi="Times New Roman"/>
          <w:sz w:val="20"/>
        </w:rPr>
      </w:pPr>
      <w:r>
        <w:rPr>
          <w:rFonts w:ascii="Aptos;sans-serif" w:hAnsi="Aptos;sans-serif"/>
          <w:color w:val="000000"/>
          <w:sz w:val="22"/>
        </w:rPr>
        <w:t>Ms. Sylvia Cheung, CFO</w:t>
        <w:br/>
      </w:r>
      <w:r>
        <w:rPr>
          <w:rFonts w:ascii="Aptos;sans-serif" w:hAnsi="Aptos;sans-serif"/>
          <w:color w:val="000000"/>
          <w:sz w:val="22"/>
          <w:u w:val="single"/>
        </w:rPr>
        <w:t>sylvia.cheung@oculis.com</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Investor Relations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LifeSci Advisors</w:t>
      </w:r>
    </w:p>
    <w:p>
      <w:pPr>
        <w:pStyle w:val="TextBody"/>
        <w:bidi w:val="0"/>
        <w:jc w:val="left"/>
        <w:rPr>
          <w:rFonts w:ascii="Aptos;sans-serif" w:hAnsi="Aptos;sans-serif"/>
          <w:color w:val="000000"/>
          <w:sz w:val="22"/>
        </w:rPr>
      </w:pPr>
      <w:r>
        <w:rPr>
          <w:rFonts w:ascii="Aptos;sans-serif" w:hAnsi="Aptos;sans-serif"/>
          <w:color w:val="000000"/>
          <w:sz w:val="22"/>
        </w:rPr>
        <w:t>Corey Davis, Ph.D.</w:t>
      </w:r>
    </w:p>
    <w:p>
      <w:pPr>
        <w:pStyle w:val="TextBody"/>
        <w:bidi w:val="0"/>
        <w:jc w:val="left"/>
        <w:rPr>
          <w:rFonts w:ascii="Aptos;sans-serif" w:hAnsi="Aptos;sans-serif"/>
          <w:color w:val="000000"/>
          <w:sz w:val="22"/>
          <w:u w:val="single"/>
        </w:rPr>
      </w:pPr>
      <w:r>
        <w:rPr>
          <w:rFonts w:ascii="Aptos;sans-serif" w:hAnsi="Aptos;sans-serif"/>
          <w:color w:val="000000"/>
          <w:sz w:val="22"/>
          <w:u w:val="single"/>
        </w:rPr>
        <w:t>cdavis@lifesciadvisors.com</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Relations</w:t>
      </w:r>
    </w:p>
    <w:p>
      <w:pPr>
        <w:pStyle w:val="TextBody"/>
        <w:bidi w:val="0"/>
        <w:jc w:val="left"/>
        <w:rPr>
          <w:rFonts w:ascii="Aptos;sans-serif" w:hAnsi="Aptos;sans-serif"/>
          <w:color w:val="000000"/>
          <w:sz w:val="22"/>
        </w:rPr>
      </w:pPr>
      <w:r>
        <w:rPr>
          <w:rFonts w:ascii="Aptos;sans-serif" w:hAnsi="Aptos;sans-serif"/>
          <w:color w:val="000000"/>
          <w:sz w:val="22"/>
        </w:rPr>
        <w:t>ICR Healthcare</w:t>
      </w:r>
    </w:p>
    <w:p>
      <w:pPr>
        <w:pStyle w:val="TextBody"/>
        <w:bidi w:val="0"/>
        <w:jc w:val="left"/>
        <w:rPr>
          <w:rFonts w:ascii="Aptos;sans-serif" w:hAnsi="Aptos;sans-serif"/>
          <w:color w:val="000000"/>
          <w:sz w:val="22"/>
        </w:rPr>
      </w:pPr>
      <w:r>
        <w:rPr>
          <w:rFonts w:ascii="Aptos;sans-serif" w:hAnsi="Aptos;sans-serif"/>
          <w:color w:val="000000"/>
          <w:sz w:val="22"/>
        </w:rPr>
        <w:t>Amber Fennell / David Daley / Sean Leous</w:t>
      </w:r>
    </w:p>
    <w:p>
      <w:pPr>
        <w:pStyle w:val="TextBody"/>
        <w:bidi w:val="0"/>
        <w:jc w:val="left"/>
        <w:rPr>
          <w:rFonts w:ascii="Aptos;sans-serif" w:hAnsi="Aptos;sans-serif"/>
          <w:color w:val="000000"/>
          <w:sz w:val="22"/>
          <w:u w:val="single"/>
        </w:rPr>
      </w:pPr>
      <w:r>
        <w:rPr>
          <w:rFonts w:ascii="Aptos;sans-serif" w:hAnsi="Aptos;sans-serif"/>
          <w:color w:val="000000"/>
          <w:sz w:val="22"/>
          <w:u w:val="single"/>
        </w:rPr>
        <w:t>oculis@icrhealthcare.com</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ocs-ex99_2.htm"/>
      <w:bookmarkStart w:id="5" w:name="ksocsex99_2"/>
      <w:bookmarkEnd w:id="4"/>
      <w:bookmarkEnd w:id="5"/>
      <w:r>
        <w:rPr>
          <w:rFonts w:ascii="Arial" w:hAnsi="Arial"/>
          <w:b/>
          <w:color w:val="000000"/>
          <w:sz w:val="20"/>
        </w:rPr>
        <w:t>Exhibit 99.2</w:t>
      </w:r>
      <w:r>
        <w:br w:type="page"/>
      </w:r>
    </w:p>
    <w:p>
      <w:pPr>
        <w:pStyle w:val="TextBody"/>
        <w:bidi w:val="0"/>
        <w:ind w:left="8712" w:right="0" w:hanging="0"/>
        <w:jc w:val="left"/>
        <w:rPr/>
      </w:pPr>
      <w:r>
        <w:rPr/>
        <w:drawing>
          <wp:inline distT="0" distB="0" distL="0" distR="0">
            <wp:extent cx="952500" cy="2286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8"/>
                    <a:stretch>
                      <a:fillRect/>
                    </a:stretch>
                  </pic:blipFill>
                  <pic:spPr bwMode="auto">
                    <a:xfrm>
                      <a:off x="0" y="0"/>
                      <a:ext cx="952500" cy="228600"/>
                    </a:xfrm>
                    <a:prstGeom prst="rect">
                      <a:avLst/>
                    </a:prstGeom>
                  </pic:spPr>
                </pic:pic>
              </a:graphicData>
            </a:graphic>
          </wp:inline>
        </w:drawing>
      </w:r>
    </w:p>
    <w:p>
      <w:pPr>
        <w:pStyle w:val="TextBody"/>
        <w:bidi w:val="0"/>
        <w:jc w:val="left"/>
        <w:rPr/>
      </w:pPr>
      <w:r>
        <w:rPr/>
        <w:t> </w:t>
      </w:r>
    </w:p>
    <w:p>
      <w:pPr>
        <w:pStyle w:val="TextBody"/>
        <w:bidi w:val="0"/>
        <w:spacing w:before="79" w:after="283"/>
        <w:jc w:val="left"/>
        <w:rPr/>
      </w:pPr>
      <w:r>
        <w:rPr/>
        <w:t> </w:t>
      </w:r>
    </w:p>
    <w:p>
      <w:pPr>
        <w:pStyle w:val="TextBody"/>
        <w:bidi w:val="0"/>
        <w:ind w:left="0" w:right="138" w:hanging="0"/>
        <w:jc w:val="right"/>
        <w:rPr>
          <w:rFonts w:ascii="Verdana;sans-serif" w:hAnsi="Verdana;sans-serif"/>
          <w:color w:val="000000"/>
          <w:sz w:val="20"/>
        </w:rPr>
      </w:pPr>
      <w:r>
        <w:rPr>
          <w:rFonts w:ascii="Verdana;sans-serif" w:hAnsi="Verdana;sans-serif"/>
          <w:color w:val="000000"/>
          <w:sz w:val="20"/>
        </w:rPr>
        <w:t>Zug, 21 April 2026</w:t>
      </w:r>
    </w:p>
    <w:p>
      <w:pPr>
        <w:pStyle w:val="TextBody"/>
        <w:bidi w:val="0"/>
        <w:spacing w:before="91" w:after="283"/>
        <w:jc w:val="left"/>
        <w:rPr/>
      </w:pPr>
      <w:r>
        <w:rPr/>
        <w:t> </w:t>
      </w:r>
    </w:p>
    <w:p>
      <w:pPr>
        <w:pStyle w:val="TextBody"/>
        <w:bidi w:val="0"/>
        <w:ind w:left="561" w:right="0" w:hanging="0"/>
        <w:jc w:val="left"/>
        <w:rPr>
          <w:rFonts w:ascii="Verdana;sans-serif" w:hAnsi="Verdana;sans-serif"/>
          <w:color w:val="000000"/>
          <w:sz w:val="20"/>
        </w:rPr>
      </w:pPr>
      <w:r>
        <w:rPr>
          <w:rFonts w:ascii="Verdana;sans-serif" w:hAnsi="Verdana;sans-serif"/>
          <w:color w:val="000000"/>
          <w:sz w:val="20"/>
        </w:rPr>
        <w:t>To the Shareholders of Oculis Holding AG, in Zug, SWITZERLAND</w:t>
      </w:r>
    </w:p>
    <w:p>
      <w:pPr>
        <w:pStyle w:val="TextBody"/>
        <w:bidi w:val="0"/>
        <w:spacing w:before="213" w:after="283"/>
        <w:jc w:val="left"/>
        <w:rPr/>
      </w:pPr>
      <w:r>
        <w:rPr/>
        <w:t> </w:t>
      </w:r>
    </w:p>
    <w:p>
      <w:pPr>
        <w:pStyle w:val="Heading2"/>
        <w:bidi w:val="0"/>
        <w:ind w:left="416" w:right="0" w:hanging="0"/>
        <w:jc w:val="center"/>
        <w:rPr>
          <w:rFonts w:ascii="Verdana;sans-serif" w:hAnsi="Verdana;sans-serif"/>
          <w:color w:val="000000"/>
          <w:sz w:val="20"/>
        </w:rPr>
      </w:pPr>
      <w:r>
        <w:rPr>
          <w:rFonts w:ascii="Verdana;sans-serif" w:hAnsi="Verdana;sans-serif"/>
          <w:color w:val="000000"/>
          <w:sz w:val="20"/>
        </w:rPr>
        <w:t>Invitation to the</w:t>
      </w:r>
    </w:p>
    <w:p>
      <w:pPr>
        <w:pStyle w:val="Heading2"/>
        <w:bidi w:val="0"/>
        <w:spacing w:before="167" w:after="283"/>
        <w:ind w:left="414" w:right="0" w:hanging="0"/>
        <w:jc w:val="center"/>
        <w:rPr>
          <w:rFonts w:ascii="Verdana;sans-serif" w:hAnsi="Verdana;sans-serif"/>
          <w:color w:val="000000"/>
          <w:sz w:val="20"/>
        </w:rPr>
      </w:pPr>
      <w:r>
        <w:rPr>
          <w:rFonts w:ascii="Verdana;sans-serif" w:hAnsi="Verdana;sans-serif"/>
          <w:color w:val="000000"/>
          <w:sz w:val="20"/>
        </w:rPr>
        <w:t>2026 Annual General Meeting of Shareholders</w:t>
      </w:r>
    </w:p>
    <w:p>
      <w:pPr>
        <w:pStyle w:val="TextBody"/>
        <w:bidi w:val="0"/>
        <w:ind w:left="567" w:right="0" w:hanging="0"/>
        <w:jc w:val="left"/>
        <w:rPr/>
      </w:pPr>
      <w:r>
        <w:rPr/>
        <w:t> </w:t>
      </w:r>
    </w:p>
    <w:p>
      <w:pPr>
        <w:pStyle w:val="TextBody"/>
        <w:bidi w:val="0"/>
        <w:ind w:left="567" w:right="0" w:hanging="0"/>
        <w:jc w:val="both"/>
        <w:rPr>
          <w:rFonts w:ascii="Verdana;sans-serif" w:hAnsi="Verdana;sans-serif"/>
          <w:color w:val="000000"/>
          <w:sz w:val="20"/>
        </w:rPr>
      </w:pPr>
      <w:r>
        <w:rPr>
          <w:rFonts w:ascii="Verdana;sans-serif" w:hAnsi="Verdana;sans-serif"/>
          <w:color w:val="000000"/>
          <w:sz w:val="20"/>
        </w:rPr>
        <w:t>Dear Shareholders,</w:t>
      </w:r>
    </w:p>
    <w:p>
      <w:pPr>
        <w:pStyle w:val="TextBody"/>
        <w:bidi w:val="0"/>
        <w:ind w:left="567" w:right="0" w:hanging="0"/>
        <w:jc w:val="both"/>
        <w:rPr/>
      </w:pPr>
      <w:r>
        <w:rPr/>
        <w:t> </w:t>
      </w:r>
    </w:p>
    <w:p>
      <w:pPr>
        <w:pStyle w:val="TextBody"/>
        <w:bidi w:val="0"/>
        <w:ind w:left="567" w:right="0" w:hanging="0"/>
        <w:jc w:val="both"/>
        <w:rPr>
          <w:rFonts w:ascii="Times New Roman" w:hAnsi="Times New Roman"/>
          <w:sz w:val="20"/>
        </w:rPr>
      </w:pPr>
      <w:r>
        <w:rPr>
          <w:rFonts w:ascii="Verdana;sans-serif" w:hAnsi="Verdana;sans-serif"/>
          <w:color w:val="000000"/>
          <w:sz w:val="20"/>
        </w:rPr>
        <w:t>On behalf of Oculis Holding AG ("</w:t>
      </w:r>
      <w:r>
        <w:rPr>
          <w:rFonts w:ascii="Verdana;sans-serif" w:hAnsi="Verdana;sans-serif"/>
          <w:b/>
          <w:color w:val="000000"/>
          <w:sz w:val="20"/>
        </w:rPr>
        <w:t>Oculis</w:t>
      </w:r>
      <w:r>
        <w:rPr>
          <w:rFonts w:ascii="Verdana;sans-serif" w:hAnsi="Verdana;sans-serif"/>
          <w:color w:val="000000"/>
          <w:sz w:val="20"/>
        </w:rPr>
        <w:t>"), we are pleased to invite you to our third annual general meeting as a public company, to be held on 13 May 2026, at Ochsen-Zug, Kolinplatz 11, CH-6300 Zug, Switzerland, at 6:00 a.m. EDT / 10:00 a.m. GMT / 12:00 p.m. CEST (the "</w:t>
      </w:r>
      <w:r>
        <w:rPr>
          <w:rFonts w:ascii="Verdana;sans-serif" w:hAnsi="Verdana;sans-serif"/>
          <w:b/>
          <w:color w:val="000000"/>
          <w:sz w:val="20"/>
        </w:rPr>
        <w:t>2026 Annual General Meeting</w:t>
      </w:r>
      <w:r>
        <w:rPr>
          <w:rFonts w:ascii="Verdana;sans-serif" w:hAnsi="Verdana;sans-serif"/>
          <w:color w:val="000000"/>
          <w:sz w:val="20"/>
        </w:rPr>
        <w:t>").</w:t>
      </w:r>
    </w:p>
    <w:p>
      <w:pPr>
        <w:pStyle w:val="TextBody"/>
        <w:bidi w:val="0"/>
        <w:ind w:left="567" w:right="0" w:hanging="0"/>
        <w:jc w:val="both"/>
        <w:rPr/>
      </w:pPr>
      <w:r>
        <w:rPr/>
        <w:t> </w:t>
      </w:r>
    </w:p>
    <w:p>
      <w:pPr>
        <w:pStyle w:val="TextBody"/>
        <w:bidi w:val="0"/>
        <w:ind w:left="567" w:right="0" w:hanging="0"/>
        <w:jc w:val="both"/>
        <w:rPr>
          <w:rFonts w:ascii="Times New Roman" w:hAnsi="Times New Roman"/>
          <w:sz w:val="20"/>
        </w:rPr>
      </w:pPr>
      <w:r>
        <w:rPr>
          <w:rFonts w:ascii="Verdana;sans-serif" w:hAnsi="Verdana;sans-serif"/>
          <w:color w:val="000000"/>
          <w:sz w:val="20"/>
        </w:rPr>
        <w:t>2025 was a transformational year for Oculis. The milestones achieved, thanks to your sustained support, have positioned Oculis to unlock substantial value in 2026 and beyond by maintaining rigorous and disciplined execution of our plans and expanding our strategic footprint in neuro-ophthalmology, an area of high unmet medical need.</w:t>
      </w:r>
      <w:r>
        <w:rPr>
          <w:rFonts w:ascii="Times New Roman" w:hAnsi="Times New Roman"/>
          <w:color w:val="000000"/>
          <w:sz w:val="20"/>
        </w:rPr>
        <w:t xml:space="preserve"> </w:t>
      </w:r>
    </w:p>
    <w:p>
      <w:pPr>
        <w:pStyle w:val="TextBody"/>
        <w:bidi w:val="0"/>
        <w:spacing w:before="240" w:after="240"/>
        <w:ind w:left="567" w:right="0" w:hanging="0"/>
        <w:jc w:val="both"/>
        <w:rPr>
          <w:rFonts w:ascii="Verdana;sans-serif" w:hAnsi="Verdana;sans-serif"/>
          <w:color w:val="000000"/>
          <w:sz w:val="20"/>
        </w:rPr>
      </w:pPr>
      <w:r>
        <w:rPr>
          <w:rFonts w:ascii="Verdana;sans-serif" w:hAnsi="Verdana;sans-serif"/>
          <w:color w:val="000000"/>
          <w:sz w:val="20"/>
        </w:rPr>
        <w:t>We entered 2025 with strong momentum, and our three core clinical programs—OCS-01 for diabetic macular edema, Licaminlimab (OCS-02) for dry eye disease, and Privosegtor (OCS-05) for optic neuritis and beyond—have advanced meaningfully. Taken together, these programs have the potential to redefine how a range of serious ocular and neuro-ophthalmic conditions are treated.</w:t>
      </w:r>
    </w:p>
    <w:p>
      <w:pPr>
        <w:pStyle w:val="TextBody"/>
        <w:bidi w:val="0"/>
        <w:ind w:left="567" w:right="0" w:hanging="0"/>
        <w:jc w:val="both"/>
        <w:rPr>
          <w:rFonts w:ascii="Verdana;sans-serif" w:hAnsi="Verdana;sans-serif"/>
          <w:b/>
          <w:color w:val="000000"/>
          <w:sz w:val="20"/>
        </w:rPr>
      </w:pPr>
      <w:r>
        <w:rPr>
          <w:rFonts w:ascii="Verdana;sans-serif" w:hAnsi="Verdana;sans-serif"/>
          <w:b/>
          <w:color w:val="000000"/>
          <w:sz w:val="20"/>
        </w:rPr>
        <w:t>2025 featured significant clinical progress across Oculis late-stage portfolio</w:t>
      </w:r>
    </w:p>
    <w:p>
      <w:pPr>
        <w:pStyle w:val="TextBody"/>
        <w:bidi w:val="0"/>
        <w:ind w:left="567" w:right="0" w:hanging="0"/>
        <w:jc w:val="both"/>
        <w:rPr/>
      </w:pPr>
      <w:r>
        <w:rPr/>
        <w:t> </w:t>
      </w:r>
    </w:p>
    <w:p>
      <w:pPr>
        <w:pStyle w:val="TextBody"/>
        <w:bidi w:val="0"/>
        <w:ind w:left="567" w:right="0" w:hanging="0"/>
        <w:jc w:val="both"/>
        <w:rPr>
          <w:rFonts w:ascii="Verdana;sans-serif" w:hAnsi="Verdana;sans-serif"/>
          <w:b/>
          <w:color w:val="000000"/>
          <w:sz w:val="20"/>
        </w:rPr>
      </w:pPr>
      <w:r>
        <w:rPr>
          <w:rFonts w:ascii="Verdana;sans-serif" w:hAnsi="Verdana;sans-serif"/>
          <w:b/>
          <w:color w:val="000000"/>
          <w:sz w:val="20"/>
        </w:rPr>
        <w:t>OCS-01: Advancing Toward the Potential First Eye Drop Treatment for Diabetic Macular Edema</w:t>
      </w:r>
    </w:p>
    <w:p>
      <w:pPr>
        <w:pStyle w:val="TextBody"/>
        <w:bidi w:val="0"/>
        <w:ind w:left="567" w:right="0" w:hanging="0"/>
        <w:jc w:val="both"/>
        <w:rPr>
          <w:rFonts w:ascii="Times New Roman" w:hAnsi="Times New Roman"/>
          <w:sz w:val="20"/>
        </w:rPr>
      </w:pPr>
      <w:r>
        <w:rPr>
          <w:rFonts w:ascii="Verdana;sans-serif" w:hAnsi="Verdana;sans-serif"/>
          <w:color w:val="000000"/>
          <w:sz w:val="20"/>
        </w:rPr>
        <w:t>Our lead program, OCS-01, continues to progress on schedule, and we are pleased to report that enrollment in both trials, DIAMOND-1 and -2, has been completed with over 800 patients randomized across 119 clinical centers globally. This achievement reflects strong support from the medical community and patients for a potential non-invasive topical alternative to the current standard of care. Currently, in the U.S., for example, only a small portion of the 1.8 million people diagnosed with the disease are successfully treated, and we estimate that a staggering ~1 million DME patients are either untreated with mild to moderate vision impairments or are inadequately responding to the current standard of care. OCS-01 is strategically designed to capture this 'lost' majority by providing a non-invasive, topical eye drop for those requiring early intervention and a versatile option for patients who do not respond to existing injections. The topline results from both DIAMOND Phase 3 trials are expected in June 2026, with a subsequent New Drug Application (NDA) submission to the U.S. Food and Drug Administration (FDA) planned for Q4 2026 following a positive readout.</w:t>
      </w:r>
      <w:r>
        <w:rPr>
          <w:rFonts w:ascii="Times New Roman" w:hAnsi="Times New Roman"/>
          <w:color w:val="000000"/>
          <w:sz w:val="20"/>
        </w:rPr>
        <w:t xml:space="preserve"> </w:t>
      </w:r>
    </w:p>
    <w:p>
      <w:pPr>
        <w:pStyle w:val="TextBody"/>
        <w:bidi w:val="0"/>
        <w:ind w:left="567" w:right="0" w:hanging="0"/>
        <w:jc w:val="both"/>
        <w:rPr/>
      </w:pPr>
      <w:r>
        <w:rPr/>
        <w:t> </w:t>
      </w:r>
    </w:p>
    <w:p>
      <w:pPr>
        <w:pStyle w:val="TextBody"/>
        <w:bidi w:val="0"/>
        <w:ind w:left="567" w:right="0" w:hanging="0"/>
        <w:jc w:val="both"/>
        <w:rPr>
          <w:rFonts w:ascii="Verdana;sans-serif" w:hAnsi="Verdana;sans-serif"/>
          <w:b/>
          <w:color w:val="000000"/>
          <w:sz w:val="20"/>
        </w:rPr>
      </w:pPr>
      <w:r>
        <w:rPr>
          <w:rFonts w:ascii="Verdana;sans-serif" w:hAnsi="Verdana;sans-serif"/>
          <w:b/>
          <w:color w:val="000000"/>
          <w:sz w:val="20"/>
        </w:rPr>
        <w:t>Licaminlimab (OCS-02): Advancing Precision Medicine in Dry Eye Disease</w:t>
      </w:r>
    </w:p>
    <w:p>
      <w:pPr>
        <w:pStyle w:val="TextBody"/>
        <w:bidi w:val="0"/>
        <w:ind w:left="567" w:right="0" w:hanging="0"/>
        <w:jc w:val="both"/>
        <w:rPr/>
      </w:pPr>
      <w:r>
        <w:rPr/>
        <w:t> </w:t>
      </w:r>
    </w:p>
    <w:p>
      <w:pPr>
        <w:pStyle w:val="TextBody"/>
        <w:bidi w:val="0"/>
        <w:ind w:left="567" w:right="0" w:hanging="0"/>
        <w:jc w:val="both"/>
        <w:rPr>
          <w:rFonts w:ascii="Times New Roman" w:hAnsi="Times New Roman"/>
          <w:sz w:val="20"/>
        </w:rPr>
      </w:pPr>
      <w:r>
        <w:rPr>
          <w:rFonts w:ascii="Verdana;sans-serif" w:hAnsi="Verdana;sans-serif"/>
          <w:color w:val="000000"/>
          <w:sz w:val="20"/>
        </w:rPr>
        <w:t>Licaminlimab, a potentially first-in-class anti-TNFα eye drop, is poised to pioneer a new genotype-based development paradigm in ophthalmology. The Licaminlimab Phase 2b RELIEF study demonstrated a greater treatment effect in patients carrying a specific TNFR1 genotype. This profound improvement was observed in two consecutive Phase 2 trials, one in symptoms and one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3</w:t>
      </w:r>
    </w:p>
    <w:p>
      <w:pPr>
        <w:pStyle w:val="TextBody"/>
        <w:bidi w:val="0"/>
        <w:jc w:val="left"/>
        <w:rPr/>
      </w:pPr>
      <w:r>
        <w:rPr/>
        <w:t> </w:t>
      </w:r>
    </w:p>
    <w:p>
      <w:pPr>
        <w:pStyle w:val="TextBody"/>
        <w:bidi w:val="0"/>
        <w:ind w:left="567" w:right="0" w:hanging="0"/>
        <w:jc w:val="both"/>
        <w:rPr>
          <w:rFonts w:ascii="Times New Roman" w:hAnsi="Times New Roman"/>
          <w:sz w:val="20"/>
        </w:rPr>
      </w:pPr>
      <w:r>
        <w:rPr>
          <w:rFonts w:ascii="Verdana;sans-serif" w:hAnsi="Verdana;sans-serif"/>
          <w:color w:val="000000"/>
          <w:sz w:val="20"/>
        </w:rPr>
        <w:t>in signs of DED, showing a five to seven-fold greater response in patients with this specific genotype. In the U.S. alone, approximately 10 million patients suffer from moderate to severe DED. Current disease management relies on trial-and-error, and only 13% of patients experience sustained relief, leading to 85-90% discontinuation rate within the first 6 months, underscoring the strong need for a targeted, effective treatment approach. Licaminlimab has the potential to transform the current treatment paradigm by providing a precision medicine approach with efficacy, rapid onset of action, and a comfort level comparable to artificial tears. In 2025, following a successful FDA alignment meeting, we initiated the registrational PREDICT-1 trial in DED, with topline results anticipated around late 2026.</w:t>
      </w:r>
      <w:r>
        <w:rPr>
          <w:rFonts w:ascii="Times New Roman" w:hAnsi="Times New Roman"/>
          <w:color w:val="000000"/>
          <w:sz w:val="20"/>
        </w:rPr>
        <w:t xml:space="preserve"> </w:t>
      </w:r>
    </w:p>
    <w:p>
      <w:pPr>
        <w:pStyle w:val="TextBody"/>
        <w:bidi w:val="0"/>
        <w:ind w:left="567" w:right="0" w:hanging="0"/>
        <w:jc w:val="both"/>
        <w:rPr/>
      </w:pPr>
      <w:r>
        <w:rPr/>
        <w:t> </w:t>
      </w:r>
    </w:p>
    <w:p>
      <w:pPr>
        <w:pStyle w:val="TextBody"/>
        <w:bidi w:val="0"/>
        <w:ind w:left="567" w:right="0" w:hanging="0"/>
        <w:jc w:val="both"/>
        <w:rPr>
          <w:rFonts w:ascii="Verdana;sans-serif" w:hAnsi="Verdana;sans-serif"/>
          <w:b/>
          <w:color w:val="000000"/>
          <w:sz w:val="20"/>
        </w:rPr>
      </w:pPr>
      <w:r>
        <w:rPr>
          <w:rFonts w:ascii="Verdana;sans-serif" w:hAnsi="Verdana;sans-serif"/>
          <w:b/>
          <w:color w:val="000000"/>
          <w:sz w:val="20"/>
        </w:rPr>
        <w:t>Privosegtor (OCS-05): Pioneering a New Era of Neuroprotection</w:t>
      </w:r>
    </w:p>
    <w:p>
      <w:pPr>
        <w:pStyle w:val="TextBody"/>
        <w:bidi w:val="0"/>
        <w:spacing w:before="240" w:after="240"/>
        <w:ind w:left="567" w:right="0" w:hanging="0"/>
        <w:jc w:val="both"/>
        <w:rPr>
          <w:rFonts w:ascii="Verdana;sans-serif" w:hAnsi="Verdana;sans-serif"/>
          <w:color w:val="000000"/>
          <w:sz w:val="20"/>
        </w:rPr>
      </w:pPr>
      <w:r>
        <w:rPr>
          <w:rFonts w:ascii="Verdana;sans-serif" w:hAnsi="Verdana;sans-serif"/>
          <w:color w:val="000000"/>
          <w:sz w:val="20"/>
        </w:rPr>
        <w:t>The most notable development of 2025 has been the rapid acceleration of Privosegtor, our novel neuroprotective candidate. Following the positive topline readout from the Phase 2 ACUITY trial in optic neuritis (ON) announced earlier this year, we have moved decisively to expand and advance the program. The ACUITY data demonstrated clinically meaningful improvement in low-contrast visual acuity, together with objective evidence of anatomical neuroprotection—including preservation of retinal ganglion cells and axons, as well as significantly reduced levels of neurofilament light chain, a well-established biomarker of neuro-axonal damage associated with conditions such as multiple sclerosis. These results are consistent with a mechanism of action that could have broad relevance across multiple neuro-axonal diseases.</w:t>
      </w:r>
    </w:p>
    <w:p>
      <w:pPr>
        <w:pStyle w:val="TextBody"/>
        <w:bidi w:val="0"/>
        <w:ind w:left="567" w:right="0" w:hanging="0"/>
        <w:jc w:val="both"/>
        <w:rPr>
          <w:rFonts w:ascii="Times New Roman" w:hAnsi="Times New Roman"/>
          <w:sz w:val="20"/>
        </w:rPr>
      </w:pPr>
      <w:r>
        <w:rPr>
          <w:rFonts w:ascii="Verdana;sans-serif" w:hAnsi="Verdana;sans-serif"/>
          <w:color w:val="000000"/>
          <w:sz w:val="20"/>
        </w:rPr>
        <w:t>The robust ACUITY trial outcome and our regulatory discussions led to the FDA granting Privosegtor Breakthrough Therapy designation for the treatment of optic neuritis and the launch of the PIONEER registrational program in optic neuropathies, indications with a high unmet medical need and no approved neuroprotective treatments, collectively representing an estimated U.S. market opportunity of over $7 billion for Privosegtor.</w:t>
      </w:r>
      <w:r>
        <w:rPr>
          <w:rFonts w:ascii="Times New Roman" w:hAnsi="Times New Roman"/>
          <w:color w:val="000000"/>
          <w:sz w:val="20"/>
        </w:rPr>
        <w:t xml:space="preserve"> </w:t>
      </w:r>
    </w:p>
    <w:p>
      <w:pPr>
        <w:pStyle w:val="TextBody"/>
        <w:bidi w:val="0"/>
        <w:spacing w:before="240" w:after="240"/>
        <w:ind w:left="567" w:right="0" w:hanging="0"/>
        <w:jc w:val="both"/>
        <w:rPr>
          <w:rFonts w:ascii="Times New Roman" w:hAnsi="Times New Roman"/>
          <w:sz w:val="20"/>
        </w:rPr>
      </w:pPr>
      <w:r>
        <w:rPr>
          <w:rFonts w:ascii="Verdana;sans-serif" w:hAnsi="Verdana;sans-serif"/>
          <w:color w:val="000000"/>
          <w:sz w:val="20"/>
        </w:rPr>
        <w:t>The concurrent execution of the PIONEER trials in optic neuropathies is designed to generate operational synergies, improve cost efficiency, and accelerate Privosegtor's overall development timeline. Privosegtor has received Orphan Drug designation from both the FDA and the European Medicines Agency for ON, which we believe underscores the significance of this program. We are also evaluating Privosegtor as a potential treatment for acute relapses in multiple sclerosis patients—a further demonstration of the breadth of this candidate's future potential.</w:t>
      </w:r>
      <w:r>
        <w:rPr>
          <w:rFonts w:ascii="Times New Roman" w:hAnsi="Times New Roman"/>
          <w:color w:val="000000"/>
          <w:sz w:val="20"/>
        </w:rPr>
        <w:t xml:space="preserve"> </w:t>
      </w:r>
    </w:p>
    <w:p>
      <w:pPr>
        <w:pStyle w:val="TextBody"/>
        <w:bidi w:val="0"/>
        <w:spacing w:before="0" w:after="240"/>
        <w:ind w:left="567" w:right="0" w:hanging="0"/>
        <w:jc w:val="both"/>
        <w:rPr>
          <w:rFonts w:ascii="Times New Roman" w:hAnsi="Times New Roman"/>
          <w:sz w:val="20"/>
        </w:rPr>
      </w:pPr>
      <w:r>
        <w:rPr>
          <w:rFonts w:ascii="Verdana;sans-serif" w:hAnsi="Verdana;sans-serif"/>
          <w:color w:val="000000"/>
          <w:sz w:val="20"/>
        </w:rPr>
        <w:t>Most recently, Privosegtor was granted PRIME (PRIority MEdicines) designation by the EMA (European Medicines Agency), a highly selective process offered by the agency to enhance support and accelerate assessment for promising therapies, and for faster patient access targeting high unmet medical needs. This reinforces the broad and strong support from regulators across the world for Privosegtor in optic neuritis.</w:t>
      </w:r>
      <w:r>
        <w:rPr>
          <w:rFonts w:ascii="Times New Roman" w:hAnsi="Times New Roman"/>
          <w:color w:val="000000"/>
          <w:sz w:val="20"/>
        </w:rPr>
        <w:t xml:space="preserve"> </w:t>
      </w:r>
    </w:p>
    <w:p>
      <w:pPr>
        <w:pStyle w:val="TextBody"/>
        <w:bidi w:val="0"/>
        <w:ind w:left="567" w:right="0" w:hanging="0"/>
        <w:jc w:val="both"/>
        <w:rPr>
          <w:rFonts w:ascii="Verdana;sans-serif" w:hAnsi="Verdana;sans-serif"/>
          <w:b/>
          <w:color w:val="000000"/>
          <w:sz w:val="20"/>
        </w:rPr>
      </w:pPr>
      <w:r>
        <w:rPr>
          <w:rFonts w:ascii="Verdana;sans-serif" w:hAnsi="Verdana;sans-serif"/>
          <w:b/>
          <w:color w:val="000000"/>
          <w:sz w:val="20"/>
        </w:rPr>
        <w:t>Focus for 2026: Unlocking Value in Ophthalmology and Neuro-ophthalmology</w:t>
      </w:r>
    </w:p>
    <w:p>
      <w:pPr>
        <w:pStyle w:val="TextBody"/>
        <w:bidi w:val="0"/>
        <w:ind w:left="567" w:right="0" w:hanging="0"/>
        <w:jc w:val="both"/>
        <w:rPr/>
      </w:pPr>
      <w:r>
        <w:rPr/>
        <w:t> </w:t>
      </w:r>
    </w:p>
    <w:p>
      <w:pPr>
        <w:pStyle w:val="TextBody"/>
        <w:bidi w:val="0"/>
        <w:ind w:left="567" w:right="0" w:hanging="0"/>
        <w:jc w:val="both"/>
        <w:rPr>
          <w:rFonts w:ascii="Verdana;sans-serif" w:hAnsi="Verdana;sans-serif"/>
          <w:color w:val="000000"/>
          <w:sz w:val="20"/>
        </w:rPr>
      </w:pPr>
      <w:r>
        <w:rPr>
          <w:rFonts w:ascii="Verdana;sans-serif" w:hAnsi="Verdana;sans-serif"/>
          <w:color w:val="000000"/>
          <w:sz w:val="20"/>
        </w:rPr>
        <w:t>Our financial position is strong, thanks to oversubscribed equity financings exceeding $200 million in 2025, which provides a solid foundation for developing innovative therapies and bringing them to market.</w:t>
      </w:r>
    </w:p>
    <w:p>
      <w:pPr>
        <w:pStyle w:val="TextBody"/>
        <w:bidi w:val="0"/>
        <w:ind w:left="567" w:right="0" w:hanging="0"/>
        <w:jc w:val="both"/>
        <w:rPr/>
      </w:pPr>
      <w:r>
        <w:rPr/>
        <w:t> </w:t>
      </w:r>
    </w:p>
    <w:p>
      <w:pPr>
        <w:pStyle w:val="TextBody"/>
        <w:bidi w:val="0"/>
        <w:ind w:left="567" w:right="0" w:hanging="0"/>
        <w:jc w:val="both"/>
        <w:rPr>
          <w:rFonts w:ascii="Times New Roman" w:hAnsi="Times New Roman"/>
          <w:sz w:val="20"/>
        </w:rPr>
      </w:pPr>
      <w:r>
        <w:rPr>
          <w:rFonts w:ascii="Verdana;sans-serif" w:hAnsi="Verdana;sans-serif"/>
          <w:color w:val="000000"/>
          <w:sz w:val="20"/>
        </w:rPr>
        <w:t>As 2025 was characterized by operational excellence and transformation, 2026 is planned as a year of landmark accomplishments, with major registrational milestones anticipated: the DIAMOND-1 and DIAMOND-2 trials readout with OCS-01 in DME anticipated in June, the PREDICT-1 trial results for Licaminlimab in DED planned around late 2026, and the initiation of the PIONEER program trials. We are pursuing substantial unmet medical need which represent estimated potential market opportunities of over $30 billion.</w:t>
      </w:r>
      <w:r>
        <w:rPr>
          <w:rFonts w:ascii="Times New Roman" w:hAnsi="Times New Roman"/>
          <w:color w:val="000000"/>
          <w:sz w:val="20"/>
        </w:rPr>
        <w:t xml:space="preserve"> </w:t>
      </w:r>
    </w:p>
    <w:p>
      <w:pPr>
        <w:pStyle w:val="TextBody"/>
        <w:bidi w:val="0"/>
        <w:spacing w:before="240" w:after="240"/>
        <w:ind w:left="567" w:right="0" w:hanging="0"/>
        <w:jc w:val="both"/>
        <w:rPr>
          <w:rFonts w:ascii="Times New Roman" w:hAnsi="Times New Roman"/>
          <w:sz w:val="20"/>
        </w:rPr>
      </w:pPr>
      <w:r>
        <w:rPr>
          <w:rFonts w:ascii="Verdana;sans-serif" w:hAnsi="Verdana;sans-serif"/>
          <w:color w:val="000000"/>
          <w:sz w:val="20"/>
        </w:rPr>
        <w:t>On behalf of the Oculis team and the board of directors, we are grateful for the continued confidence you have placed in Oculis. Our mission—to preserve and restore vision for patients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4</w:t>
      </w:r>
    </w:p>
    <w:p>
      <w:pPr>
        <w:pStyle w:val="TextBody"/>
        <w:bidi w:val="0"/>
        <w:jc w:val="left"/>
        <w:rPr/>
      </w:pPr>
      <w:r>
        <w:rPr/>
        <w:t> </w:t>
      </w:r>
    </w:p>
    <w:p>
      <w:pPr>
        <w:pStyle w:val="TextBody"/>
        <w:bidi w:val="0"/>
        <w:spacing w:before="240" w:after="240"/>
        <w:ind w:left="567" w:right="0" w:hanging="0"/>
        <w:jc w:val="both"/>
        <w:rPr>
          <w:rFonts w:ascii="Verdana;sans-serif" w:hAnsi="Verdana;sans-serif"/>
          <w:color w:val="000000"/>
          <w:sz w:val="20"/>
        </w:rPr>
      </w:pPr>
      <w:r>
        <w:rPr>
          <w:rFonts w:ascii="Verdana;sans-serif" w:hAnsi="Verdana;sans-serif"/>
          <w:color w:val="000000"/>
          <w:sz w:val="20"/>
        </w:rPr>
        <w:t>around the world—remains the driving force behind everything we do, and we look forward to delivering on that mission in the year ahead.</w:t>
      </w:r>
    </w:p>
    <w:p>
      <w:pPr>
        <w:pStyle w:val="TextBody"/>
        <w:bidi w:val="0"/>
        <w:ind w:left="567" w:right="0" w:hanging="0"/>
        <w:jc w:val="left"/>
        <w:rPr/>
      </w:pPr>
      <w:r>
        <w:rPr/>
        <w:t> </w:t>
      </w:r>
    </w:p>
    <w:p>
      <w:pPr>
        <w:pStyle w:val="TextBody"/>
        <w:bidi w:val="0"/>
        <w:ind w:left="561" w:right="0" w:hanging="0"/>
        <w:jc w:val="left"/>
        <w:rPr>
          <w:rFonts w:ascii="Verdana;sans-serif" w:hAnsi="Verdana;sans-serif"/>
          <w:color w:val="000000"/>
          <w:sz w:val="20"/>
        </w:rPr>
      </w:pPr>
      <w:r>
        <w:rPr>
          <w:rFonts w:ascii="Verdana;sans-serif" w:hAnsi="Verdana;sans-serif"/>
          <w:color w:val="000000"/>
          <w:sz w:val="20"/>
        </w:rPr>
        <w:t>Sincerely,</w:t>
      </w:r>
    </w:p>
    <w:p>
      <w:pPr>
        <w:pStyle w:val="TextBody"/>
        <w:bidi w:val="0"/>
        <w:jc w:val="left"/>
        <w:rPr/>
      </w:pPr>
      <w:r>
        <w:rPr/>
        <w:drawing>
          <wp:inline distT="0" distB="0" distL="0" distR="0">
            <wp:extent cx="2886075" cy="981075"/>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9"/>
                    <a:stretch>
                      <a:fillRect/>
                    </a:stretch>
                  </pic:blipFill>
                  <pic:spPr bwMode="auto">
                    <a:xfrm>
                      <a:off x="0" y="0"/>
                      <a:ext cx="2886075" cy="981075"/>
                    </a:xfrm>
                    <a:prstGeom prst="rect">
                      <a:avLst/>
                    </a:prstGeom>
                  </pic:spPr>
                </pic:pic>
              </a:graphicData>
            </a:graphic>
          </wp:inline>
        </w:drawing>
      </w:r>
      <w:r>
        <w:rPr/>
        <w:drawing>
          <wp:inline distT="0" distB="0" distL="0" distR="0">
            <wp:extent cx="2819400" cy="75247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10"/>
                    <a:stretch>
                      <a:fillRect/>
                    </a:stretch>
                  </pic:blipFill>
                  <pic:spPr bwMode="auto">
                    <a:xfrm>
                      <a:off x="0" y="0"/>
                      <a:ext cx="2819400" cy="752475"/>
                    </a:xfrm>
                    <a:prstGeom prst="rect">
                      <a:avLst/>
                    </a:prstGeom>
                  </pic:spPr>
                </pic:pic>
              </a:graphicData>
            </a:graphic>
          </wp:inline>
        </w:drawing>
      </w:r>
    </w:p>
    <w:p>
      <w:pPr>
        <w:pStyle w:val="TextBody"/>
        <w:bidi w:val="0"/>
        <w:jc w:val="left"/>
        <w:rPr/>
      </w:pPr>
      <w:r>
        <w:rPr/>
        <w:t> </w:t>
      </w:r>
    </w:p>
    <w:p>
      <w:pPr>
        <w:pStyle w:val="TextBody"/>
        <w:bidi w:val="0"/>
        <w:spacing w:before="92" w:after="283"/>
        <w:jc w:val="left"/>
        <w:rPr/>
      </w:pPr>
      <w:r>
        <w:rPr/>
        <w:t> </w:t>
      </w:r>
    </w:p>
    <w:p>
      <w:pPr>
        <w:pStyle w:val="TextBody"/>
        <w:bidi w:val="0"/>
        <w:ind w:left="561" w:right="0" w:hanging="0"/>
        <w:jc w:val="left"/>
        <w:rPr>
          <w:rFonts w:ascii="Verdana;sans-serif" w:hAnsi="Verdana;sans-serif"/>
          <w:color w:val="000000"/>
          <w:sz w:val="20"/>
        </w:rPr>
      </w:pPr>
      <w:r>
        <w:rPr>
          <w:rFonts w:ascii="Verdana;sans-serif" w:hAnsi="Verdana;sans-serif"/>
          <w:color w:val="000000"/>
          <w:sz w:val="20"/>
        </w:rPr>
        <w:t>Enclosures: - Agenda</w:t>
      </w:r>
    </w:p>
    <w:p>
      <w:pPr>
        <w:pStyle w:val="TextBody"/>
        <w:bidi w:val="0"/>
        <w:spacing w:before="48" w:after="283"/>
        <w:ind w:left="1980" w:right="0" w:firstLine="173"/>
        <w:jc w:val="left"/>
        <w:rPr>
          <w:rFonts w:ascii="Verdana;sans-serif" w:hAnsi="Verdana;sans-serif"/>
          <w:color w:val="000000"/>
          <w:sz w:val="20"/>
        </w:rPr>
      </w:pPr>
      <w:r>
        <w:rPr>
          <w:rFonts w:ascii="Verdana;sans-serif" w:hAnsi="Verdana;sans-serif"/>
          <w:color w:val="000000"/>
          <w:sz w:val="20"/>
        </w:rPr>
        <w:t>- Organizational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5</w:t>
      </w:r>
    </w:p>
    <w:p>
      <w:pPr>
        <w:pStyle w:val="TextBody"/>
        <w:bidi w:val="0"/>
        <w:jc w:val="left"/>
        <w:rPr/>
      </w:pPr>
      <w:r>
        <w:rPr/>
        <w:t> </w:t>
      </w:r>
    </w:p>
    <w:p>
      <w:pPr>
        <w:pStyle w:val="TextBody"/>
        <w:bidi w:val="0"/>
        <w:ind w:left="408" w:right="0" w:hanging="0"/>
        <w:jc w:val="center"/>
        <w:rPr>
          <w:rFonts w:ascii="Verdana;sans-serif" w:hAnsi="Verdana;sans-serif"/>
          <w:b/>
          <w:color w:val="000000"/>
          <w:sz w:val="20"/>
          <w:u w:val="single"/>
        </w:rPr>
      </w:pPr>
      <w:r>
        <w:rPr>
          <w:rFonts w:ascii="Verdana;sans-serif" w:hAnsi="Verdana;sans-serif"/>
          <w:b/>
          <w:color w:val="000000"/>
          <w:sz w:val="20"/>
          <w:u w:val="single"/>
        </w:rPr>
        <w:t>AGENDA ITEMS AND PROPOSALS OF THE BOARD OF DIRECTORS</w:t>
      </w:r>
    </w:p>
    <w:p>
      <w:pPr>
        <w:pStyle w:val="TextBody"/>
        <w:bidi w:val="0"/>
        <w:jc w:val="left"/>
        <w:rPr/>
      </w:pPr>
      <w:r>
        <w:rPr/>
        <w:t> </w:t>
      </w:r>
    </w:p>
    <w:p>
      <w:pPr>
        <w:pStyle w:val="TextBody"/>
        <w:bidi w:val="0"/>
        <w:spacing w:before="58" w:after="283"/>
        <w:jc w:val="left"/>
        <w:rPr/>
      </w:pPr>
      <w:r>
        <w:rPr/>
        <w:t> </w:t>
      </w:r>
    </w:p>
    <w:p>
      <w:pPr>
        <w:pStyle w:val="TextBody"/>
        <w:bidi w:val="0"/>
        <w:spacing w:before="0" w:after="0"/>
        <w:ind w:left="561" w:right="144" w:hanging="0"/>
        <w:jc w:val="both"/>
        <w:rPr>
          <w:rFonts w:ascii="Verdana" w:hAnsi="Verdana"/>
          <w:b/>
          <w:color w:val="000000"/>
          <w:sz w:val="20"/>
        </w:rPr>
      </w:pPr>
      <w:r>
        <w:rPr>
          <w:rFonts w:ascii="Verdana" w:hAnsi="Verdana"/>
          <w:b/>
          <w:color w:val="000000"/>
          <w:sz w:val="20"/>
        </w:rPr>
        <w:t>1.</w:t>
      </w:r>
    </w:p>
    <w:p>
      <w:pPr>
        <w:pStyle w:val="TextBody"/>
        <w:bidi w:val="0"/>
        <w:jc w:val="both"/>
        <w:rPr>
          <w:rFonts w:ascii="Verdana;sans-serif" w:hAnsi="Verdana;sans-serif"/>
          <w:b/>
          <w:color w:val="000000"/>
          <w:sz w:val="20"/>
        </w:rPr>
      </w:pPr>
      <w:r>
        <w:rPr>
          <w:rFonts w:ascii="Verdana;sans-serif" w:hAnsi="Verdana;sans-serif"/>
          <w:b/>
          <w:color w:val="000000"/>
          <w:sz w:val="20"/>
        </w:rPr>
        <w:t>APPROVAL OF THE 2025 ANNUAL REPORT INCLUDING THE 2025 ANNUAL (STATUTORY) FINANCIAL STATEMENTS AND THE 2025 CONSOLIDATED FINANCIAL STATEMENTS</w:t>
      </w:r>
    </w:p>
    <w:p>
      <w:pPr>
        <w:pStyle w:val="TextBody"/>
        <w:bidi w:val="0"/>
        <w:spacing w:before="122" w:after="283"/>
        <w:ind w:left="1413" w:right="143" w:hanging="0"/>
        <w:jc w:val="both"/>
        <w:rPr>
          <w:rFonts w:ascii="Verdana;sans-serif" w:hAnsi="Verdana;sans-serif"/>
          <w:color w:val="000000"/>
          <w:sz w:val="20"/>
        </w:rPr>
      </w:pPr>
      <w:r>
        <w:rPr>
          <w:rFonts w:ascii="Verdana;sans-serif" w:hAnsi="Verdana;sans-serif"/>
          <w:color w:val="000000"/>
          <w:sz w:val="20"/>
        </w:rPr>
        <w:t>The Board proposes the approval of the annual report including the annual financial statements for the business year 2025 and the consolidated financial statements for the business year 2025.</w:t>
      </w:r>
    </w:p>
    <w:p>
      <w:pPr>
        <w:pStyle w:val="TextBody"/>
        <w:bidi w:val="0"/>
        <w:spacing w:before="123" w:after="283"/>
        <w:ind w:left="1413" w:right="141"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2 no. 3 and 4 of the Swiss Code of Obligations (the "</w:t>
      </w:r>
      <w:r>
        <w:rPr>
          <w:rFonts w:ascii="Verdana;sans-serif" w:hAnsi="Verdana;sans-serif"/>
          <w:b/>
          <w:color w:val="000000"/>
          <w:sz w:val="20"/>
        </w:rPr>
        <w:t>CO</w:t>
      </w:r>
      <w:r>
        <w:rPr>
          <w:rFonts w:ascii="Verdana;sans-serif" w:hAnsi="Verdana;sans-serif"/>
          <w:color w:val="000000"/>
          <w:sz w:val="20"/>
        </w:rPr>
        <w:t>")) and our articles of association, the general meeting of the shareholders (the "</w:t>
      </w:r>
      <w:r>
        <w:rPr>
          <w:rFonts w:ascii="Verdana;sans-serif" w:hAnsi="Verdana;sans-serif"/>
          <w:b/>
          <w:color w:val="000000"/>
          <w:sz w:val="20"/>
        </w:rPr>
        <w:t>General Meeting</w:t>
      </w:r>
      <w:r>
        <w:rPr>
          <w:rFonts w:ascii="Verdana;sans-serif" w:hAnsi="Verdana;sans-serif"/>
          <w:color w:val="000000"/>
          <w:sz w:val="20"/>
        </w:rPr>
        <w:t xml:space="preserve">") resolves on the approval of the statutory financial statements and the consolidated financial statements. In its reports to the General Meeting, the Company's auditors, PricewaterhouseCoopers SA, recommend without qualification the approval of the Company's annual financial statements and consolidated financial statements. The 2025 Annual Report is available for download at </w:t>
      </w:r>
      <w:r>
        <w:rPr>
          <w:rFonts w:ascii="Verdana;sans-serif" w:hAnsi="Verdana;sans-serif"/>
          <w:sz w:val="20"/>
        </w:rPr>
        <w:t>https://investors.oculis.com/events-presentations.</w:t>
      </w:r>
    </w:p>
    <w:p>
      <w:pPr>
        <w:pStyle w:val="TextBody"/>
        <w:bidi w:val="0"/>
        <w:spacing w:before="124"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2.</w:t>
      </w:r>
    </w:p>
    <w:p>
      <w:pPr>
        <w:pStyle w:val="TextBody"/>
        <w:bidi w:val="0"/>
        <w:jc w:val="left"/>
        <w:rPr>
          <w:rFonts w:ascii="Verdana;sans-serif" w:hAnsi="Verdana;sans-serif"/>
          <w:b/>
          <w:color w:val="000000"/>
          <w:sz w:val="20"/>
        </w:rPr>
      </w:pPr>
      <w:r>
        <w:rPr>
          <w:rFonts w:ascii="Verdana;sans-serif" w:hAnsi="Verdana;sans-serif"/>
          <w:b/>
          <w:color w:val="000000"/>
          <w:sz w:val="20"/>
        </w:rPr>
        <w:t>ALLOCATION OF BALANCE SHEET RESULTS 2025</w:t>
      </w:r>
    </w:p>
    <w:p>
      <w:pPr>
        <w:pStyle w:val="TextBody"/>
        <w:bidi w:val="0"/>
        <w:spacing w:before="165" w:after="283"/>
        <w:ind w:left="1413" w:right="121" w:hanging="0"/>
        <w:jc w:val="left"/>
        <w:rPr>
          <w:rFonts w:ascii="Verdana;sans-serif" w:hAnsi="Verdana;sans-serif"/>
          <w:color w:val="000000"/>
          <w:sz w:val="20"/>
        </w:rPr>
      </w:pPr>
      <w:r>
        <w:rPr>
          <w:rFonts w:ascii="Verdana;sans-serif" w:hAnsi="Verdana;sans-serif"/>
          <w:color w:val="000000"/>
          <w:sz w:val="20"/>
        </w:rPr>
        <w:t>The Board proposes that the balance sheet loss of CHF 80,247,000 be carried forward to the new accounts.</w:t>
      </w:r>
    </w:p>
    <w:p>
      <w:pPr>
        <w:pStyle w:val="TextBody"/>
        <w:bidi w:val="0"/>
        <w:spacing w:before="123" w:after="283"/>
        <w:ind w:left="1413" w:right="452" w:hanging="0"/>
        <w:jc w:val="left"/>
        <w:rPr>
          <w:rFonts w:ascii="Times New Roman" w:hAnsi="Times New Roman"/>
          <w:sz w:val="20"/>
        </w:rPr>
      </w:pPr>
      <w:r>
        <w:rPr>
          <w:rFonts w:ascii="Verdana;sans-serif" w:hAnsi="Verdana;sans-serif"/>
          <w:color w:val="000000"/>
          <w:sz w:val="20"/>
        </w:rPr>
        <w:t>Net loss for the business year 2025 CHF 33,670,000</w:t>
      </w:r>
      <w:r>
        <w:rPr>
          <w:rFonts w:ascii="Times New Roman" w:hAnsi="Times New Roman"/>
          <w:color w:val="000000"/>
          <w:sz w:val="20"/>
        </w:rPr>
        <w:t xml:space="preserve"> </w:t>
      </w:r>
    </w:p>
    <w:p>
      <w:pPr>
        <w:pStyle w:val="TextBody"/>
        <w:bidi w:val="0"/>
        <w:spacing w:before="123" w:after="283"/>
        <w:ind w:left="1413" w:right="452" w:hanging="0"/>
        <w:jc w:val="left"/>
        <w:rPr>
          <w:rFonts w:ascii="Verdana;sans-serif" w:hAnsi="Verdana;sans-serif"/>
          <w:color w:val="000000"/>
          <w:sz w:val="20"/>
        </w:rPr>
      </w:pPr>
      <w:r>
        <w:rPr>
          <w:rFonts w:ascii="Verdana;sans-serif" w:hAnsi="Verdana;sans-serif"/>
          <w:color w:val="000000"/>
          <w:sz w:val="20"/>
        </w:rPr>
        <w:t>Accumulated loss brought forward CHF 80,247,000</w:t>
      </w:r>
    </w:p>
    <w:p>
      <w:pPr>
        <w:pStyle w:val="TextBody"/>
        <w:bidi w:val="0"/>
        <w:ind w:left="1413" w:right="0" w:hanging="0"/>
        <w:jc w:val="left"/>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2 no. 4 CO) and our articles of association, the General Meeting resolves on the allocation of the balance sheet results.</w:t>
      </w:r>
    </w:p>
    <w:p>
      <w:pPr>
        <w:pStyle w:val="TextBody"/>
        <w:bidi w:val="0"/>
        <w:spacing w:before="116" w:after="283"/>
        <w:jc w:val="left"/>
        <w:rPr/>
      </w:pPr>
      <w:r>
        <w:rPr/>
        <w:t> </w:t>
      </w:r>
    </w:p>
    <w:p>
      <w:pPr>
        <w:pStyle w:val="TextBody"/>
        <w:bidi w:val="0"/>
        <w:spacing w:before="0" w:after="0"/>
        <w:ind w:left="561" w:right="144" w:hanging="0"/>
        <w:jc w:val="both"/>
        <w:rPr>
          <w:rFonts w:ascii="Verdana" w:hAnsi="Verdana"/>
          <w:b/>
          <w:color w:val="000000"/>
          <w:sz w:val="20"/>
        </w:rPr>
      </w:pPr>
      <w:r>
        <w:rPr>
          <w:rFonts w:ascii="Verdana" w:hAnsi="Verdana"/>
          <w:b/>
          <w:color w:val="000000"/>
          <w:sz w:val="20"/>
        </w:rPr>
        <w:t>3.</w:t>
      </w:r>
    </w:p>
    <w:p>
      <w:pPr>
        <w:pStyle w:val="TextBody"/>
        <w:bidi w:val="0"/>
        <w:jc w:val="both"/>
        <w:rPr>
          <w:rFonts w:ascii="Verdana;sans-serif" w:hAnsi="Verdana;sans-serif"/>
          <w:b/>
          <w:color w:val="000000"/>
          <w:sz w:val="20"/>
        </w:rPr>
      </w:pPr>
      <w:r>
        <w:rPr>
          <w:rFonts w:ascii="Verdana;sans-serif" w:hAnsi="Verdana;sans-serif"/>
          <w:b/>
          <w:color w:val="000000"/>
          <w:sz w:val="20"/>
        </w:rPr>
        <w:t>DISCHARGE TO THE MEMBERS OF THE BOARD OF DIRECTORS AND THE EXECUTIVE COMMITTEE</w:t>
      </w:r>
    </w:p>
    <w:p>
      <w:pPr>
        <w:pStyle w:val="TextBody"/>
        <w:bidi w:val="0"/>
        <w:spacing w:before="122" w:after="283"/>
        <w:ind w:left="1413" w:right="152" w:hanging="0"/>
        <w:jc w:val="both"/>
        <w:rPr>
          <w:rFonts w:ascii="Verdana;sans-serif" w:hAnsi="Verdana;sans-serif"/>
          <w:color w:val="000000"/>
          <w:sz w:val="20"/>
        </w:rPr>
      </w:pPr>
      <w:r>
        <w:rPr>
          <w:rFonts w:ascii="Verdana;sans-serif" w:hAnsi="Verdana;sans-serif"/>
          <w:color w:val="000000"/>
          <w:sz w:val="20"/>
        </w:rPr>
        <w:t>The Board proposes that a full discharge be granted to all members of the Board of Directors and the Executive Committee for their activities in 2025.</w:t>
      </w:r>
    </w:p>
    <w:p>
      <w:pPr>
        <w:pStyle w:val="TextBody"/>
        <w:bidi w:val="0"/>
        <w:spacing w:before="123" w:after="283"/>
        <w:ind w:left="1413" w:right="14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2 no. 7 CO) and our articles of association, the General Meeting resolves on the discharge to the members of the Board of Directors and the Executive Committee.</w:t>
      </w:r>
    </w:p>
    <w:p>
      <w:pPr>
        <w:pStyle w:val="TextBody"/>
        <w:bidi w:val="0"/>
        <w:spacing w:before="118" w:after="283"/>
        <w:jc w:val="left"/>
        <w:rPr/>
      </w:pPr>
      <w:r>
        <w:rPr/>
        <w:t> </w:t>
      </w:r>
    </w:p>
    <w:p>
      <w:pPr>
        <w:pStyle w:val="TextBody"/>
        <w:bidi w:val="0"/>
        <w:spacing w:before="0" w:after="0"/>
        <w:ind w:left="561" w:right="144" w:hanging="0"/>
        <w:jc w:val="both"/>
        <w:rPr>
          <w:rFonts w:ascii="Verdana" w:hAnsi="Verdana"/>
          <w:b/>
          <w:color w:val="000000"/>
          <w:sz w:val="20"/>
        </w:rPr>
      </w:pPr>
      <w:r>
        <w:rPr>
          <w:rFonts w:ascii="Verdana" w:hAnsi="Verdana"/>
          <w:b/>
          <w:color w:val="000000"/>
          <w:sz w:val="20"/>
        </w:rPr>
        <w:t>4.</w:t>
      </w:r>
    </w:p>
    <w:p>
      <w:pPr>
        <w:pStyle w:val="TextBody"/>
        <w:bidi w:val="0"/>
        <w:jc w:val="both"/>
        <w:rPr>
          <w:rFonts w:ascii="Verdana;sans-serif" w:hAnsi="Verdana;sans-serif"/>
          <w:b/>
          <w:color w:val="000000"/>
          <w:sz w:val="20"/>
        </w:rPr>
      </w:pPr>
      <w:r>
        <w:rPr>
          <w:rFonts w:ascii="Verdana;sans-serif" w:hAnsi="Verdana;sans-serif"/>
          <w:b/>
          <w:color w:val="000000"/>
          <w:sz w:val="20"/>
        </w:rPr>
        <w:t>ELECTION OF THE CHAIRPERSON AND THE OTHER MEMBERS OF THE BOARD OF DIRECTORS</w:t>
      </w:r>
    </w:p>
    <w:p>
      <w:pPr>
        <w:pStyle w:val="TextBody"/>
        <w:bidi w:val="0"/>
        <w:spacing w:before="123" w:after="283"/>
        <w:ind w:left="1413" w:right="136" w:hanging="0"/>
        <w:jc w:val="both"/>
        <w:rPr>
          <w:rFonts w:ascii="Verdana;sans-serif" w:hAnsi="Verdana;sans-serif"/>
          <w:color w:val="000000"/>
          <w:sz w:val="20"/>
        </w:rPr>
      </w:pPr>
      <w:r>
        <w:rPr>
          <w:rFonts w:ascii="Verdana;sans-serif" w:hAnsi="Verdana;sans-serif"/>
          <w:color w:val="000000"/>
          <w:sz w:val="20"/>
        </w:rPr>
        <w:t>The term of office of the Chairperson and all members of the Board of Directors expires at the end of the 2026 Annual General Meeting. The Board of Directors proposes the re-election of the current members of the Board of Directors, including the Chairperson, and the election of Gregory D. Perry, each for a term of office until the end of the 2027 Annual General Meeting.</w:t>
      </w:r>
    </w:p>
    <w:p>
      <w:pPr>
        <w:pStyle w:val="TextBody"/>
        <w:bidi w:val="0"/>
        <w:spacing w:before="168" w:after="283"/>
        <w:ind w:left="561" w:right="0" w:hanging="0"/>
        <w:jc w:val="both"/>
        <w:rPr>
          <w:rFonts w:ascii="Verdana" w:hAnsi="Verdana"/>
          <w:i/>
          <w:color w:val="000000"/>
          <w:sz w:val="20"/>
        </w:rPr>
      </w:pPr>
      <w:r>
        <w:rPr>
          <w:rFonts w:ascii="Verdana" w:hAnsi="Verdana"/>
          <w:i/>
          <w:color w:val="000000"/>
          <w:sz w:val="20"/>
        </w:rPr>
        <w:t>4.1.</w:t>
      </w:r>
    </w:p>
    <w:p>
      <w:pPr>
        <w:pStyle w:val="TextBody"/>
        <w:bidi w:val="0"/>
        <w:spacing w:before="168" w:after="283"/>
        <w:jc w:val="both"/>
        <w:rPr>
          <w:rFonts w:ascii="Verdana;sans-serif" w:hAnsi="Verdana;sans-serif"/>
          <w:i/>
          <w:color w:val="000000"/>
          <w:sz w:val="20"/>
        </w:rPr>
      </w:pPr>
      <w:r>
        <w:rPr>
          <w:rFonts w:ascii="Verdana;sans-serif" w:hAnsi="Verdana;sans-serif"/>
          <w:i/>
          <w:color w:val="000000"/>
          <w:sz w:val="20"/>
        </w:rPr>
        <w:t>Re-election of Anthony Rosenberg as Member and Chairperson of the Board of Directors</w:t>
      </w:r>
    </w:p>
    <w:p>
      <w:pPr>
        <w:pStyle w:val="TextBody"/>
        <w:bidi w:val="0"/>
        <w:spacing w:before="168" w:after="283"/>
        <w:ind w:left="561" w:right="0" w:hanging="0"/>
        <w:jc w:val="both"/>
        <w:rPr>
          <w:rFonts w:ascii="Verdana" w:hAnsi="Verdana"/>
          <w:i/>
          <w:color w:val="000000"/>
          <w:sz w:val="20"/>
        </w:rPr>
      </w:pPr>
      <w:r>
        <w:rPr>
          <w:rFonts w:ascii="Verdana" w:hAnsi="Verdana"/>
          <w:i/>
          <w:color w:val="000000"/>
          <w:sz w:val="20"/>
        </w:rPr>
        <w:t>4.2.</w:t>
      </w:r>
    </w:p>
    <w:p>
      <w:pPr>
        <w:pStyle w:val="TextBody"/>
        <w:bidi w:val="0"/>
        <w:spacing w:before="168" w:after="283"/>
        <w:jc w:val="both"/>
        <w:rPr>
          <w:rFonts w:ascii="Verdana;sans-serif" w:hAnsi="Verdana;sans-serif"/>
          <w:i/>
          <w:color w:val="000000"/>
          <w:sz w:val="20"/>
        </w:rPr>
      </w:pPr>
      <w:r>
        <w:rPr>
          <w:rFonts w:ascii="Verdana;sans-serif" w:hAnsi="Verdana;sans-serif"/>
          <w:i/>
          <w:color w:val="000000"/>
          <w:sz w:val="20"/>
        </w:rPr>
        <w:t>Re-election of Christina Ackermann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6</w:t>
      </w:r>
    </w:p>
    <w:p>
      <w:pPr>
        <w:pStyle w:val="TextBody"/>
        <w:bidi w:val="0"/>
        <w:jc w:val="left"/>
        <w:rPr/>
      </w:pPr>
      <w:r>
        <w:rPr/>
        <w:t> </w:t>
      </w:r>
    </w:p>
    <w:p>
      <w:pPr>
        <w:pStyle w:val="TextBody"/>
        <w:bidi w:val="0"/>
        <w:spacing w:before="167" w:after="283"/>
        <w:ind w:left="561" w:right="0" w:hanging="0"/>
        <w:jc w:val="both"/>
        <w:rPr>
          <w:rFonts w:ascii="Verdana" w:hAnsi="Verdana"/>
          <w:i/>
          <w:color w:val="000000"/>
          <w:sz w:val="20"/>
        </w:rPr>
      </w:pPr>
      <w:r>
        <w:rPr>
          <w:rFonts w:ascii="Verdana" w:hAnsi="Verdana"/>
          <w:i/>
          <w:color w:val="000000"/>
          <w:sz w:val="20"/>
        </w:rPr>
        <w:t>4.3.</w:t>
      </w:r>
    </w:p>
    <w:p>
      <w:pPr>
        <w:pStyle w:val="TextBody"/>
        <w:bidi w:val="0"/>
        <w:spacing w:before="167" w:after="283"/>
        <w:jc w:val="both"/>
        <w:rPr>
          <w:rFonts w:ascii="Verdana;sans-serif" w:hAnsi="Verdana;sans-serif"/>
          <w:i/>
          <w:color w:val="000000"/>
          <w:sz w:val="20"/>
        </w:rPr>
      </w:pPr>
      <w:r>
        <w:rPr>
          <w:rFonts w:ascii="Verdana;sans-serif" w:hAnsi="Verdana;sans-serif"/>
          <w:i/>
          <w:color w:val="000000"/>
          <w:sz w:val="20"/>
        </w:rPr>
        <w:t>Re-election of Lionel Carnot</w:t>
      </w:r>
    </w:p>
    <w:p>
      <w:pPr>
        <w:pStyle w:val="TextBody"/>
        <w:bidi w:val="0"/>
        <w:spacing w:before="167" w:after="283"/>
        <w:ind w:left="561" w:right="0" w:hanging="0"/>
        <w:jc w:val="both"/>
        <w:rPr>
          <w:rFonts w:ascii="Verdana" w:hAnsi="Verdana"/>
          <w:i/>
          <w:color w:val="000000"/>
          <w:sz w:val="20"/>
        </w:rPr>
      </w:pPr>
      <w:r>
        <w:rPr>
          <w:rFonts w:ascii="Verdana" w:hAnsi="Verdana"/>
          <w:i/>
          <w:color w:val="000000"/>
          <w:sz w:val="20"/>
        </w:rPr>
        <w:t>4.4.</w:t>
      </w:r>
    </w:p>
    <w:p>
      <w:pPr>
        <w:pStyle w:val="TextBody"/>
        <w:bidi w:val="0"/>
        <w:spacing w:before="167" w:after="283"/>
        <w:jc w:val="both"/>
        <w:rPr>
          <w:rFonts w:ascii="Verdana;sans-serif" w:hAnsi="Verdana;sans-serif"/>
          <w:i/>
          <w:color w:val="000000"/>
          <w:sz w:val="20"/>
        </w:rPr>
      </w:pPr>
      <w:r>
        <w:rPr>
          <w:rFonts w:ascii="Verdana;sans-serif" w:hAnsi="Verdana;sans-serif"/>
          <w:i/>
          <w:color w:val="000000"/>
          <w:sz w:val="20"/>
        </w:rPr>
        <w:t>Re-election of Arshad M. Khanani</w:t>
      </w:r>
    </w:p>
    <w:p>
      <w:pPr>
        <w:pStyle w:val="TextBody"/>
        <w:bidi w:val="0"/>
        <w:spacing w:before="165" w:after="283"/>
        <w:ind w:left="561" w:right="0" w:hanging="0"/>
        <w:jc w:val="both"/>
        <w:rPr>
          <w:rFonts w:ascii="Verdana" w:hAnsi="Verdana"/>
          <w:i/>
          <w:color w:val="000000"/>
          <w:sz w:val="20"/>
        </w:rPr>
      </w:pPr>
      <w:r>
        <w:rPr>
          <w:rFonts w:ascii="Verdana" w:hAnsi="Verdana"/>
          <w:i/>
          <w:color w:val="000000"/>
          <w:sz w:val="20"/>
        </w:rPr>
        <w:t>4.5.</w:t>
      </w:r>
    </w:p>
    <w:p>
      <w:pPr>
        <w:pStyle w:val="TextBody"/>
        <w:bidi w:val="0"/>
        <w:spacing w:before="165" w:after="283"/>
        <w:jc w:val="both"/>
        <w:rPr>
          <w:rFonts w:ascii="Verdana;sans-serif" w:hAnsi="Verdana;sans-serif"/>
          <w:i/>
          <w:color w:val="000000"/>
          <w:sz w:val="20"/>
        </w:rPr>
      </w:pPr>
      <w:r>
        <w:rPr>
          <w:rFonts w:ascii="Verdana;sans-serif" w:hAnsi="Verdana;sans-serif"/>
          <w:i/>
          <w:color w:val="000000"/>
          <w:sz w:val="20"/>
        </w:rPr>
        <w:t>Re-election of Martijn Kleijwegt</w:t>
      </w:r>
    </w:p>
    <w:p>
      <w:pPr>
        <w:pStyle w:val="TextBody"/>
        <w:bidi w:val="0"/>
        <w:spacing w:before="168" w:after="283"/>
        <w:ind w:left="561" w:right="0" w:hanging="0"/>
        <w:jc w:val="both"/>
        <w:rPr>
          <w:rFonts w:ascii="Verdana" w:hAnsi="Verdana"/>
          <w:i/>
          <w:color w:val="000000"/>
          <w:sz w:val="20"/>
        </w:rPr>
      </w:pPr>
      <w:r>
        <w:rPr>
          <w:rFonts w:ascii="Verdana" w:hAnsi="Verdana"/>
          <w:i/>
          <w:color w:val="000000"/>
          <w:sz w:val="20"/>
        </w:rPr>
        <w:t>4.6.</w:t>
      </w:r>
    </w:p>
    <w:p>
      <w:pPr>
        <w:pStyle w:val="TextBody"/>
        <w:bidi w:val="0"/>
        <w:spacing w:before="168" w:after="283"/>
        <w:jc w:val="both"/>
        <w:rPr>
          <w:rFonts w:ascii="Verdana;sans-serif" w:hAnsi="Verdana;sans-serif"/>
          <w:i/>
          <w:color w:val="000000"/>
          <w:sz w:val="20"/>
        </w:rPr>
      </w:pPr>
      <w:r>
        <w:rPr>
          <w:rFonts w:ascii="Verdana;sans-serif" w:hAnsi="Verdana;sans-serif"/>
          <w:i/>
          <w:color w:val="000000"/>
          <w:sz w:val="20"/>
        </w:rPr>
        <w:t>Re-election of Geraldine O'Keeffe</w:t>
      </w:r>
    </w:p>
    <w:p>
      <w:pPr>
        <w:pStyle w:val="TextBody"/>
        <w:bidi w:val="0"/>
        <w:spacing w:before="167" w:after="283"/>
        <w:ind w:left="561" w:right="0" w:hanging="0"/>
        <w:jc w:val="both"/>
        <w:rPr>
          <w:rFonts w:ascii="Verdana" w:hAnsi="Verdana"/>
          <w:i/>
          <w:color w:val="000000"/>
          <w:sz w:val="20"/>
        </w:rPr>
      </w:pPr>
      <w:r>
        <w:rPr>
          <w:rFonts w:ascii="Verdana" w:hAnsi="Verdana"/>
          <w:i/>
          <w:color w:val="000000"/>
          <w:sz w:val="20"/>
        </w:rPr>
        <w:t>4.7.</w:t>
      </w:r>
    </w:p>
    <w:p>
      <w:pPr>
        <w:pStyle w:val="TextBody"/>
        <w:bidi w:val="0"/>
        <w:spacing w:before="167" w:after="283"/>
        <w:jc w:val="both"/>
        <w:rPr>
          <w:rFonts w:ascii="Verdana;sans-serif" w:hAnsi="Verdana;sans-serif"/>
          <w:i/>
          <w:color w:val="000000"/>
          <w:sz w:val="20"/>
        </w:rPr>
      </w:pPr>
      <w:r>
        <w:rPr>
          <w:rFonts w:ascii="Verdana;sans-serif" w:hAnsi="Verdana;sans-serif"/>
          <w:i/>
          <w:color w:val="000000"/>
          <w:sz w:val="20"/>
        </w:rPr>
        <w:t>Re-election of Riad Sherif</w:t>
      </w:r>
    </w:p>
    <w:p>
      <w:pPr>
        <w:pStyle w:val="TextBody"/>
        <w:bidi w:val="0"/>
        <w:spacing w:before="167" w:after="283"/>
        <w:ind w:left="561" w:right="0" w:hanging="0"/>
        <w:jc w:val="both"/>
        <w:rPr>
          <w:rFonts w:ascii="Verdana" w:hAnsi="Verdana"/>
          <w:i/>
          <w:color w:val="000000"/>
          <w:sz w:val="20"/>
        </w:rPr>
      </w:pPr>
      <w:r>
        <w:rPr>
          <w:rFonts w:ascii="Verdana" w:hAnsi="Verdana"/>
          <w:i/>
          <w:color w:val="000000"/>
          <w:sz w:val="20"/>
        </w:rPr>
        <w:t>4.8.</w:t>
      </w:r>
    </w:p>
    <w:p>
      <w:pPr>
        <w:pStyle w:val="TextBody"/>
        <w:bidi w:val="0"/>
        <w:spacing w:before="167" w:after="283"/>
        <w:jc w:val="both"/>
        <w:rPr>
          <w:rFonts w:ascii="Verdana;sans-serif" w:hAnsi="Verdana;sans-serif"/>
          <w:i/>
          <w:color w:val="000000"/>
          <w:sz w:val="20"/>
        </w:rPr>
      </w:pPr>
      <w:r>
        <w:rPr>
          <w:rFonts w:ascii="Verdana;sans-serif" w:hAnsi="Verdana;sans-serif"/>
          <w:i/>
          <w:color w:val="000000"/>
          <w:sz w:val="20"/>
        </w:rPr>
        <w:t>Re-election of Robert K. Warner</w:t>
      </w:r>
    </w:p>
    <w:p>
      <w:pPr>
        <w:pStyle w:val="TextBody"/>
        <w:bidi w:val="0"/>
        <w:spacing w:before="167" w:after="283"/>
        <w:ind w:left="561" w:right="0" w:hanging="0"/>
        <w:jc w:val="both"/>
        <w:rPr>
          <w:rFonts w:ascii="Verdana" w:hAnsi="Verdana"/>
          <w:i/>
          <w:color w:val="000000"/>
          <w:sz w:val="20"/>
        </w:rPr>
      </w:pPr>
      <w:r>
        <w:rPr>
          <w:rFonts w:ascii="Verdana" w:hAnsi="Verdana"/>
          <w:i/>
          <w:color w:val="000000"/>
          <w:sz w:val="20"/>
        </w:rPr>
        <w:t>4.9.</w:t>
      </w:r>
    </w:p>
    <w:p>
      <w:pPr>
        <w:pStyle w:val="TextBody"/>
        <w:bidi w:val="0"/>
        <w:spacing w:before="167" w:after="283"/>
        <w:jc w:val="both"/>
        <w:rPr>
          <w:rFonts w:ascii="Verdana;sans-serif" w:hAnsi="Verdana;sans-serif"/>
          <w:i/>
          <w:color w:val="000000"/>
          <w:sz w:val="20"/>
        </w:rPr>
      </w:pPr>
      <w:r>
        <w:rPr>
          <w:rFonts w:ascii="Verdana;sans-serif" w:hAnsi="Verdana;sans-serif"/>
          <w:i/>
          <w:color w:val="000000"/>
          <w:sz w:val="20"/>
        </w:rPr>
        <w:t>Election of Gregory D. Perry</w:t>
      </w:r>
    </w:p>
    <w:p>
      <w:pPr>
        <w:pStyle w:val="TextBody"/>
        <w:bidi w:val="0"/>
        <w:spacing w:before="168" w:after="283"/>
        <w:ind w:left="1413" w:right="14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2 no. 2 and para. 3 no. 1 CO) and our articles of association, the General Meeting elects the Chairperson and the other members of the Board of Directors. The elections will be held on an individual basis.</w:t>
      </w:r>
    </w:p>
    <w:p>
      <w:pPr>
        <w:pStyle w:val="TextBody"/>
        <w:bidi w:val="0"/>
        <w:spacing w:before="168" w:after="283"/>
        <w:ind w:left="1413" w:right="147" w:hanging="0"/>
        <w:jc w:val="both"/>
        <w:rPr>
          <w:rFonts w:ascii="Verdana;sans-serif" w:hAnsi="Verdana;sans-serif"/>
          <w:color w:val="000000"/>
          <w:sz w:val="20"/>
        </w:rPr>
      </w:pPr>
      <w:r>
        <w:rPr>
          <w:rFonts w:ascii="Verdana;sans-serif" w:hAnsi="Verdana;sans-serif"/>
          <w:color w:val="000000"/>
          <w:sz w:val="20"/>
        </w:rPr>
        <w:t>Gregory D. Perry served as chief financial officer of Merus N.V. from June 2023 until January 2026, following its acquisition by Genmab in December 2025. Mr. Perry also served as audit committee chair at Merus from May 2016 to June 2023. From May 2018 until his retirement in April 2022, Mr. Perry served as the Chief Financial Officer at Finch Therapeutics Group. Mr. Perry served as the Chief Financial and Administrative Officer of Novelion Therapeutics Inc. from November 2016 to December 2017. Prior to Novelion, Mr. Perry was Chief Financial Officer of Aegerion Pharmaceuticals Inc. from July 2015 until its merger with Novelion in November 2016. He has also served as CFO of several additional biotechnology companies, and earlier in his career he held various financial leadership roles within ImmunoGen, Domantis Ltd., Transkaryotic Therapeutics, Honeywell and General Electric. Mr. Perry received a B.A. in Economics and Political Science from Amherst College.</w:t>
      </w:r>
    </w:p>
    <w:p>
      <w:pPr>
        <w:pStyle w:val="TextBody"/>
        <w:bidi w:val="0"/>
        <w:spacing w:before="118"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5.</w:t>
      </w:r>
    </w:p>
    <w:p>
      <w:pPr>
        <w:pStyle w:val="TextBody"/>
        <w:bidi w:val="0"/>
        <w:jc w:val="left"/>
        <w:rPr>
          <w:rFonts w:ascii="Verdana;sans-serif" w:hAnsi="Verdana;sans-serif"/>
          <w:b/>
          <w:color w:val="000000"/>
          <w:sz w:val="20"/>
        </w:rPr>
      </w:pPr>
      <w:r>
        <w:rPr>
          <w:rFonts w:ascii="Verdana;sans-serif" w:hAnsi="Verdana;sans-serif"/>
          <w:b/>
          <w:color w:val="000000"/>
          <w:sz w:val="20"/>
        </w:rPr>
        <w:t>ELECTION OF THE MEMBERS OF THE COMPENSATION COMMITTEE</w:t>
      </w:r>
    </w:p>
    <w:p>
      <w:pPr>
        <w:pStyle w:val="TextBody"/>
        <w:bidi w:val="0"/>
        <w:spacing w:before="167" w:after="283"/>
        <w:ind w:left="1413" w:right="144" w:hanging="0"/>
        <w:jc w:val="both"/>
        <w:rPr>
          <w:rFonts w:ascii="Verdana;sans-serif" w:hAnsi="Verdana;sans-serif"/>
          <w:color w:val="000000"/>
          <w:sz w:val="20"/>
        </w:rPr>
      </w:pPr>
      <w:r>
        <w:rPr>
          <w:rFonts w:ascii="Verdana;sans-serif" w:hAnsi="Verdana;sans-serif"/>
          <w:color w:val="000000"/>
          <w:sz w:val="20"/>
        </w:rPr>
        <w:t>The Board of Directors proposes the election of Lionel Carnot, Geraldine O’Keeffe and Gregory D. Perry as members of the Compensation Committee, each until the end of the 2027 Annual General Meeting.</w:t>
      </w:r>
    </w:p>
    <w:p>
      <w:pPr>
        <w:pStyle w:val="TextBody"/>
        <w:bidi w:val="0"/>
        <w:spacing w:before="124" w:after="283"/>
        <w:ind w:left="561" w:right="0" w:hanging="0"/>
        <w:jc w:val="both"/>
        <w:rPr>
          <w:rFonts w:ascii="Verdana" w:hAnsi="Verdana"/>
          <w:i/>
          <w:color w:val="000000"/>
          <w:sz w:val="20"/>
        </w:rPr>
      </w:pPr>
      <w:r>
        <w:rPr>
          <w:rFonts w:ascii="Verdana" w:hAnsi="Verdana"/>
          <w:i/>
          <w:color w:val="000000"/>
          <w:sz w:val="20"/>
        </w:rPr>
        <w:t>5.1.</w:t>
      </w:r>
    </w:p>
    <w:p>
      <w:pPr>
        <w:pStyle w:val="TextBody"/>
        <w:bidi w:val="0"/>
        <w:spacing w:before="124" w:after="283"/>
        <w:jc w:val="both"/>
        <w:rPr>
          <w:rFonts w:ascii="Verdana;sans-serif" w:hAnsi="Verdana;sans-serif"/>
          <w:i/>
          <w:color w:val="000000"/>
          <w:sz w:val="20"/>
        </w:rPr>
      </w:pPr>
      <w:r>
        <w:rPr>
          <w:rFonts w:ascii="Verdana;sans-serif" w:hAnsi="Verdana;sans-serif"/>
          <w:i/>
          <w:color w:val="000000"/>
          <w:sz w:val="20"/>
        </w:rPr>
        <w:t>Re-election of Lionel Carnot</w:t>
      </w:r>
    </w:p>
    <w:p>
      <w:pPr>
        <w:pStyle w:val="TextBody"/>
        <w:bidi w:val="0"/>
        <w:spacing w:before="165" w:after="283"/>
        <w:ind w:left="561" w:right="0" w:hanging="0"/>
        <w:jc w:val="both"/>
        <w:rPr>
          <w:rFonts w:ascii="Verdana" w:hAnsi="Verdana"/>
          <w:i/>
          <w:color w:val="000000"/>
          <w:sz w:val="20"/>
        </w:rPr>
      </w:pPr>
      <w:r>
        <w:rPr>
          <w:rFonts w:ascii="Verdana" w:hAnsi="Verdana"/>
          <w:i/>
          <w:color w:val="000000"/>
          <w:sz w:val="20"/>
        </w:rPr>
        <w:t>5.2.</w:t>
      </w:r>
    </w:p>
    <w:p>
      <w:pPr>
        <w:pStyle w:val="TextBody"/>
        <w:bidi w:val="0"/>
        <w:spacing w:before="165" w:after="283"/>
        <w:jc w:val="both"/>
        <w:rPr>
          <w:rFonts w:ascii="Verdana;sans-serif" w:hAnsi="Verdana;sans-serif"/>
          <w:i/>
          <w:color w:val="000000"/>
          <w:sz w:val="20"/>
        </w:rPr>
      </w:pPr>
      <w:r>
        <w:rPr>
          <w:rFonts w:ascii="Verdana;sans-serif" w:hAnsi="Verdana;sans-serif"/>
          <w:i/>
          <w:color w:val="000000"/>
          <w:sz w:val="20"/>
        </w:rPr>
        <w:t>Election of Geraldine O’Keeffe</w:t>
      </w:r>
    </w:p>
    <w:p>
      <w:pPr>
        <w:pStyle w:val="TextBody"/>
        <w:bidi w:val="0"/>
        <w:spacing w:before="168" w:after="283"/>
        <w:ind w:left="561" w:right="0" w:hanging="0"/>
        <w:jc w:val="both"/>
        <w:rPr>
          <w:rFonts w:ascii="Verdana" w:hAnsi="Verdana"/>
          <w:i/>
          <w:color w:val="000000"/>
          <w:sz w:val="20"/>
        </w:rPr>
      </w:pPr>
      <w:r>
        <w:rPr>
          <w:rFonts w:ascii="Verdana" w:hAnsi="Verdana"/>
          <w:i/>
          <w:color w:val="000000"/>
          <w:sz w:val="20"/>
        </w:rPr>
        <w:t>5.3.</w:t>
      </w:r>
    </w:p>
    <w:p>
      <w:pPr>
        <w:pStyle w:val="TextBody"/>
        <w:bidi w:val="0"/>
        <w:spacing w:before="168" w:after="283"/>
        <w:jc w:val="both"/>
        <w:rPr>
          <w:rFonts w:ascii="Verdana;sans-serif" w:hAnsi="Verdana;sans-serif"/>
          <w:i/>
          <w:color w:val="000000"/>
          <w:sz w:val="20"/>
        </w:rPr>
      </w:pPr>
      <w:r>
        <w:rPr>
          <w:rFonts w:ascii="Verdana;sans-serif" w:hAnsi="Verdana;sans-serif"/>
          <w:i/>
          <w:color w:val="000000"/>
          <w:sz w:val="20"/>
        </w:rPr>
        <w:t>Election of Gregory D. Perry</w:t>
      </w:r>
    </w:p>
    <w:p>
      <w:pPr>
        <w:pStyle w:val="TextBody"/>
        <w:bidi w:val="0"/>
        <w:spacing w:before="167" w:after="283"/>
        <w:ind w:left="1413" w:right="13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3 no. 2 CO) and our articles of association, the General Meeting elects the members of the Compensation Committee. The elections will be held on an individual basis. The Board of Directors intends to appoint Lionel Carnot, subject to his re-election, as chairperson of the Compensation Committee.</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7</w:t>
      </w:r>
    </w:p>
    <w:p>
      <w:pPr>
        <w:pStyle w:val="TextBody"/>
        <w:bidi w:val="0"/>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6.</w:t>
      </w:r>
    </w:p>
    <w:p>
      <w:pPr>
        <w:pStyle w:val="TextBody"/>
        <w:bidi w:val="0"/>
        <w:jc w:val="left"/>
        <w:rPr>
          <w:rFonts w:ascii="Verdana;sans-serif" w:hAnsi="Verdana;sans-serif"/>
          <w:b/>
          <w:color w:val="000000"/>
          <w:sz w:val="20"/>
        </w:rPr>
      </w:pPr>
      <w:r>
        <w:rPr>
          <w:rFonts w:ascii="Verdana;sans-serif" w:hAnsi="Verdana;sans-serif"/>
          <w:b/>
          <w:color w:val="000000"/>
          <w:sz w:val="20"/>
        </w:rPr>
        <w:t>RE-ELECTION OF THE AUDITORS</w:t>
      </w:r>
    </w:p>
    <w:p>
      <w:pPr>
        <w:pStyle w:val="TextBody"/>
        <w:bidi w:val="0"/>
        <w:spacing w:before="168" w:after="283"/>
        <w:ind w:left="1413" w:right="142" w:hanging="0"/>
        <w:jc w:val="both"/>
        <w:rPr>
          <w:rFonts w:ascii="Verdana;sans-serif" w:hAnsi="Verdana;sans-serif"/>
          <w:color w:val="000000"/>
          <w:sz w:val="20"/>
        </w:rPr>
      </w:pPr>
      <w:r>
        <w:rPr>
          <w:rFonts w:ascii="Verdana;sans-serif" w:hAnsi="Verdana;sans-serif"/>
          <w:color w:val="000000"/>
          <w:sz w:val="20"/>
        </w:rPr>
        <w:t>The Board of Directors proposes to re-elect PricewaterhouseCoopers SA, in Lausanne, Switzerland, as the Company's statutory auditors for a term of office of one year.</w:t>
      </w:r>
    </w:p>
    <w:p>
      <w:pPr>
        <w:pStyle w:val="TextBody"/>
        <w:bidi w:val="0"/>
        <w:spacing w:before="118" w:after="283"/>
        <w:ind w:left="1413" w:right="14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2 no. 2 CO) and our articles of association, the General Meeting elects the auditors. PricewaterhouseCoopers SA confirmed its independence required for this mandate.</w:t>
      </w:r>
    </w:p>
    <w:p>
      <w:pPr>
        <w:pStyle w:val="TextBody"/>
        <w:bidi w:val="0"/>
        <w:spacing w:before="117" w:after="283"/>
        <w:jc w:val="left"/>
        <w:rPr/>
      </w:pPr>
      <w:r>
        <w:rPr/>
        <w:t> </w:t>
      </w:r>
    </w:p>
    <w:p>
      <w:pPr>
        <w:pStyle w:val="TextBody"/>
        <w:bidi w:val="0"/>
        <w:spacing w:before="1" w:after="283"/>
        <w:ind w:left="561" w:right="0" w:hanging="0"/>
        <w:jc w:val="left"/>
        <w:rPr>
          <w:rFonts w:ascii="Verdana" w:hAnsi="Verdana"/>
          <w:b/>
          <w:color w:val="000000"/>
          <w:sz w:val="20"/>
        </w:rPr>
      </w:pPr>
      <w:r>
        <w:rPr>
          <w:rFonts w:ascii="Verdana" w:hAnsi="Verdana"/>
          <w:b/>
          <w:color w:val="000000"/>
          <w:sz w:val="20"/>
        </w:rPr>
        <w:t>7.</w:t>
      </w:r>
    </w:p>
    <w:p>
      <w:pPr>
        <w:pStyle w:val="TextBody"/>
        <w:bidi w:val="0"/>
        <w:spacing w:before="1" w:after="283"/>
        <w:jc w:val="left"/>
        <w:rPr>
          <w:rFonts w:ascii="Verdana;sans-serif" w:hAnsi="Verdana;sans-serif"/>
          <w:b/>
          <w:color w:val="000000"/>
          <w:sz w:val="20"/>
        </w:rPr>
      </w:pPr>
      <w:r>
        <w:rPr>
          <w:rFonts w:ascii="Verdana;sans-serif" w:hAnsi="Verdana;sans-serif"/>
          <w:b/>
          <w:color w:val="000000"/>
          <w:sz w:val="20"/>
        </w:rPr>
        <w:t>ELECTION OF THE INDEPENDENT PROXY</w:t>
      </w:r>
    </w:p>
    <w:p>
      <w:pPr>
        <w:pStyle w:val="TextBody"/>
        <w:bidi w:val="0"/>
        <w:spacing w:before="167" w:after="283"/>
        <w:ind w:left="1412" w:right="147" w:hanging="0"/>
        <w:jc w:val="both"/>
        <w:rPr>
          <w:rFonts w:ascii="Verdana;sans-serif" w:hAnsi="Verdana;sans-serif"/>
          <w:color w:val="000000"/>
          <w:sz w:val="20"/>
        </w:rPr>
      </w:pPr>
      <w:r>
        <w:rPr>
          <w:rFonts w:ascii="Verdana;sans-serif" w:hAnsi="Verdana;sans-serif"/>
          <w:color w:val="000000"/>
          <w:sz w:val="20"/>
        </w:rPr>
        <w:t>The Board of Directors proposes to elect Blum &amp; Partner AG, in Zug, Switzerland, as the Company's independent proxy until the end of the 2027 Annual General Meeting.</w:t>
      </w:r>
    </w:p>
    <w:p>
      <w:pPr>
        <w:pStyle w:val="TextBody"/>
        <w:bidi w:val="0"/>
        <w:spacing w:before="122" w:after="283"/>
        <w:ind w:left="1413" w:right="14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698 para. 3 no. 3 CO) and our articles of association, the General Meeting elects the independent proxy. Blum &amp; Partner AG confirmed its independence required for this mandate.</w:t>
      </w:r>
    </w:p>
    <w:p>
      <w:pPr>
        <w:pStyle w:val="TextBody"/>
        <w:bidi w:val="0"/>
        <w:spacing w:before="97" w:after="283"/>
        <w:jc w:val="left"/>
        <w:rPr/>
      </w:pPr>
      <w:r>
        <w:rPr/>
        <w:t> </w:t>
      </w:r>
    </w:p>
    <w:p>
      <w:pPr>
        <w:pStyle w:val="TextBody"/>
        <w:bidi w:val="0"/>
        <w:spacing w:before="0" w:after="0"/>
        <w:ind w:left="561" w:right="144" w:hanging="0"/>
        <w:jc w:val="both"/>
        <w:rPr>
          <w:rFonts w:ascii="Verdana" w:hAnsi="Verdana"/>
          <w:b/>
          <w:color w:val="000000"/>
          <w:sz w:val="20"/>
        </w:rPr>
      </w:pPr>
      <w:r>
        <w:rPr>
          <w:rFonts w:ascii="Verdana" w:hAnsi="Verdana"/>
          <w:b/>
          <w:color w:val="000000"/>
          <w:sz w:val="20"/>
        </w:rPr>
        <w:t>8.</w:t>
      </w:r>
    </w:p>
    <w:p>
      <w:pPr>
        <w:pStyle w:val="TextBody"/>
        <w:bidi w:val="0"/>
        <w:spacing w:before="0" w:after="0"/>
        <w:jc w:val="both"/>
        <w:rPr>
          <w:rFonts w:ascii="Verdana;sans-serif" w:hAnsi="Verdana;sans-serif"/>
          <w:b/>
          <w:color w:val="000000"/>
          <w:sz w:val="20"/>
        </w:rPr>
      </w:pPr>
      <w:r>
        <w:rPr>
          <w:rFonts w:ascii="Verdana;sans-serif" w:hAnsi="Verdana;sans-serif"/>
          <w:b/>
          <w:color w:val="000000"/>
          <w:sz w:val="20"/>
        </w:rPr>
        <w:t>COMPENSATION FOR THE NON-EXECUTIVE MEMBERS OF THE BOARD OF DIRECTORS</w:t>
      </w:r>
    </w:p>
    <w:p>
      <w:pPr>
        <w:pStyle w:val="TextBody"/>
        <w:bidi w:val="0"/>
        <w:spacing w:before="118" w:after="283"/>
        <w:ind w:left="561" w:right="144" w:hanging="0"/>
        <w:jc w:val="both"/>
        <w:rPr>
          <w:rFonts w:ascii="Verdana" w:hAnsi="Verdana"/>
          <w:i/>
          <w:color w:val="000000"/>
          <w:sz w:val="20"/>
        </w:rPr>
      </w:pPr>
      <w:r>
        <w:rPr>
          <w:rFonts w:ascii="Verdana" w:hAnsi="Verdana"/>
          <w:i/>
          <w:color w:val="000000"/>
          <w:sz w:val="20"/>
        </w:rPr>
        <w:t>8.1.</w:t>
      </w:r>
    </w:p>
    <w:p>
      <w:pPr>
        <w:pStyle w:val="TextBody"/>
        <w:bidi w:val="0"/>
        <w:spacing w:before="118" w:after="283"/>
        <w:jc w:val="both"/>
        <w:rPr>
          <w:rFonts w:ascii="Verdana;sans-serif" w:hAnsi="Verdana;sans-serif"/>
          <w:i/>
          <w:color w:val="000000"/>
          <w:sz w:val="20"/>
        </w:rPr>
      </w:pPr>
      <w:r>
        <w:rPr>
          <w:rFonts w:ascii="Verdana;sans-serif" w:hAnsi="Verdana;sans-serif"/>
          <w:i/>
          <w:color w:val="000000"/>
          <w:sz w:val="20"/>
        </w:rPr>
        <w:t>Vote on Total Fixed (Non-Performance-Related) Compensation for Non-Executive Members of the Board of Directors until the end of the Company's 2027 Annual General Meeting</w:t>
      </w:r>
    </w:p>
    <w:p>
      <w:pPr>
        <w:pStyle w:val="TextBody"/>
        <w:bidi w:val="0"/>
        <w:spacing w:before="104" w:after="283"/>
        <w:ind w:left="1413" w:right="137" w:hanging="0"/>
        <w:jc w:val="both"/>
        <w:rPr>
          <w:rFonts w:ascii="Verdana;sans-serif" w:hAnsi="Verdana;sans-serif"/>
          <w:color w:val="000000"/>
          <w:sz w:val="20"/>
        </w:rPr>
      </w:pPr>
      <w:r>
        <w:rPr>
          <w:rFonts w:ascii="Verdana;sans-serif" w:hAnsi="Verdana;sans-serif"/>
          <w:color w:val="000000"/>
          <w:sz w:val="20"/>
        </w:rPr>
        <w:t>The Board of Directors proposes the approval of a total maximum amount of fixed (non-performance-related) compensation for eight non-executive members of the Board of Directors for the period from the Company's 2026 Annual General Meeting to the Company's 2027 Annual General Meeting of USD 572,000.</w:t>
      </w:r>
    </w:p>
    <w:p>
      <w:pPr>
        <w:pStyle w:val="TextBody"/>
        <w:bidi w:val="0"/>
        <w:spacing w:before="139" w:after="283"/>
        <w:ind w:left="561" w:right="144" w:hanging="0"/>
        <w:jc w:val="both"/>
        <w:rPr>
          <w:rFonts w:ascii="Verdana" w:hAnsi="Verdana"/>
          <w:i/>
          <w:color w:val="000000"/>
          <w:sz w:val="20"/>
        </w:rPr>
      </w:pPr>
      <w:r>
        <w:rPr>
          <w:rFonts w:ascii="Verdana" w:hAnsi="Verdana"/>
          <w:i/>
          <w:color w:val="000000"/>
          <w:sz w:val="20"/>
        </w:rPr>
        <w:t>8.2.</w:t>
      </w:r>
    </w:p>
    <w:p>
      <w:pPr>
        <w:pStyle w:val="TextBody"/>
        <w:bidi w:val="0"/>
        <w:spacing w:before="139" w:after="283"/>
        <w:jc w:val="both"/>
        <w:rPr>
          <w:rFonts w:ascii="Verdana;sans-serif" w:hAnsi="Verdana;sans-serif"/>
          <w:i/>
          <w:color w:val="000000"/>
          <w:sz w:val="20"/>
        </w:rPr>
      </w:pPr>
      <w:r>
        <w:rPr>
          <w:rFonts w:ascii="Verdana;sans-serif" w:hAnsi="Verdana;sans-serif"/>
          <w:i/>
          <w:color w:val="000000"/>
          <w:sz w:val="20"/>
        </w:rPr>
        <w:t>Vote on Equity or Equity Based Compensation for Non-Executive Members of the Board of Directors until the end of the Company's 2027 Annual General Meeting</w:t>
      </w:r>
    </w:p>
    <w:p>
      <w:pPr>
        <w:pStyle w:val="TextBody"/>
        <w:bidi w:val="0"/>
        <w:spacing w:before="101" w:after="283"/>
        <w:ind w:left="1413" w:right="139" w:hanging="0"/>
        <w:jc w:val="both"/>
        <w:rPr>
          <w:rFonts w:ascii="Verdana;sans-serif" w:hAnsi="Verdana;sans-serif"/>
          <w:color w:val="000000"/>
          <w:sz w:val="20"/>
        </w:rPr>
      </w:pPr>
      <w:r>
        <w:rPr>
          <w:rFonts w:ascii="Verdana;sans-serif" w:hAnsi="Verdana;sans-serif"/>
          <w:color w:val="000000"/>
          <w:sz w:val="20"/>
        </w:rPr>
        <w:t>The Board of Directors proposes the approval of the grant of options with share equivalent, shares or equity linked instruments for eight non-executive members of the Board of Directors for the period until the end of the Company's 2027 Annual General Meeting, with a then current maximum value of all equity or equity linked instruments of USD 2,150,000 (excluding employer social security and pension contributions).</w:t>
      </w:r>
    </w:p>
    <w:p>
      <w:pPr>
        <w:pStyle w:val="TextBody"/>
        <w:bidi w:val="0"/>
        <w:jc w:val="left"/>
        <w:rPr/>
      </w:pPr>
      <w:r>
        <w:rPr/>
        <w:t> </w:t>
      </w:r>
    </w:p>
    <w:p>
      <w:pPr>
        <w:pStyle w:val="TextBody"/>
        <w:bidi w:val="0"/>
        <w:ind w:left="1413" w:right="137" w:hanging="0"/>
        <w:jc w:val="both"/>
        <w:rPr>
          <w:rFonts w:ascii="Times New Roman" w:hAnsi="Times New Roman"/>
          <w:sz w:val="20"/>
        </w:rPr>
      </w:pPr>
      <w:r>
        <w:rPr>
          <w:rFonts w:ascii="Verdana;sans-serif" w:hAnsi="Verdana;sans-serif"/>
          <w:b/>
          <w:color w:val="000000"/>
          <w:sz w:val="20"/>
        </w:rPr>
        <w:t xml:space="preserve">Explanation (agenda items 8.1 and 8.2): </w:t>
      </w:r>
      <w:r>
        <w:rPr>
          <w:rFonts w:ascii="Verdana;sans-serif" w:hAnsi="Verdana;sans-serif"/>
          <w:color w:val="000000"/>
          <w:sz w:val="20"/>
        </w:rPr>
        <w:t xml:space="preserve">Pursuant to Swiss law (art. 698 para. 3 no. 4 CO) and our articles of association, the General Meeting resolves on the approval of the maximum compensation of the Board of Directors broken down into fixed (non-performance related) compensation and the equity or equity-based compensation. Further information on the Company's compensation principles for the Board of Directors can be found in our articles of association and in the 2025 Compensation Report, which is available for download at </w:t>
      </w:r>
      <w:r>
        <w:rPr>
          <w:rFonts w:ascii="Verdana;sans-serif" w:hAnsi="Verdana;sans-serif"/>
          <w:sz w:val="20"/>
        </w:rPr>
        <w:t>https://investors.oculis.com/events-presentations.</w:t>
      </w:r>
    </w:p>
    <w:p>
      <w:pPr>
        <w:pStyle w:val="TextBody"/>
        <w:bidi w:val="0"/>
        <w:spacing w:before="140"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9.</w:t>
      </w:r>
    </w:p>
    <w:p>
      <w:pPr>
        <w:pStyle w:val="TextBody"/>
        <w:bidi w:val="0"/>
        <w:spacing w:before="0" w:after="0"/>
        <w:jc w:val="left"/>
        <w:rPr>
          <w:rFonts w:ascii="Verdana;sans-serif" w:hAnsi="Verdana;sans-serif"/>
          <w:b/>
          <w:color w:val="000000"/>
          <w:sz w:val="20"/>
        </w:rPr>
      </w:pPr>
      <w:r>
        <w:rPr>
          <w:rFonts w:ascii="Verdana;sans-serif" w:hAnsi="Verdana;sans-serif"/>
          <w:b/>
          <w:color w:val="000000"/>
          <w:sz w:val="20"/>
        </w:rPr>
        <w:t>COMPENSATION FOR THE MEMBERS OF THE EXECUTIVE COMMITTEE</w:t>
      </w:r>
    </w:p>
    <w:p>
      <w:pPr>
        <w:pStyle w:val="TextBody"/>
        <w:bidi w:val="0"/>
        <w:spacing w:before="168" w:after="283"/>
        <w:ind w:left="561" w:right="144" w:hanging="0"/>
        <w:jc w:val="both"/>
        <w:rPr>
          <w:rFonts w:ascii="Verdana" w:hAnsi="Verdana"/>
          <w:i/>
          <w:color w:val="000000"/>
          <w:sz w:val="20"/>
        </w:rPr>
      </w:pPr>
      <w:r>
        <w:rPr>
          <w:rFonts w:ascii="Verdana" w:hAnsi="Verdana"/>
          <w:i/>
          <w:color w:val="000000"/>
          <w:sz w:val="20"/>
        </w:rPr>
        <w:t>9.1.</w:t>
      </w:r>
    </w:p>
    <w:p>
      <w:pPr>
        <w:pStyle w:val="TextBody"/>
        <w:bidi w:val="0"/>
        <w:spacing w:before="168" w:after="283"/>
        <w:jc w:val="both"/>
        <w:rPr>
          <w:rFonts w:ascii="Verdana;sans-serif" w:hAnsi="Verdana;sans-serif"/>
          <w:i/>
          <w:color w:val="000000"/>
          <w:sz w:val="20"/>
        </w:rPr>
      </w:pPr>
      <w:r>
        <w:rPr>
          <w:rFonts w:ascii="Verdana;sans-serif" w:hAnsi="Verdana;sans-serif"/>
          <w:i/>
          <w:color w:val="000000"/>
          <w:sz w:val="20"/>
        </w:rPr>
        <w:t>Vote on Fixed (Non-Performance-Related) Compensation for Members of the Executive Committee payable in 2027</w:t>
      </w:r>
    </w:p>
    <w:p>
      <w:pPr>
        <w:pStyle w:val="TextBody"/>
        <w:bidi w:val="0"/>
        <w:spacing w:before="105" w:after="283"/>
        <w:ind w:left="1413" w:right="137" w:hanging="0"/>
        <w:jc w:val="both"/>
        <w:rPr>
          <w:rFonts w:ascii="Verdana;sans-serif" w:hAnsi="Verdana;sans-serif"/>
          <w:color w:val="000000"/>
          <w:sz w:val="20"/>
        </w:rPr>
      </w:pPr>
      <w:r>
        <w:rPr>
          <w:rFonts w:ascii="Verdana;sans-serif" w:hAnsi="Verdana;sans-serif"/>
          <w:color w:val="000000"/>
          <w:sz w:val="20"/>
        </w:rPr>
        <w:t>The Board of Directors proposes to approve a total maximum amount of fixed (non-performance-related) compensation for three members of the Executive Committee for the calendar year 2027 and payable in 2027 of USD 2,500,000.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8</w:t>
      </w:r>
    </w:p>
    <w:p>
      <w:pPr>
        <w:pStyle w:val="TextBody"/>
        <w:bidi w:val="0"/>
        <w:jc w:val="left"/>
        <w:rPr/>
      </w:pPr>
      <w:r>
        <w:rPr/>
        <w:t> </w:t>
      </w:r>
    </w:p>
    <w:p>
      <w:pPr>
        <w:pStyle w:val="TextBody"/>
        <w:bidi w:val="0"/>
        <w:spacing w:before="139" w:after="283"/>
        <w:ind w:left="561" w:right="158" w:hanging="0"/>
        <w:jc w:val="both"/>
        <w:rPr>
          <w:rFonts w:ascii="Verdana" w:hAnsi="Verdana"/>
          <w:i/>
          <w:color w:val="000000"/>
          <w:sz w:val="20"/>
        </w:rPr>
      </w:pPr>
      <w:r>
        <w:rPr>
          <w:rFonts w:ascii="Verdana" w:hAnsi="Verdana"/>
          <w:i/>
          <w:color w:val="000000"/>
          <w:sz w:val="20"/>
        </w:rPr>
        <w:t>9.2.</w:t>
      </w:r>
    </w:p>
    <w:p>
      <w:pPr>
        <w:pStyle w:val="TextBody"/>
        <w:bidi w:val="0"/>
        <w:spacing w:before="139" w:after="283"/>
        <w:jc w:val="both"/>
        <w:rPr>
          <w:rFonts w:ascii="Verdana;sans-serif" w:hAnsi="Verdana;sans-serif"/>
          <w:i/>
          <w:color w:val="000000"/>
          <w:sz w:val="20"/>
        </w:rPr>
      </w:pPr>
      <w:r>
        <w:rPr>
          <w:rFonts w:ascii="Verdana;sans-serif" w:hAnsi="Verdana;sans-serif"/>
          <w:i/>
          <w:color w:val="000000"/>
          <w:sz w:val="20"/>
        </w:rPr>
        <w:t>Vote on Variable Compensation for Members of the Executive Committee payable in 2027</w:t>
      </w:r>
    </w:p>
    <w:p>
      <w:pPr>
        <w:pStyle w:val="TextBody"/>
        <w:bidi w:val="0"/>
        <w:spacing w:before="105" w:after="283"/>
        <w:ind w:left="1413" w:right="149" w:hanging="0"/>
        <w:jc w:val="both"/>
        <w:rPr>
          <w:rFonts w:ascii="Verdana;sans-serif" w:hAnsi="Verdana;sans-serif"/>
          <w:color w:val="000000"/>
          <w:sz w:val="20"/>
        </w:rPr>
      </w:pPr>
      <w:r>
        <w:rPr>
          <w:rFonts w:ascii="Verdana;sans-serif" w:hAnsi="Verdana;sans-serif"/>
          <w:color w:val="000000"/>
          <w:sz w:val="20"/>
        </w:rPr>
        <w:t>The Board of Directors proposes to approve a total maximum amount of variable compensation for three members of the Executive Committee for the calendar year 2026 and payable in 2027 of USD 1,800,000.</w:t>
      </w:r>
    </w:p>
    <w:p>
      <w:pPr>
        <w:pStyle w:val="TextBody"/>
        <w:bidi w:val="0"/>
        <w:spacing w:before="138" w:after="283"/>
        <w:ind w:left="561" w:right="0" w:hanging="0"/>
        <w:jc w:val="both"/>
        <w:rPr>
          <w:rFonts w:ascii="Verdana" w:hAnsi="Verdana"/>
          <w:i/>
          <w:color w:val="000000"/>
          <w:sz w:val="20"/>
        </w:rPr>
      </w:pPr>
      <w:r>
        <w:rPr>
          <w:rFonts w:ascii="Verdana" w:hAnsi="Verdana"/>
          <w:i/>
          <w:color w:val="000000"/>
          <w:sz w:val="20"/>
        </w:rPr>
        <w:t>9.3.</w:t>
      </w:r>
    </w:p>
    <w:p>
      <w:pPr>
        <w:pStyle w:val="TextBody"/>
        <w:bidi w:val="0"/>
        <w:spacing w:before="138" w:after="283"/>
        <w:jc w:val="both"/>
        <w:rPr>
          <w:rFonts w:ascii="Verdana;sans-serif" w:hAnsi="Verdana;sans-serif"/>
          <w:i/>
          <w:color w:val="000000"/>
          <w:sz w:val="20"/>
        </w:rPr>
      </w:pPr>
      <w:r>
        <w:rPr>
          <w:rFonts w:ascii="Verdana;sans-serif" w:hAnsi="Verdana;sans-serif"/>
          <w:i/>
          <w:color w:val="000000"/>
          <w:sz w:val="20"/>
        </w:rPr>
        <w:t>Vote on Equity Based Compensation for Members of the Executive Committee for 2027</w:t>
      </w:r>
    </w:p>
    <w:p>
      <w:pPr>
        <w:pStyle w:val="TextBody"/>
        <w:bidi w:val="0"/>
        <w:spacing w:before="150" w:after="283"/>
        <w:ind w:left="1412" w:right="147" w:hanging="0"/>
        <w:jc w:val="both"/>
        <w:rPr>
          <w:rFonts w:ascii="Verdana;sans-serif" w:hAnsi="Verdana;sans-serif"/>
          <w:color w:val="000000"/>
          <w:sz w:val="20"/>
        </w:rPr>
      </w:pPr>
      <w:r>
        <w:rPr>
          <w:rFonts w:ascii="Verdana;sans-serif" w:hAnsi="Verdana;sans-serif"/>
          <w:color w:val="000000"/>
          <w:sz w:val="20"/>
        </w:rPr>
        <w:t>The Board of Directors proposes to approve the grant of options with share equivalent, shares or equity linked instruments for three members of the Executive Committee for grants until the end of the calendar year 2027, with a then current maximum value of all options, shares or equity linked instruments of USD 18,000,000 (excluding employer social security and pension contributions).</w:t>
      </w:r>
    </w:p>
    <w:p>
      <w:pPr>
        <w:pStyle w:val="TextBody"/>
        <w:bidi w:val="0"/>
        <w:spacing w:before="80" w:after="283"/>
        <w:jc w:val="left"/>
        <w:rPr/>
      </w:pPr>
      <w:r>
        <w:rPr/>
        <w:t> </w:t>
      </w:r>
    </w:p>
    <w:p>
      <w:pPr>
        <w:pStyle w:val="TextBody"/>
        <w:bidi w:val="0"/>
        <w:ind w:left="1413" w:right="140" w:hanging="0"/>
        <w:jc w:val="both"/>
        <w:rPr>
          <w:rFonts w:ascii="Times New Roman" w:hAnsi="Times New Roman"/>
          <w:sz w:val="20"/>
        </w:rPr>
      </w:pPr>
      <w:r>
        <w:rPr>
          <w:rFonts w:ascii="Verdana;sans-serif" w:hAnsi="Verdana;sans-serif"/>
          <w:b/>
          <w:color w:val="000000"/>
          <w:sz w:val="20"/>
        </w:rPr>
        <w:t xml:space="preserve">Explanation (agenda items 9.1, 9.2 and 9.3): </w:t>
      </w:r>
      <w:r>
        <w:rPr>
          <w:rFonts w:ascii="Verdana;sans-serif" w:hAnsi="Verdana;sans-serif"/>
          <w:color w:val="000000"/>
          <w:sz w:val="20"/>
        </w:rPr>
        <w:t xml:space="preserve">Pursuant to Swiss law (art. 698 para. 3 no. 4 CO) and our articles of association, the General Meeting resolves on the approval of the maximum compensation for the Executive Committee broken down into fixed (non-performance related) compensation, variable compensation and equity-based compensation. Further information on the Company's compensation principles for the Executive Committee can be found in our articles of association and in the 2025 Compensation Report, which is available for download at </w:t>
      </w:r>
      <w:r>
        <w:rPr>
          <w:rFonts w:ascii="Verdana;sans-serif" w:hAnsi="Verdana;sans-serif"/>
          <w:sz w:val="20"/>
        </w:rPr>
        <w:t>https://investors.oculis.com</w:t>
      </w:r>
      <w:r>
        <w:rPr>
          <w:rFonts w:ascii="Verdana;sans-serif" w:hAnsi="Verdana;sans-serif"/>
          <w:color w:val="000000"/>
          <w:sz w:val="20"/>
        </w:rPr>
        <w:t>/events-presentations.</w:t>
      </w:r>
    </w:p>
    <w:p>
      <w:pPr>
        <w:pStyle w:val="TextBody"/>
        <w:bidi w:val="0"/>
        <w:spacing w:before="181"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10.</w:t>
      </w:r>
    </w:p>
    <w:p>
      <w:pPr>
        <w:pStyle w:val="TextBody"/>
        <w:bidi w:val="0"/>
        <w:jc w:val="left"/>
        <w:rPr>
          <w:rFonts w:ascii="Verdana;sans-serif" w:hAnsi="Verdana;sans-serif"/>
          <w:b/>
          <w:color w:val="000000"/>
          <w:sz w:val="20"/>
        </w:rPr>
      </w:pPr>
      <w:r>
        <w:rPr>
          <w:rFonts w:ascii="Verdana;sans-serif" w:hAnsi="Verdana;sans-serif"/>
          <w:b/>
          <w:color w:val="000000"/>
          <w:sz w:val="20"/>
        </w:rPr>
        <w:t>NON-BINDING ADVISORY VOTE ON THE 2025 COMPENSATION REPORT</w:t>
      </w:r>
    </w:p>
    <w:p>
      <w:pPr>
        <w:pStyle w:val="TextBody"/>
        <w:bidi w:val="0"/>
        <w:spacing w:before="165" w:after="283"/>
        <w:ind w:left="1413" w:right="136" w:hanging="0"/>
        <w:jc w:val="both"/>
        <w:rPr>
          <w:rFonts w:ascii="Verdana;sans-serif" w:hAnsi="Verdana;sans-serif"/>
          <w:color w:val="000000"/>
          <w:sz w:val="20"/>
        </w:rPr>
      </w:pPr>
      <w:r>
        <w:rPr>
          <w:rFonts w:ascii="Verdana;sans-serif" w:hAnsi="Verdana;sans-serif"/>
          <w:color w:val="000000"/>
          <w:sz w:val="20"/>
        </w:rPr>
        <w:t>The Board of Directors proposes the approval on a consultative basis (non-binding advisory vote) of the 2025 Compensation Report.</w:t>
      </w:r>
    </w:p>
    <w:p>
      <w:pPr>
        <w:pStyle w:val="TextBody"/>
        <w:bidi w:val="0"/>
        <w:spacing w:before="118" w:after="283"/>
        <w:ind w:left="1413" w:right="135"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735 para. 3 no. 4 CO), the Board of Directors must submit the compensation report to the General Meeting for a consultative (non-binding) vote</w:t>
      </w:r>
      <w:r>
        <w:rPr>
          <w:rFonts w:ascii="Times New Roman" w:hAnsi="Times New Roman"/>
          <w:color w:val="000000"/>
          <w:sz w:val="20"/>
        </w:rPr>
        <w:t xml:space="preserve">, </w:t>
      </w:r>
      <w:r>
        <w:rPr>
          <w:rFonts w:ascii="Verdana;sans-serif" w:hAnsi="Verdana;sans-serif"/>
          <w:color w:val="000000"/>
          <w:sz w:val="20"/>
        </w:rPr>
        <w:t xml:space="preserve">if the shareholders vote on variable compensation on a prospective basis. The 2025 Compensation Report is available for download at </w:t>
      </w:r>
      <w:r>
        <w:rPr>
          <w:rFonts w:ascii="Verdana;sans-serif" w:hAnsi="Verdana;sans-serif"/>
          <w:sz w:val="20"/>
        </w:rPr>
        <w:t>https://investors.oculis.com</w:t>
      </w:r>
      <w:r>
        <w:rPr>
          <w:rFonts w:ascii="Verdana;sans-serif" w:hAnsi="Verdana;sans-serif"/>
          <w:color w:val="000000"/>
          <w:sz w:val="20"/>
        </w:rPr>
        <w:t>/events-presentations.</w:t>
      </w:r>
    </w:p>
    <w:p>
      <w:pPr>
        <w:pStyle w:val="TextBody"/>
        <w:bidi w:val="0"/>
        <w:spacing w:before="162"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11.</w:t>
      </w:r>
    </w:p>
    <w:p>
      <w:pPr>
        <w:pStyle w:val="TextBody"/>
        <w:bidi w:val="0"/>
        <w:jc w:val="left"/>
        <w:rPr>
          <w:rFonts w:ascii="Verdana;sans-serif" w:hAnsi="Verdana;sans-serif"/>
          <w:b/>
          <w:color w:val="000000"/>
          <w:sz w:val="20"/>
        </w:rPr>
      </w:pPr>
      <w:r>
        <w:rPr>
          <w:rFonts w:ascii="Verdana;sans-serif" w:hAnsi="Verdana;sans-serif"/>
          <w:b/>
          <w:color w:val="000000"/>
          <w:sz w:val="20"/>
        </w:rPr>
        <w:t>INCREASE AND AMENDMENT OF CAPITAL BAND</w:t>
      </w:r>
    </w:p>
    <w:p>
      <w:pPr>
        <w:pStyle w:val="TextBody"/>
        <w:bidi w:val="0"/>
        <w:spacing w:before="168" w:after="283"/>
        <w:ind w:left="1413" w:right="145" w:hanging="0"/>
        <w:jc w:val="both"/>
        <w:rPr>
          <w:rFonts w:ascii="Times New Roman" w:hAnsi="Times New Roman"/>
          <w:sz w:val="20"/>
        </w:rPr>
      </w:pPr>
      <w:r>
        <w:rPr>
          <w:rFonts w:ascii="Verdana;sans-serif" w:hAnsi="Verdana;sans-serif"/>
          <w:color w:val="000000"/>
          <w:sz w:val="20"/>
        </w:rPr>
        <w:t>The Board of Directors proposes to (i) adapt the existing paragraphs 1 through 3 of article 3a (</w:t>
      </w:r>
      <w:r>
        <w:rPr>
          <w:rFonts w:ascii="Verdana;sans-serif" w:hAnsi="Verdana;sans-serif"/>
          <w:i/>
          <w:color w:val="000000"/>
          <w:sz w:val="20"/>
        </w:rPr>
        <w:t>Capital Band</w:t>
      </w:r>
      <w:r>
        <w:rPr>
          <w:rFonts w:ascii="Verdana;sans-serif" w:hAnsi="Verdana;sans-serif"/>
          <w:color w:val="000000"/>
          <w:sz w:val="20"/>
        </w:rPr>
        <w:t>) of the articles of association pertaining to capital band, (ii) create capital band between CHF 620'417.76 (lower limit) and CHF 930'626.64 (upper limit), (iii) authorize the Board of Directors to increase the Company's share capital up to the upper limit at any time and as often as required until 13 May 2031 by issuing a maximum of 31'020'888 registered shares with a par value of CHF 0.01 each, to be fully paid up, and (iv) amend the paragraphs 1 through 3 of article 3a of the articles of association as set out below:</w:t>
      </w:r>
    </w:p>
    <w:p>
      <w:pPr>
        <w:pStyle w:val="TextBody"/>
        <w:bidi w:val="0"/>
        <w:spacing w:before="168" w:after="283"/>
        <w:ind w:left="1413" w:right="145"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9</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9"/>
        <w:gridCol w:w="5186"/>
      </w:tblGrid>
      <w:tr>
        <w:trPr/>
        <w:tc>
          <w:tcPr>
            <w:tcW w:w="5019" w:type="dxa"/>
            <w:tcBorders/>
            <w:vAlign w:val="center"/>
          </w:tcPr>
          <w:p>
            <w:pPr>
              <w:pStyle w:val="TableContents"/>
              <w:bidi w:val="0"/>
              <w:spacing w:before="0" w:after="283"/>
              <w:jc w:val="left"/>
              <w:rPr>
                <w:sz w:val="4"/>
                <w:szCs w:val="4"/>
              </w:rPr>
            </w:pPr>
            <w:r>
              <w:rPr>
                <w:sz w:val="4"/>
                <w:szCs w:val="4"/>
              </w:rPr>
            </w:r>
          </w:p>
        </w:tc>
        <w:tc>
          <w:tcPr>
            <w:tcW w:w="5186"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19" w:type="dxa"/>
            <w:tcBorders/>
            <w:tcMar>
              <w:top w:w="0" w:type="dxa"/>
              <w:left w:w="0" w:type="dxa"/>
              <w:bottom w:w="0" w:type="dxa"/>
              <w:right w:w="0" w:type="dxa"/>
            </w:tcMar>
            <w:vAlign w:val="center"/>
          </w:tcPr>
          <w:p>
            <w:pPr>
              <w:pStyle w:val="TableContents"/>
              <w:bidi w:val="0"/>
              <w:ind w:left="50" w:right="0" w:firstLine="50"/>
              <w:jc w:val="left"/>
              <w:rPr>
                <w:rFonts w:ascii="Calibri Light;sans-serif" w:hAnsi="Calibri Light;sans-serif"/>
                <w:color w:val="000000"/>
                <w:sz w:val="20"/>
              </w:rPr>
            </w:pPr>
            <w:r>
              <w:rPr>
                <w:rFonts w:ascii="Calibri Light;sans-serif" w:hAnsi="Calibri Light;sans-serif"/>
                <w:color w:val="000000"/>
                <w:sz w:val="20"/>
              </w:rPr>
              <w:t>Article 3a Capital Band</w:t>
            </w:r>
          </w:p>
          <w:p>
            <w:pPr>
              <w:pStyle w:val="TableContents"/>
              <w:bidi w:val="0"/>
              <w:spacing w:before="166" w:after="283"/>
              <w:ind w:left="50" w:right="218" w:firstLine="50"/>
              <w:jc w:val="left"/>
              <w:rPr>
                <w:rFonts w:ascii="Calibri Light;sans-serif" w:hAnsi="Calibri Light;sans-serif"/>
                <w:color w:val="000000"/>
                <w:sz w:val="20"/>
              </w:rPr>
            </w:pPr>
            <w:r>
              <w:rPr>
                <w:rFonts w:ascii="Calibri Light;sans-serif" w:hAnsi="Calibri Light;sans-serif"/>
                <w:color w:val="000000"/>
                <w:sz w:val="20"/>
              </w:rPr>
              <w:t>The Company has a capital band between CHF 620'417.76 (lower limit) and CHF 930'626.64 (upper limit).</w:t>
            </w:r>
          </w:p>
          <w:p>
            <w:pPr>
              <w:pStyle w:val="TableContents"/>
              <w:bidi w:val="0"/>
              <w:spacing w:before="118" w:after="283"/>
              <w:ind w:left="50" w:right="221" w:firstLine="50"/>
              <w:jc w:val="left"/>
              <w:rPr>
                <w:rFonts w:ascii="Calibri Light;sans-serif" w:hAnsi="Calibri Light;sans-serif"/>
                <w:color w:val="000000"/>
                <w:sz w:val="20"/>
              </w:rPr>
            </w:pPr>
            <w:r>
              <w:rPr>
                <w:rFonts w:ascii="Calibri Light;sans-serif" w:hAnsi="Calibri Light;sans-serif"/>
                <w:color w:val="000000"/>
                <w:sz w:val="20"/>
              </w:rPr>
              <w:t>The Board of Directors is authorized to increase the share capital up to the upper limit at any time and as often as required until 13 May 2031.</w:t>
            </w:r>
          </w:p>
          <w:p>
            <w:pPr>
              <w:pStyle w:val="TableContents"/>
              <w:bidi w:val="0"/>
              <w:spacing w:before="119" w:after="283"/>
              <w:ind w:left="0" w:right="0" w:firstLine="220"/>
              <w:jc w:val="left"/>
              <w:rPr>
                <w:rFonts w:ascii="Calibri Light;sans-serif" w:hAnsi="Calibri Light;sans-serif"/>
                <w:color w:val="000000"/>
                <w:sz w:val="20"/>
              </w:rPr>
            </w:pPr>
            <w:r>
              <w:rPr>
                <w:rFonts w:ascii="Calibri Light;sans-serif" w:hAnsi="Calibri Light;sans-serif"/>
                <w:color w:val="000000"/>
                <w:sz w:val="20"/>
              </w:rPr>
              <w:t>The increase must be effected by issuing a maximum of 31'020'888 registered shares with a par value of CHF 0.01, to be fully paid up. After a change in par value, the new par value shall also apply within the scope of the capital band. A capital reduction is excluded.</w:t>
            </w:r>
          </w:p>
        </w:tc>
        <w:tc>
          <w:tcPr>
            <w:tcW w:w="5186" w:type="dxa"/>
            <w:tcBorders/>
            <w:tcMar>
              <w:top w:w="0" w:type="dxa"/>
              <w:left w:w="0" w:type="dxa"/>
              <w:bottom w:w="0" w:type="dxa"/>
              <w:right w:w="0" w:type="dxa"/>
            </w:tcMar>
            <w:vAlign w:val="center"/>
          </w:tcPr>
          <w:p>
            <w:pPr>
              <w:pStyle w:val="TableContents"/>
              <w:bidi w:val="0"/>
              <w:ind w:left="220" w:right="0" w:firstLine="220"/>
              <w:jc w:val="left"/>
              <w:rPr>
                <w:rFonts w:ascii="Calibri Light;sans-serif" w:hAnsi="Calibri Light;sans-serif"/>
                <w:color w:val="000000"/>
                <w:sz w:val="20"/>
              </w:rPr>
            </w:pPr>
            <w:r>
              <w:rPr>
                <w:rFonts w:ascii="Calibri Light;sans-serif" w:hAnsi="Calibri Light;sans-serif"/>
                <w:color w:val="000000"/>
                <w:sz w:val="20"/>
              </w:rPr>
              <w:t>Artikel 3a Kapitalband</w:t>
            </w:r>
          </w:p>
          <w:p>
            <w:pPr>
              <w:pStyle w:val="TableContents"/>
              <w:bidi w:val="0"/>
              <w:spacing w:before="166" w:after="283"/>
              <w:ind w:left="220" w:right="48" w:firstLine="220"/>
              <w:jc w:val="left"/>
              <w:rPr>
                <w:rFonts w:ascii="Calibri Light;sans-serif" w:hAnsi="Calibri Light;sans-serif"/>
                <w:color w:val="000000"/>
                <w:sz w:val="20"/>
              </w:rPr>
            </w:pPr>
            <w:r>
              <w:rPr>
                <w:rFonts w:ascii="Calibri Light;sans-serif" w:hAnsi="Calibri Light;sans-serif"/>
                <w:color w:val="000000"/>
                <w:sz w:val="20"/>
              </w:rPr>
              <w:t>Die Gesellschaft hat ein Kapitalband zwischen CHF 620'417.76 (untere Grenze) und CHF 930'626.64 (obere Grenze).</w:t>
            </w:r>
          </w:p>
          <w:p>
            <w:pPr>
              <w:pStyle w:val="TableContents"/>
              <w:bidi w:val="0"/>
              <w:spacing w:before="118" w:after="283"/>
              <w:ind w:left="220" w:right="52" w:firstLine="220"/>
              <w:jc w:val="left"/>
              <w:rPr>
                <w:rFonts w:ascii="Calibri Light;sans-serif" w:hAnsi="Calibri Light;sans-serif"/>
                <w:color w:val="000000"/>
                <w:sz w:val="20"/>
              </w:rPr>
            </w:pPr>
            <w:r>
              <w:rPr>
                <w:rFonts w:ascii="Calibri Light;sans-serif" w:hAnsi="Calibri Light;sans-serif"/>
                <w:color w:val="000000"/>
                <w:sz w:val="20"/>
              </w:rPr>
              <w:t>Der Verwaltungsrat ist ermächtigt, bis zum 13. Mai 2031 das Aktienkapital jederzeit und beliebig oft bis zur oberen Grenze zu erhöhen.</w:t>
            </w:r>
          </w:p>
          <w:p>
            <w:pPr>
              <w:pStyle w:val="TableContents"/>
              <w:bidi w:val="0"/>
              <w:spacing w:before="119" w:after="283"/>
              <w:ind w:left="220" w:right="49" w:firstLine="220"/>
              <w:jc w:val="left"/>
              <w:rPr>
                <w:rFonts w:ascii="Calibri Light;sans-serif" w:hAnsi="Calibri Light;sans-serif"/>
                <w:color w:val="000000"/>
                <w:sz w:val="20"/>
              </w:rPr>
            </w:pPr>
            <w:r>
              <w:rPr>
                <w:rFonts w:ascii="Calibri Light;sans-serif" w:hAnsi="Calibri Light;sans-serif"/>
                <w:color w:val="000000"/>
                <w:sz w:val="20"/>
              </w:rPr>
              <w:t>Die Erhöhung hat durch Ausgabe von maximal 31'020'888 vollständig zu liberierenden Namenaktien im Nennwert von CHF 0.01 zu erfolgen. Nach einer Nennwertveränderung gilt der neue Nennwert auch im</w:t>
            </w:r>
          </w:p>
          <w:p>
            <w:pPr>
              <w:pStyle w:val="TableContents"/>
              <w:bidi w:val="0"/>
              <w:spacing w:before="0" w:after="283"/>
              <w:ind w:left="220" w:right="0" w:firstLine="220"/>
              <w:jc w:val="left"/>
              <w:rPr>
                <w:rFonts w:ascii="Calibri Light;sans-serif" w:hAnsi="Calibri Light;sans-serif"/>
                <w:color w:val="000000"/>
                <w:sz w:val="20"/>
              </w:rPr>
            </w:pPr>
            <w:r>
              <w:rPr>
                <w:rFonts w:ascii="Calibri Light;sans-serif" w:hAnsi="Calibri Light;sans-serif"/>
                <w:color w:val="000000"/>
                <w:sz w:val="20"/>
              </w:rPr>
              <w:t>Rahmen des Kapitalbandes. Eine Kapitalherabsetzung wird ausgeschlossen.</w:t>
            </w:r>
          </w:p>
        </w:tc>
      </w:tr>
    </w:tbl>
    <w:p>
      <w:pPr>
        <w:pStyle w:val="TextBody"/>
        <w:bidi w:val="0"/>
        <w:spacing w:before="44" w:after="283"/>
        <w:jc w:val="left"/>
        <w:rPr/>
      </w:pPr>
      <w:r>
        <w:rPr/>
        <w:t> </w:t>
      </w:r>
    </w:p>
    <w:p>
      <w:pPr>
        <w:pStyle w:val="TextBody"/>
        <w:bidi w:val="0"/>
        <w:ind w:left="1412" w:right="147"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704 para. 1 no. 5 CO), the creation of capital band requires the approval of the General Meeting with a qualified majority of at least two thirds of the represented share votes and the absolute majority of the represented shares par value. As of 31 March 2026, the Company has (i) 22'631'036 shares issuable under its capital band, after accounting for the issuance of a total of 4'635'801 shares from the capital band approved on 4 June 2025 and (ii) an issued share capital of CHF 620'417.76, after accounting for the exercise of a total of 2'872'301 option rights or other equity-linked instruments and warrants between 1 January 2025 and 31 March 2026. The Company is requesting that the number of shares issuable under the capital band be increased by 8'389'852, to ensure financial flexibility to advance development initiatives of our late-stage portfolio and position the Company for potential commercialization of OCS-01 for DME with the goal of supporting long-term shareholder value while maintaining a disciplined approach to dilution.</w:t>
      </w:r>
      <w:r>
        <w:rPr>
          <w:rFonts w:ascii="Times New Roman" w:hAnsi="Times New Roman"/>
          <w:color w:val="000000"/>
          <w:sz w:val="20"/>
        </w:rPr>
        <w:t xml:space="preserve"> </w:t>
      </w:r>
    </w:p>
    <w:p>
      <w:pPr>
        <w:pStyle w:val="TextBody"/>
        <w:bidi w:val="0"/>
        <w:spacing w:before="97" w:after="283"/>
        <w:jc w:val="left"/>
        <w:rPr/>
      </w:pPr>
      <w:r>
        <w:rPr/>
        <w:t> </w:t>
      </w:r>
    </w:p>
    <w:p>
      <w:pPr>
        <w:pStyle w:val="TextBody"/>
        <w:bidi w:val="0"/>
        <w:spacing w:before="0" w:after="0"/>
        <w:ind w:left="561" w:right="0" w:hanging="0"/>
        <w:jc w:val="left"/>
        <w:rPr>
          <w:rFonts w:ascii="Verdana" w:hAnsi="Verdana"/>
          <w:b/>
          <w:color w:val="000000"/>
          <w:sz w:val="20"/>
        </w:rPr>
      </w:pPr>
      <w:r>
        <w:rPr>
          <w:rFonts w:ascii="Verdana" w:hAnsi="Verdana"/>
          <w:b/>
          <w:color w:val="000000"/>
          <w:sz w:val="20"/>
        </w:rPr>
        <w:t>12.</w:t>
      </w:r>
    </w:p>
    <w:p>
      <w:pPr>
        <w:pStyle w:val="TextBody"/>
        <w:bidi w:val="0"/>
        <w:jc w:val="left"/>
        <w:rPr>
          <w:rFonts w:ascii="Verdana;sans-serif" w:hAnsi="Verdana;sans-serif"/>
          <w:b/>
          <w:color w:val="000000"/>
          <w:sz w:val="20"/>
        </w:rPr>
      </w:pPr>
      <w:r>
        <w:rPr>
          <w:rFonts w:ascii="Verdana;sans-serif" w:hAnsi="Verdana;sans-serif"/>
          <w:b/>
          <w:color w:val="000000"/>
          <w:sz w:val="20"/>
        </w:rPr>
        <w:t>INCREASE OF CONDITIONAL SHARE CAPITAL FOR EMPLOYEE BENEFIT PLANS</w:t>
      </w:r>
    </w:p>
    <w:p>
      <w:pPr>
        <w:pStyle w:val="TextBody"/>
        <w:bidi w:val="0"/>
        <w:spacing w:before="168" w:after="283"/>
        <w:ind w:left="1413" w:right="138" w:hanging="0"/>
        <w:jc w:val="both"/>
        <w:rPr>
          <w:rFonts w:ascii="Times New Roman" w:hAnsi="Times New Roman"/>
          <w:sz w:val="20"/>
        </w:rPr>
      </w:pPr>
      <w:r>
        <w:rPr>
          <w:rFonts w:ascii="Verdana;sans-serif" w:hAnsi="Verdana;sans-serif"/>
          <w:color w:val="000000"/>
          <w:sz w:val="20"/>
        </w:rPr>
        <w:t>The Board of Directors proposes to (i) adapt the existing first paragraph of article 3c (</w:t>
      </w:r>
      <w:r>
        <w:rPr>
          <w:rFonts w:ascii="Verdana;sans-serif" w:hAnsi="Verdana;sans-serif"/>
          <w:i/>
          <w:color w:val="000000"/>
          <w:sz w:val="20"/>
        </w:rPr>
        <w:t>Conditional Capital Increase for Employee Benefit Plans</w:t>
      </w:r>
      <w:r>
        <w:rPr>
          <w:rFonts w:ascii="Verdana;sans-serif" w:hAnsi="Verdana;sans-serif"/>
          <w:color w:val="000000"/>
          <w:sz w:val="20"/>
        </w:rPr>
        <w:t>) of the articles of association pertaining to the conditional capital increase for employees and individuals of comparable positions, (ii) create conditional share capital for the same purpose in the maximum amount of CHF 126’777.00 by the issuance of 12’677’700 registered common shares of CHF 0.01 nominal value each and (iii) amend article 3c, paragraph 1 of the articles of association as set out below:</w:t>
      </w:r>
    </w:p>
    <w:p>
      <w:pPr>
        <w:pStyle w:val="TextBody"/>
        <w:bidi w:val="0"/>
        <w:spacing w:before="4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10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67"/>
        <w:gridCol w:w="5938"/>
      </w:tblGrid>
      <w:tr>
        <w:trPr/>
        <w:tc>
          <w:tcPr>
            <w:tcW w:w="4267" w:type="dxa"/>
            <w:tcBorders/>
            <w:vAlign w:val="center"/>
          </w:tcPr>
          <w:p>
            <w:pPr>
              <w:pStyle w:val="TableContents"/>
              <w:bidi w:val="0"/>
              <w:spacing w:before="0" w:after="283"/>
              <w:jc w:val="left"/>
              <w:rPr>
                <w:sz w:val="4"/>
                <w:szCs w:val="4"/>
              </w:rPr>
            </w:pPr>
            <w:r>
              <w:rPr>
                <w:sz w:val="4"/>
                <w:szCs w:val="4"/>
              </w:rPr>
            </w:r>
          </w:p>
        </w:tc>
        <w:tc>
          <w:tcPr>
            <w:tcW w:w="5938" w:type="dxa"/>
            <w:tcBorders/>
            <w:vAlign w:val="center"/>
          </w:tcPr>
          <w:p>
            <w:pPr>
              <w:pStyle w:val="TableContents"/>
              <w:bidi w:val="0"/>
              <w:spacing w:before="0" w:after="283"/>
              <w:ind w:left="0" w:right="0" w:firstLine="50"/>
              <w:jc w:val="left"/>
              <w:rPr>
                <w:sz w:val="4"/>
                <w:szCs w:val="4"/>
              </w:rPr>
            </w:pPr>
            <w:r>
              <w:rPr>
                <w:sz w:val="4"/>
                <w:szCs w:val="4"/>
              </w:rPr>
            </w:r>
          </w:p>
        </w:tc>
      </w:tr>
      <w:tr>
        <w:trPr/>
        <w:tc>
          <w:tcPr>
            <w:tcW w:w="4267" w:type="dxa"/>
            <w:tcBorders/>
            <w:tcMar>
              <w:top w:w="0" w:type="dxa"/>
              <w:left w:w="0" w:type="dxa"/>
              <w:bottom w:w="0" w:type="dxa"/>
              <w:right w:w="0" w:type="dxa"/>
            </w:tcMar>
            <w:vAlign w:val="center"/>
          </w:tcPr>
          <w:p>
            <w:pPr>
              <w:pStyle w:val="TableContents"/>
              <w:bidi w:val="0"/>
              <w:ind w:left="50" w:right="0" w:firstLine="50"/>
              <w:jc w:val="left"/>
              <w:rPr>
                <w:rFonts w:ascii="Calibri Light;sans-serif" w:hAnsi="Calibri Light;sans-serif"/>
                <w:color w:val="000000"/>
                <w:sz w:val="20"/>
              </w:rPr>
            </w:pPr>
            <w:r>
              <w:rPr>
                <w:rFonts w:ascii="Calibri Light;sans-serif" w:hAnsi="Calibri Light;sans-serif"/>
                <w:color w:val="000000"/>
                <w:sz w:val="20"/>
              </w:rPr>
              <w:t>Article 3c Conditional Share Capital for Employee</w:t>
            </w:r>
          </w:p>
          <w:p>
            <w:pPr>
              <w:pStyle w:val="TableContents"/>
              <w:bidi w:val="0"/>
              <w:spacing w:before="46" w:after="283"/>
              <w:ind w:left="901" w:right="0" w:firstLine="50"/>
              <w:jc w:val="left"/>
              <w:rPr>
                <w:rFonts w:ascii="Calibri Light;sans-serif" w:hAnsi="Calibri Light;sans-serif"/>
                <w:color w:val="000000"/>
                <w:sz w:val="20"/>
              </w:rPr>
            </w:pPr>
            <w:r>
              <w:rPr>
                <w:rFonts w:ascii="Calibri Light;sans-serif" w:hAnsi="Calibri Light;sans-serif"/>
                <w:color w:val="000000"/>
                <w:sz w:val="20"/>
              </w:rPr>
              <w:t>Benefit Plans</w:t>
            </w:r>
          </w:p>
          <w:p>
            <w:pPr>
              <w:pStyle w:val="TableContents"/>
              <w:bidi w:val="0"/>
              <w:spacing w:before="164" w:after="283"/>
              <w:ind w:left="0" w:right="0" w:firstLine="220"/>
              <w:jc w:val="left"/>
              <w:rPr>
                <w:rFonts w:ascii="Calibri Light;sans-serif" w:hAnsi="Calibri Light;sans-serif"/>
                <w:color w:val="000000"/>
                <w:sz w:val="20"/>
              </w:rPr>
            </w:pPr>
            <w:r>
              <w:rPr>
                <w:rFonts w:ascii="Calibri Light;sans-serif" w:hAnsi="Calibri Light;sans-serif"/>
                <w:color w:val="000000"/>
                <w:sz w:val="20"/>
              </w:rPr>
              <w:t>The share capital of the Company shall be increased by an amount not exceeding CHF 126’777.00 through the issue of a maximum of 12’677’700 registered shares, payable in full, each with a nominal value of CHF 0.01, in connection with the exercise of option rights or other equity-linked instruments granted to any employee of the Company or a subsidiary, and any consultant, members of the Board of Directors, or other person providing services to the Company or a subsidiary. The exercise of the option rights and the waiver of such right shall be made in writing on paper or in electronic form.</w:t>
            </w:r>
          </w:p>
        </w:tc>
        <w:tc>
          <w:tcPr>
            <w:tcW w:w="5938" w:type="dxa"/>
            <w:tcBorders/>
            <w:tcMar>
              <w:top w:w="0" w:type="dxa"/>
              <w:left w:w="0" w:type="dxa"/>
              <w:bottom w:w="0" w:type="dxa"/>
              <w:right w:w="0" w:type="dxa"/>
            </w:tcMar>
            <w:vAlign w:val="center"/>
          </w:tcPr>
          <w:p>
            <w:pPr>
              <w:pStyle w:val="TableContents"/>
              <w:bidi w:val="0"/>
              <w:ind w:left="220" w:right="0" w:firstLine="220"/>
              <w:jc w:val="left"/>
              <w:rPr>
                <w:rFonts w:ascii="Calibri Light;sans-serif" w:hAnsi="Calibri Light;sans-serif"/>
                <w:color w:val="000000"/>
                <w:sz w:val="20"/>
              </w:rPr>
            </w:pPr>
            <w:r>
              <w:rPr>
                <w:rFonts w:ascii="Calibri Light;sans-serif" w:hAnsi="Calibri Light;sans-serif"/>
                <w:color w:val="000000"/>
                <w:sz w:val="20"/>
              </w:rPr>
              <w:t>Artikel 3c Bedingtes Aktienkapital für</w:t>
            </w:r>
          </w:p>
          <w:p>
            <w:pPr>
              <w:pStyle w:val="TableContents"/>
              <w:bidi w:val="0"/>
              <w:spacing w:before="46" w:after="283"/>
              <w:ind w:left="1149" w:right="0" w:firstLine="220"/>
              <w:jc w:val="left"/>
              <w:rPr>
                <w:rFonts w:ascii="Calibri Light;sans-serif" w:hAnsi="Calibri Light;sans-serif"/>
                <w:color w:val="000000"/>
                <w:sz w:val="20"/>
              </w:rPr>
            </w:pPr>
            <w:r>
              <w:rPr>
                <w:rFonts w:ascii="Calibri Light;sans-serif" w:hAnsi="Calibri Light;sans-serif"/>
                <w:color w:val="000000"/>
                <w:sz w:val="20"/>
              </w:rPr>
              <w:t>Mitarbeiterbeteiligungspläne</w:t>
            </w:r>
          </w:p>
          <w:p>
            <w:pPr>
              <w:pStyle w:val="TableContents"/>
              <w:bidi w:val="0"/>
              <w:spacing w:before="164" w:after="283"/>
              <w:ind w:left="220" w:right="47" w:firstLine="220"/>
              <w:jc w:val="left"/>
              <w:rPr>
                <w:rFonts w:ascii="Calibri Light;sans-serif" w:hAnsi="Calibri Light;sans-serif"/>
                <w:color w:val="000000"/>
                <w:sz w:val="20"/>
              </w:rPr>
            </w:pPr>
            <w:r>
              <w:rPr>
                <w:rFonts w:ascii="Calibri Light;sans-serif" w:hAnsi="Calibri Light;sans-serif"/>
                <w:color w:val="000000"/>
                <w:sz w:val="20"/>
              </w:rPr>
              <w:t>Das Aktienkapital kann durch die Ausgabe von höchstens 12‘677‘700 voll zu liberierenden Namenaktien im Nennwert von je CHF 0.01 um höchstens CHF 126‘777.00 durch Ausübung von Optionsrechten oder anderen eigenkapitalbasierten Instrumenten erhöht werden, welche Mitarbeitenden der Gesellschaft oder ihrer Tochtergesellschaften, Personen in vergleichbaren Positionen, Beratern, Verwaltungsratsmitgliedern oder anderen Personen, welche Dienstleistungen zu Gunsten der Gesellschaft erbringen, gewährt wurden. Die Form der Ausübung der Optionsrechte und des Verzichts auf dieses Recht erfolgt auf schriftlichem Weg auf Papier</w:t>
            </w:r>
          </w:p>
          <w:p>
            <w:pPr>
              <w:pStyle w:val="TableContents"/>
              <w:bidi w:val="0"/>
              <w:spacing w:before="0" w:after="283"/>
              <w:ind w:left="220" w:right="0" w:firstLine="220"/>
              <w:jc w:val="left"/>
              <w:rPr>
                <w:rFonts w:ascii="Calibri Light;sans-serif" w:hAnsi="Calibri Light;sans-serif"/>
                <w:color w:val="000000"/>
                <w:sz w:val="20"/>
              </w:rPr>
            </w:pPr>
            <w:r>
              <w:rPr>
                <w:rFonts w:ascii="Calibri Light;sans-serif" w:hAnsi="Calibri Light;sans-serif"/>
                <w:color w:val="000000"/>
                <w:sz w:val="20"/>
              </w:rPr>
              <w:t>oder in elektronischer Form.</w:t>
            </w:r>
          </w:p>
        </w:tc>
      </w:tr>
    </w:tbl>
    <w:p>
      <w:pPr>
        <w:pStyle w:val="TextBody"/>
        <w:bidi w:val="0"/>
        <w:spacing w:before="49" w:after="283"/>
        <w:jc w:val="left"/>
        <w:rPr/>
      </w:pPr>
      <w:r>
        <w:rPr/>
        <w:t> </w:t>
      </w:r>
    </w:p>
    <w:p>
      <w:pPr>
        <w:pStyle w:val="TextBody"/>
        <w:bidi w:val="0"/>
        <w:spacing w:before="97" w:after="283"/>
        <w:ind w:left="720" w:right="0" w:hanging="0"/>
        <w:jc w:val="both"/>
        <w:rPr>
          <w:rFonts w:ascii="Times New Roman" w:hAnsi="Times New Roman"/>
          <w:sz w:val="20"/>
        </w:rPr>
      </w:pPr>
      <w:r>
        <w:rPr>
          <w:rFonts w:ascii="Verdana;sans-serif" w:hAnsi="Verdana;sans-serif"/>
          <w:b/>
          <w:color w:val="000000"/>
          <w:sz w:val="20"/>
        </w:rPr>
        <w:t xml:space="preserve">Explanation: </w:t>
      </w:r>
      <w:r>
        <w:rPr>
          <w:rFonts w:ascii="Verdana;sans-serif" w:hAnsi="Verdana;sans-serif"/>
          <w:color w:val="000000"/>
          <w:sz w:val="20"/>
        </w:rPr>
        <w:t>Pursuant to Swiss law (art. 704 para. 1 no. 5 CO), the creation of conditional capital requires the approval of the General Meeting with a qualified majority of at least two thirds of the represented share votes and the absolute majority of the represented shares par value. As of 31 March 2026, the nominal amount of the Company’s conditional share capital for employee benefit plans is CHF 116'849.87, after accounting for the exercise of a total of 795'013 option rights or other equity-linked instruments between 1 January 2025 and 31 March 2026. The Company is requesting shareholders approve an increase in the size of the employee equity plan pool in line with past practice to maintain a pool size that preserves the Company’s ability to use equity compensation thoughtfully and competitively, aligning employee incentives with long-term shareholder value as the Company continues to deliver rapid development and growth through execution of its strategy.</w:t>
      </w:r>
    </w:p>
    <w:p>
      <w:pPr>
        <w:pStyle w:val="TextBody"/>
        <w:bidi w:val="0"/>
        <w:spacing w:before="97" w:after="283"/>
        <w:ind w:left="720" w:right="0" w:hanging="0"/>
        <w:jc w:val="left"/>
        <w:rPr/>
      </w:pPr>
      <w:r>
        <w:rPr/>
        <w:t> </w:t>
      </w:r>
    </w:p>
    <w:p>
      <w:pPr>
        <w:pStyle w:val="TextBody"/>
        <w:bidi w:val="0"/>
        <w:ind w:left="422" w:right="0" w:hanging="0"/>
        <w:jc w:val="center"/>
        <w:rPr>
          <w:rFonts w:ascii="Verdana;sans-serif" w:hAnsi="Verdana;sans-serif"/>
          <w:b/>
          <w:i/>
          <w:color w:val="000000"/>
          <w:sz w:val="20"/>
        </w:rPr>
      </w:pPr>
      <w:r>
        <w:rPr>
          <w:rFonts w:ascii="Verdana;sans-serif" w:hAnsi="Verdana;sans-serif"/>
          <w:b/>
          <w:i/>
          <w:color w:val="000000"/>
          <w:sz w:val="20"/>
        </w:rPr>
        <w:t>* * *</w:t>
      </w:r>
    </w:p>
    <w:p>
      <w:pPr>
        <w:pStyle w:val="TextBody"/>
        <w:bidi w:val="0"/>
        <w:spacing w:before="9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11</w:t>
      </w:r>
    </w:p>
    <w:p>
      <w:pPr>
        <w:pStyle w:val="TextBody"/>
        <w:bidi w:val="0"/>
        <w:jc w:val="left"/>
        <w:rPr/>
      </w:pPr>
      <w:r>
        <w:rPr/>
        <w:t> </w:t>
      </w:r>
    </w:p>
    <w:p>
      <w:pPr>
        <w:pStyle w:val="TextBody"/>
        <w:bidi w:val="0"/>
        <w:spacing w:before="80" w:after="283"/>
        <w:jc w:val="left"/>
        <w:rPr/>
      </w:pPr>
      <w:r>
        <w:rPr/>
        <w:t> </w:t>
      </w:r>
    </w:p>
    <w:p>
      <w:pPr>
        <w:pStyle w:val="TextBody"/>
        <w:bidi w:val="0"/>
        <w:ind w:left="414" w:right="0" w:hanging="0"/>
        <w:jc w:val="center"/>
        <w:rPr>
          <w:rFonts w:ascii="Verdana;sans-serif" w:hAnsi="Verdana;sans-serif"/>
          <w:b/>
          <w:color w:val="000000"/>
          <w:sz w:val="20"/>
          <w:u w:val="single"/>
        </w:rPr>
      </w:pPr>
      <w:r>
        <w:rPr>
          <w:rFonts w:ascii="Verdana;sans-serif" w:hAnsi="Verdana;sans-serif"/>
          <w:b/>
          <w:color w:val="000000"/>
          <w:sz w:val="20"/>
          <w:u w:val="single"/>
        </w:rPr>
        <w:t>ORGANIZATIONAL INFORMATION</w:t>
      </w:r>
    </w:p>
    <w:p>
      <w:pPr>
        <w:pStyle w:val="TextBody"/>
        <w:bidi w:val="0"/>
        <w:jc w:val="left"/>
        <w:rPr/>
      </w:pPr>
      <w:r>
        <w:rPr/>
        <w:t> </w:t>
      </w:r>
    </w:p>
    <w:p>
      <w:pPr>
        <w:pStyle w:val="TextBody"/>
        <w:bidi w:val="0"/>
        <w:spacing w:before="80" w:after="283"/>
        <w:ind w:left="14" w:right="0" w:hanging="0"/>
        <w:jc w:val="both"/>
        <w:rPr>
          <w:rFonts w:ascii="Verdana" w:hAnsi="Verdana"/>
          <w:i/>
          <w:color w:val="000000"/>
          <w:sz w:val="20"/>
        </w:rPr>
      </w:pPr>
      <w:r>
        <w:rPr>
          <w:rFonts w:ascii="Verdana" w:hAnsi="Verdana"/>
          <w:i/>
          <w:color w:val="000000"/>
          <w:sz w:val="20"/>
        </w:rPr>
        <w:t>1</w:t>
      </w:r>
    </w:p>
    <w:p>
      <w:pPr>
        <w:pStyle w:val="TextBody"/>
        <w:bidi w:val="0"/>
        <w:spacing w:before="80" w:after="283"/>
        <w:jc w:val="both"/>
        <w:rPr>
          <w:rFonts w:ascii="Verdana;sans-serif" w:hAnsi="Verdana;sans-serif"/>
          <w:i/>
          <w:color w:val="000000"/>
          <w:sz w:val="20"/>
        </w:rPr>
      </w:pPr>
      <w:r>
        <w:rPr>
          <w:rFonts w:ascii="Verdana;sans-serif" w:hAnsi="Verdana;sans-serif"/>
          <w:i/>
          <w:color w:val="000000"/>
          <w:sz w:val="20"/>
        </w:rPr>
        <w:t>Financial Statements</w:t>
      </w:r>
    </w:p>
    <w:p>
      <w:pPr>
        <w:pStyle w:val="TextBody"/>
        <w:bidi w:val="0"/>
        <w:spacing w:before="117" w:after="283"/>
        <w:ind w:left="561" w:right="139" w:hanging="0"/>
        <w:jc w:val="both"/>
        <w:rPr>
          <w:rFonts w:ascii="Times New Roman" w:hAnsi="Times New Roman"/>
          <w:sz w:val="20"/>
        </w:rPr>
      </w:pPr>
      <w:r>
        <w:rPr>
          <w:rFonts w:ascii="Verdana;sans-serif" w:hAnsi="Verdana;sans-serif"/>
          <w:color w:val="000000"/>
          <w:sz w:val="20"/>
        </w:rPr>
        <w:t>The Annual (Statutory) Financial Statements and the Financial Statements of Oculis Holding AG for the business year 2025 as well as the corresponding Auditor's reports are available for download in the "</w:t>
      </w:r>
      <w:r>
        <w:rPr>
          <w:rFonts w:ascii="Verdana;sans-serif" w:hAnsi="Verdana;sans-serif"/>
          <w:i/>
          <w:color w:val="000000"/>
          <w:sz w:val="20"/>
        </w:rPr>
        <w:t>Investors &amp; Media</w:t>
      </w:r>
      <w:r>
        <w:rPr>
          <w:rFonts w:ascii="Verdana;sans-serif" w:hAnsi="Verdana;sans-serif"/>
          <w:color w:val="000000"/>
          <w:sz w:val="20"/>
        </w:rPr>
        <w:t xml:space="preserve">" section of our website at </w:t>
      </w:r>
      <w:r>
        <w:rPr>
          <w:rFonts w:ascii="Verdana;sans-serif" w:hAnsi="Verdana;sans-serif"/>
          <w:sz w:val="20"/>
        </w:rPr>
        <w:t>https://investors.oculis.</w:t>
      </w:r>
      <w:r>
        <w:rPr>
          <w:rFonts w:ascii="Times New Roman" w:hAnsi="Times New Roman"/>
          <w:color w:val="000000"/>
          <w:sz w:val="20"/>
        </w:rPr>
        <w:t xml:space="preserve"> </w:t>
      </w:r>
      <w:r>
        <w:rPr>
          <w:rFonts w:ascii="Verdana;sans-serif" w:hAnsi="Verdana;sans-serif"/>
          <w:color w:val="000000"/>
          <w:sz w:val="20"/>
        </w:rPr>
        <w:t>com/events-presentations.</w:t>
      </w:r>
    </w:p>
    <w:p>
      <w:pPr>
        <w:pStyle w:val="TextBody"/>
        <w:bidi w:val="0"/>
        <w:spacing w:before="80" w:after="283"/>
        <w:ind w:left="14" w:right="0" w:hanging="0"/>
        <w:jc w:val="both"/>
        <w:rPr>
          <w:rFonts w:ascii="Verdana" w:hAnsi="Verdana"/>
          <w:i/>
          <w:color w:val="000000"/>
          <w:sz w:val="20"/>
        </w:rPr>
      </w:pPr>
      <w:r>
        <w:rPr>
          <w:rFonts w:ascii="Verdana" w:hAnsi="Verdana"/>
          <w:i/>
          <w:color w:val="000000"/>
          <w:sz w:val="20"/>
        </w:rPr>
        <w:t>2</w:t>
      </w:r>
    </w:p>
    <w:p>
      <w:pPr>
        <w:pStyle w:val="TextBody"/>
        <w:bidi w:val="0"/>
        <w:spacing w:before="80" w:after="283"/>
        <w:jc w:val="both"/>
        <w:rPr>
          <w:rFonts w:ascii="Verdana;sans-serif" w:hAnsi="Verdana;sans-serif"/>
          <w:i/>
          <w:color w:val="000000"/>
          <w:sz w:val="20"/>
        </w:rPr>
      </w:pPr>
      <w:r>
        <w:rPr>
          <w:rFonts w:ascii="Verdana;sans-serif" w:hAnsi="Verdana;sans-serif"/>
          <w:i/>
          <w:color w:val="000000"/>
          <w:sz w:val="20"/>
        </w:rPr>
        <w:t>Shareholder Information Session</w:t>
      </w:r>
    </w:p>
    <w:p>
      <w:pPr>
        <w:pStyle w:val="TextBody"/>
        <w:bidi w:val="0"/>
        <w:spacing w:before="117" w:after="283"/>
        <w:ind w:left="561" w:right="137" w:hanging="0"/>
        <w:jc w:val="both"/>
        <w:rPr>
          <w:rFonts w:ascii="Times New Roman" w:hAnsi="Times New Roman"/>
          <w:sz w:val="20"/>
        </w:rPr>
      </w:pPr>
      <w:r>
        <w:rPr>
          <w:rFonts w:ascii="Verdana;sans-serif" w:hAnsi="Verdana;sans-serif"/>
          <w:color w:val="000000"/>
          <w:sz w:val="20"/>
        </w:rPr>
        <w:t xml:space="preserve">The Company will host an information session for all shareholders on Monday, 11 May 2026 at Hilton Reykjavík Nordica, Sudurlandsbraut 2, 108 Reykjavík, Iceland from 12:00 to 1:00 p.m. EDT / 4:00-5:00 p.m. GMT / 6:00-7:00 p.m. CEST, during which members of management will provide an overview of the 2026 Annual General Meeting proposals and answer questions from shareholders. To participate virtually, please use the following link: https://reg.lumiengage.com/oculis-agm-2026/informationsession. The webcast of the virtual information session will be available following the event by visiting our website at </w:t>
      </w:r>
      <w:r>
        <w:rPr>
          <w:rFonts w:ascii="Verdana;sans-serif" w:hAnsi="Verdana;sans-serif"/>
          <w:sz w:val="20"/>
        </w:rPr>
        <w:t>https://investors.oculis.com/events-presentations.</w:t>
      </w:r>
    </w:p>
    <w:p>
      <w:pPr>
        <w:pStyle w:val="TextBody"/>
        <w:bidi w:val="0"/>
        <w:spacing w:before="80" w:after="283"/>
        <w:ind w:left="14" w:right="0" w:hanging="0"/>
        <w:jc w:val="both"/>
        <w:rPr>
          <w:rFonts w:ascii="Verdana" w:hAnsi="Verdana"/>
          <w:i/>
          <w:color w:val="000000"/>
          <w:sz w:val="20"/>
        </w:rPr>
      </w:pPr>
      <w:r>
        <w:rPr>
          <w:rFonts w:ascii="Verdana" w:hAnsi="Verdana"/>
          <w:i/>
          <w:color w:val="000000"/>
          <w:sz w:val="20"/>
        </w:rPr>
        <w:t>3</w:t>
      </w:r>
    </w:p>
    <w:p>
      <w:pPr>
        <w:pStyle w:val="TextBody"/>
        <w:bidi w:val="0"/>
        <w:spacing w:before="80" w:after="283"/>
        <w:jc w:val="both"/>
        <w:rPr>
          <w:rFonts w:ascii="Verdana;sans-serif" w:hAnsi="Verdana;sans-serif"/>
          <w:i/>
          <w:color w:val="000000"/>
          <w:sz w:val="20"/>
        </w:rPr>
      </w:pPr>
      <w:r>
        <w:rPr>
          <w:rFonts w:ascii="Verdana;sans-serif" w:hAnsi="Verdana;sans-serif"/>
          <w:i/>
          <w:color w:val="000000"/>
          <w:sz w:val="20"/>
        </w:rPr>
        <w:t>2026 Annual General Meeting – Invitation, Attendance and Voting</w:t>
      </w:r>
    </w:p>
    <w:p>
      <w:pPr>
        <w:pStyle w:val="TextBody"/>
        <w:bidi w:val="0"/>
        <w:spacing w:before="117" w:after="283"/>
        <w:ind w:left="567" w:right="136" w:hanging="0"/>
        <w:jc w:val="both"/>
        <w:rPr>
          <w:rFonts w:ascii="Verdana;sans-serif" w:hAnsi="Verdana;sans-serif"/>
          <w:color w:val="000000"/>
          <w:sz w:val="20"/>
          <w:u w:val="single"/>
        </w:rPr>
      </w:pPr>
      <w:r>
        <w:rPr>
          <w:rFonts w:ascii="Verdana;sans-serif" w:hAnsi="Verdana;sans-serif"/>
          <w:color w:val="000000"/>
          <w:sz w:val="20"/>
          <w:u w:val="single"/>
        </w:rPr>
        <w:t>Shareholders entitled to vote at the 2026 Annual General Meeting</w:t>
      </w:r>
    </w:p>
    <w:p>
      <w:pPr>
        <w:pStyle w:val="TextBody"/>
        <w:bidi w:val="0"/>
        <w:spacing w:before="117" w:after="283"/>
        <w:ind w:left="561" w:right="138" w:hanging="0"/>
        <w:jc w:val="both"/>
        <w:rPr>
          <w:rFonts w:ascii="Times New Roman" w:hAnsi="Times New Roman"/>
          <w:sz w:val="20"/>
        </w:rPr>
      </w:pPr>
      <w:r>
        <w:rPr>
          <w:rFonts w:ascii="Verdana;sans-serif" w:hAnsi="Verdana;sans-serif"/>
          <w:color w:val="000000"/>
          <w:sz w:val="20"/>
        </w:rPr>
        <w:t>Shareholders registered in the Company's share register with the right to vote as per the record date of 15 April 2026 (the "</w:t>
      </w:r>
      <w:r>
        <w:rPr>
          <w:rFonts w:ascii="Verdana;sans-serif" w:hAnsi="Verdana;sans-serif"/>
          <w:b/>
          <w:color w:val="000000"/>
          <w:sz w:val="20"/>
        </w:rPr>
        <w:t>Record Date</w:t>
      </w:r>
      <w:r>
        <w:rPr>
          <w:rFonts w:ascii="Verdana;sans-serif" w:hAnsi="Verdana;sans-serif"/>
          <w:color w:val="000000"/>
          <w:sz w:val="20"/>
        </w:rPr>
        <w:t>", and such registered shareholders the "</w:t>
      </w:r>
      <w:r>
        <w:rPr>
          <w:rFonts w:ascii="Verdana;sans-serif" w:hAnsi="Verdana;sans-serif"/>
          <w:b/>
          <w:color w:val="000000"/>
          <w:sz w:val="20"/>
        </w:rPr>
        <w:t>Holders of</w:t>
      </w:r>
      <w:r>
        <w:rPr>
          <w:rFonts w:ascii="Times New Roman" w:hAnsi="Times New Roman"/>
          <w:color w:val="000000"/>
          <w:sz w:val="20"/>
        </w:rPr>
        <w:t xml:space="preserve"> </w:t>
      </w:r>
      <w:r>
        <w:rPr>
          <w:rFonts w:ascii="Verdana;sans-serif" w:hAnsi="Verdana;sans-serif"/>
          <w:b/>
          <w:color w:val="000000"/>
          <w:sz w:val="20"/>
        </w:rPr>
        <w:t>Record</w:t>
      </w:r>
      <w:r>
        <w:rPr>
          <w:rFonts w:ascii="Verdana;sans-serif" w:hAnsi="Verdana;sans-serif"/>
          <w:color w:val="000000"/>
          <w:sz w:val="20"/>
        </w:rPr>
        <w:t>") are entitled to participate in the 2026 Annual General Meeting.</w:t>
      </w:r>
      <w:r>
        <w:rPr>
          <w:rFonts w:ascii="Times New Roman" w:hAnsi="Times New Roman"/>
          <w:color w:val="000000"/>
          <w:sz w:val="20"/>
        </w:rPr>
        <w:t xml:space="preserve"> </w:t>
      </w:r>
    </w:p>
    <w:p>
      <w:pPr>
        <w:pStyle w:val="TextBody"/>
        <w:bidi w:val="0"/>
        <w:spacing w:before="117" w:after="283"/>
        <w:ind w:left="561" w:right="138" w:hanging="0"/>
        <w:jc w:val="both"/>
        <w:rPr>
          <w:rFonts w:ascii="Verdana;sans-serif" w:hAnsi="Verdana;sans-serif"/>
          <w:color w:val="000000"/>
          <w:sz w:val="20"/>
        </w:rPr>
      </w:pPr>
      <w:r>
        <w:rPr>
          <w:rFonts w:ascii="Verdana;sans-serif" w:hAnsi="Verdana;sans-serif"/>
          <w:color w:val="000000"/>
          <w:sz w:val="20"/>
        </w:rPr>
        <w:t>On 21 April 2026, the invitation and proxy form will be published at approximately 5:00 p.m. EDT / 9:00 p.m. GMT / 11:00 p.m. CEST. The invitation is available for download in the "Investors &amp; Media" section of our website at https://investors.oculis.com/events-presentations. Shareholders who hold shares on Nasdaq in the US will receive a copy of the invitation and proxy form in the mail. Shareholders who hold shares on Nasdaq in Iceland will not receive a physical mailing.</w:t>
      </w:r>
    </w:p>
    <w:p>
      <w:pPr>
        <w:pStyle w:val="TextBody"/>
        <w:bidi w:val="0"/>
        <w:spacing w:before="117" w:after="283"/>
        <w:ind w:left="567" w:right="136" w:hanging="0"/>
        <w:jc w:val="both"/>
        <w:rPr>
          <w:rFonts w:ascii="Verdana;sans-serif" w:hAnsi="Verdana;sans-serif"/>
          <w:color w:val="000000"/>
          <w:sz w:val="20"/>
          <w:u w:val="single"/>
        </w:rPr>
      </w:pPr>
      <w:r>
        <w:rPr>
          <w:rFonts w:ascii="Verdana;sans-serif" w:hAnsi="Verdana;sans-serif"/>
          <w:color w:val="000000"/>
          <w:sz w:val="20"/>
          <w:u w:val="single"/>
        </w:rPr>
        <w:t>Attending the 2026 Annual General Meeting in Person</w:t>
      </w:r>
    </w:p>
    <w:p>
      <w:pPr>
        <w:pStyle w:val="TextBody"/>
        <w:bidi w:val="0"/>
        <w:spacing w:before="117" w:after="283"/>
        <w:ind w:left="561" w:right="138" w:hanging="0"/>
        <w:jc w:val="both"/>
        <w:rPr>
          <w:rFonts w:ascii="Times New Roman" w:hAnsi="Times New Roman"/>
          <w:sz w:val="20"/>
        </w:rPr>
      </w:pPr>
      <w:r>
        <w:rPr>
          <w:rFonts w:ascii="Verdana;sans-serif" w:hAnsi="Verdana;sans-serif"/>
          <w:color w:val="000000"/>
          <w:sz w:val="20"/>
        </w:rPr>
        <w:t>Shareholders wishing to attend the 2026 Annual General Meeting in person must present proof of ownership and a valid government issued identification document at the 2026 Annual General Meeting. Shareholders holding their shares on the Record Date through their broker or bank ("</w:t>
      </w:r>
      <w:r>
        <w:rPr>
          <w:rFonts w:ascii="Verdana;sans-serif" w:hAnsi="Verdana;sans-serif"/>
          <w:b/>
          <w:color w:val="000000"/>
          <w:sz w:val="20"/>
        </w:rPr>
        <w:t>Street Name Holders</w:t>
      </w:r>
      <w:r>
        <w:rPr>
          <w:rFonts w:ascii="Verdana;sans-serif" w:hAnsi="Verdana;sans-serif"/>
          <w:color w:val="000000"/>
          <w:sz w:val="20"/>
        </w:rPr>
        <w:t>") who wish to attend and vote their shares in person at the 2026 Annual General Meeting must obtain a valid legal proxy from their bank or broker in accordance with their instructions to be presented along with a valid government issued identification document at the 2026 Annual General Meeting.</w:t>
      </w:r>
      <w:r>
        <w:rPr>
          <w:rFonts w:ascii="Times New Roman" w:hAnsi="Times New Roman"/>
          <w:color w:val="000000"/>
          <w:sz w:val="20"/>
        </w:rPr>
        <w:t xml:space="preserve"> </w:t>
      </w:r>
    </w:p>
    <w:p>
      <w:pPr>
        <w:pStyle w:val="TextBody"/>
        <w:bidi w:val="0"/>
        <w:spacing w:before="117" w:after="283"/>
        <w:ind w:left="561" w:right="138" w:hanging="0"/>
        <w:jc w:val="both"/>
        <w:rPr>
          <w:rFonts w:ascii="Verdana;sans-serif" w:hAnsi="Verdana;sans-serif"/>
          <w:color w:val="000000"/>
          <w:sz w:val="20"/>
        </w:rPr>
      </w:pPr>
      <w:r>
        <w:rPr>
          <w:rFonts w:ascii="Verdana;sans-serif" w:hAnsi="Verdana;sans-serif"/>
          <w:color w:val="000000"/>
          <w:sz w:val="20"/>
        </w:rPr>
        <w:t>Shareholders attending in person must present themselves at the admission desk at least 20 minutes prior to the start of the 2026 Annual General Meeting.</w:t>
      </w:r>
    </w:p>
    <w:p>
      <w:pPr>
        <w:pStyle w:val="TextBody"/>
        <w:bidi w:val="0"/>
        <w:spacing w:before="117" w:after="283"/>
        <w:ind w:left="561" w:right="138" w:hanging="0"/>
        <w:jc w:val="both"/>
        <w:rPr>
          <w:rFonts w:ascii="Verdana;sans-serif" w:hAnsi="Verdana;sans-serif"/>
          <w:color w:val="000000"/>
          <w:sz w:val="20"/>
          <w:u w:val="single"/>
        </w:rPr>
      </w:pPr>
      <w:r>
        <w:rPr>
          <w:rFonts w:ascii="Verdana;sans-serif" w:hAnsi="Verdana;sans-serif"/>
          <w:color w:val="000000"/>
          <w:sz w:val="20"/>
          <w:u w:val="single"/>
        </w:rPr>
        <w:t>Viewing the Broadcast of the 2026 Annual General Meeting</w:t>
      </w:r>
    </w:p>
    <w:p>
      <w:pPr>
        <w:pStyle w:val="TextBody"/>
        <w:bidi w:val="0"/>
        <w:spacing w:before="117" w:after="283"/>
        <w:ind w:left="561" w:right="138" w:hanging="0"/>
        <w:jc w:val="both"/>
        <w:rPr>
          <w:rFonts w:ascii="Verdana;sans-serif" w:hAnsi="Verdana;sans-serif"/>
          <w:color w:val="000000"/>
          <w:sz w:val="20"/>
        </w:rPr>
      </w:pPr>
      <w:r>
        <w:rPr>
          <w:rFonts w:ascii="Verdana;sans-serif" w:hAnsi="Verdana;sans-serif"/>
          <w:color w:val="000000"/>
          <w:sz w:val="20"/>
        </w:rPr>
        <w:t>The 2026 Annual General Meeting will be broadcast for viewing only, with no option for virtual participation. To join the broadcast, please use the following link: https://meetings.lumiconnect.com/100-352-684-319.</w:t>
      </w:r>
    </w:p>
    <w:p>
      <w:pPr>
        <w:pStyle w:val="TextBody"/>
        <w:bidi w:val="0"/>
        <w:spacing w:before="117" w:after="283"/>
        <w:ind w:left="561" w:right="138" w:hanging="0"/>
        <w:jc w:val="both"/>
        <w:rPr>
          <w:rFonts w:ascii="Verdana;sans-serif" w:hAnsi="Verdana;sans-serif"/>
          <w:color w:val="000000"/>
          <w:sz w:val="20"/>
          <w:u w:val="single"/>
        </w:rPr>
      </w:pPr>
      <w:r>
        <w:rPr>
          <w:rFonts w:ascii="Verdana;sans-serif" w:hAnsi="Verdana;sans-serif"/>
          <w:color w:val="000000"/>
          <w:sz w:val="20"/>
          <w:u w:val="single"/>
        </w:rPr>
        <w:t>Voting by Proxy</w:t>
      </w:r>
    </w:p>
    <w:p>
      <w:pPr>
        <w:pStyle w:val="TextBody"/>
        <w:bidi w:val="0"/>
        <w:spacing w:before="117" w:after="283"/>
        <w:ind w:left="567" w:right="136" w:hanging="0"/>
        <w:jc w:val="both"/>
        <w:rPr>
          <w:rFonts w:ascii="Verdana;sans-serif" w:hAnsi="Verdana;sans-serif"/>
          <w:color w:val="000000"/>
          <w:sz w:val="20"/>
        </w:rPr>
      </w:pPr>
      <w:r>
        <w:rPr>
          <w:rFonts w:ascii="Verdana;sans-serif" w:hAnsi="Verdana;sans-serif"/>
          <w:color w:val="000000"/>
          <w:sz w:val="20"/>
        </w:rPr>
        <w:t>If you wish to vote your shares, but do not plan to attend the 2026 Annual General Meeting in person, you may instead vote by proxy. To vote by proxy, you may either:</w:t>
      </w:r>
    </w:p>
    <w:p>
      <w:pPr>
        <w:pStyle w:val="TextBody"/>
        <w:bidi w:val="0"/>
        <w:spacing w:before="117" w:after="283"/>
        <w:ind w:left="14" w:right="144" w:hanging="0"/>
        <w:jc w:val="both"/>
        <w:rPr>
          <w:color w:val="000000"/>
        </w:rPr>
      </w:pPr>
      <w:r>
        <w:rPr>
          <w:color w:val="000000"/>
        </w:rPr>
        <w:t>•</w:t>
      </w:r>
    </w:p>
    <w:p>
      <w:pPr>
        <w:pStyle w:val="TextBody"/>
        <w:bidi w:val="0"/>
        <w:spacing w:before="117" w:after="283"/>
        <w:jc w:val="both"/>
        <w:rPr>
          <w:rFonts w:ascii="Verdana;sans-serif" w:hAnsi="Verdana;sans-serif"/>
          <w:color w:val="000000"/>
          <w:sz w:val="20"/>
        </w:rPr>
      </w:pPr>
      <w:r>
        <w:rPr>
          <w:rFonts w:ascii="Verdana;sans-serif" w:hAnsi="Verdana;sans-serif"/>
          <w:color w:val="000000"/>
          <w:sz w:val="20"/>
        </w:rPr>
        <w:t xml:space="preserve">grant a proxy to the current independent proxy of the Company for the 2026 Annual General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12</w:t>
      </w:r>
    </w:p>
    <w:p>
      <w:pPr>
        <w:pStyle w:val="TextBody"/>
        <w:bidi w:val="0"/>
        <w:jc w:val="left"/>
        <w:rPr/>
      </w:pPr>
      <w:r>
        <w:rPr/>
        <w:t> </w:t>
      </w:r>
    </w:p>
    <w:p>
      <w:pPr>
        <w:pStyle w:val="TextBody"/>
        <w:bidi w:val="0"/>
        <w:spacing w:before="117" w:after="283"/>
        <w:ind w:left="14" w:right="144" w:hanging="0"/>
        <w:jc w:val="both"/>
        <w:rPr>
          <w:rFonts w:ascii="Verdana;sans-serif" w:hAnsi="Verdana;sans-serif"/>
          <w:color w:val="000000"/>
          <w:sz w:val="20"/>
        </w:rPr>
      </w:pPr>
      <w:r>
        <w:rPr>
          <w:rFonts w:ascii="Verdana;sans-serif" w:hAnsi="Verdana;sans-serif"/>
          <w:color w:val="000000"/>
          <w:sz w:val="20"/>
        </w:rPr>
        <w:t>Meeting, PST Legal AG, in writing or electronically as described below; or</w:t>
      </w:r>
    </w:p>
    <w:p>
      <w:pPr>
        <w:pStyle w:val="TextBody"/>
        <w:bidi w:val="0"/>
        <w:spacing w:before="117" w:after="283"/>
        <w:ind w:left="14" w:right="144" w:hanging="0"/>
        <w:jc w:val="both"/>
        <w:rPr>
          <w:color w:val="000000"/>
        </w:rPr>
      </w:pPr>
      <w:r>
        <w:rPr>
          <w:color w:val="000000"/>
        </w:rPr>
        <w:t>•</w:t>
      </w:r>
    </w:p>
    <w:p>
      <w:pPr>
        <w:pStyle w:val="TextBody"/>
        <w:bidi w:val="0"/>
        <w:spacing w:before="117" w:after="283"/>
        <w:jc w:val="both"/>
        <w:rPr>
          <w:rFonts w:ascii="Verdana;sans-serif" w:hAnsi="Verdana;sans-serif"/>
          <w:color w:val="000000"/>
          <w:sz w:val="20"/>
        </w:rPr>
      </w:pPr>
      <w:r>
        <w:rPr>
          <w:rFonts w:ascii="Verdana;sans-serif" w:hAnsi="Verdana;sans-serif"/>
          <w:color w:val="000000"/>
          <w:sz w:val="20"/>
        </w:rPr>
        <w:t>grant a proxy in writing to another shareholder or other third party who must present himself or herself at the admission desk at the latest 20 minutes prior to the beginning of the 2026 Annual General Meeting. Such proxy form is available for download on our website at https://investors.oculis.com/events-presentations and the Broadridge portal. The proxyholder must present an original of the signed proxy form at the 2026 Annual General Meeting, proof of ownership and a valid government issued identification document.</w:t>
      </w:r>
    </w:p>
    <w:p>
      <w:pPr>
        <w:pStyle w:val="TextBody"/>
        <w:bidi w:val="0"/>
        <w:spacing w:before="117" w:after="283"/>
        <w:ind w:left="0" w:right="138" w:firstLine="567"/>
        <w:jc w:val="both"/>
        <w:rPr>
          <w:rFonts w:ascii="Verdana;sans-serif" w:hAnsi="Verdana;sans-serif"/>
          <w:i/>
          <w:color w:val="000000"/>
          <w:sz w:val="20"/>
          <w:u w:val="single"/>
        </w:rPr>
      </w:pPr>
      <w:r>
        <w:rPr>
          <w:rFonts w:ascii="Verdana;sans-serif" w:hAnsi="Verdana;sans-serif"/>
          <w:i/>
          <w:color w:val="000000"/>
          <w:sz w:val="20"/>
          <w:u w:val="single"/>
        </w:rPr>
        <w:t>Shares held on Nasdaq US – Managed by Broadridge</w:t>
      </w:r>
    </w:p>
    <w:p>
      <w:pPr>
        <w:pStyle w:val="TextBody"/>
        <w:bidi w:val="0"/>
        <w:spacing w:before="117" w:after="283"/>
        <w:ind w:left="567" w:right="136" w:hanging="0"/>
        <w:jc w:val="both"/>
        <w:rPr>
          <w:rFonts w:ascii="Times New Roman" w:hAnsi="Times New Roman"/>
          <w:sz w:val="20"/>
        </w:rPr>
      </w:pPr>
      <w:r>
        <w:rPr>
          <w:rFonts w:ascii="Verdana;sans-serif" w:hAnsi="Verdana;sans-serif"/>
          <w:color w:val="000000"/>
          <w:sz w:val="20"/>
        </w:rPr>
        <w:t>Shareholders holding shares trading on Nasdaq US may provide proxies through Broadridge. Written proxies to the independent proxy must be mailed to and received by Broadridge by 11:59 p.m. EDT on 11 May 2026 / 3:59 a.m. GMT on 12 May 2026 / 5:59 a.m. CEST on 12 May 2026. Proxies received after such time will not be considered. Please do not send your proxy card directly to the independent proxy. The login information for electronic instructions to the independent proxy is set forth on the proxy form. Electronic instructions must be received no later than 11:59 p.m. EDT on 11 May 2026 / 3:59 a.m. GMT on 12 May 2026 / 5:59 a.m. CEST on 12 May 2026.</w:t>
      </w:r>
      <w:r>
        <w:rPr>
          <w:rFonts w:ascii="Times New Roman" w:hAnsi="Times New Roman"/>
          <w:color w:val="000000"/>
          <w:sz w:val="20"/>
        </w:rPr>
        <w:t xml:space="preserve"> </w:t>
      </w:r>
    </w:p>
    <w:p>
      <w:pPr>
        <w:pStyle w:val="TextBody"/>
        <w:bidi w:val="0"/>
        <w:spacing w:before="117" w:after="283"/>
        <w:ind w:left="567" w:right="136" w:hanging="0"/>
        <w:jc w:val="both"/>
        <w:rPr>
          <w:rFonts w:ascii="Verdana;sans-serif" w:hAnsi="Verdana;sans-serif"/>
          <w:color w:val="000000"/>
          <w:sz w:val="20"/>
        </w:rPr>
      </w:pPr>
      <w:r>
        <w:rPr>
          <w:rFonts w:ascii="Verdana;sans-serif" w:hAnsi="Verdana;sans-serif"/>
          <w:color w:val="000000"/>
          <w:sz w:val="20"/>
        </w:rPr>
        <w:t>Shareholders that have granted a proxy to the independent proxy, in writing or electronically, may not vote their shares at the 2026 Annual General Meeting.</w:t>
      </w:r>
    </w:p>
    <w:p>
      <w:pPr>
        <w:pStyle w:val="TextBody"/>
        <w:bidi w:val="0"/>
        <w:spacing w:before="117" w:after="283"/>
        <w:ind w:left="561" w:right="138" w:hanging="0"/>
        <w:jc w:val="both"/>
        <w:rPr>
          <w:rFonts w:ascii="Verdana;sans-serif" w:hAnsi="Verdana;sans-serif"/>
          <w:i/>
          <w:color w:val="000000"/>
          <w:sz w:val="20"/>
          <w:u w:val="single"/>
        </w:rPr>
      </w:pPr>
      <w:r>
        <w:rPr>
          <w:rFonts w:ascii="Verdana;sans-serif" w:hAnsi="Verdana;sans-serif"/>
          <w:i/>
          <w:color w:val="000000"/>
          <w:sz w:val="20"/>
          <w:u w:val="single"/>
        </w:rPr>
        <w:t>Shares held on Nasdaq Iceland - Using the Lumi AGM Mobile Platform</w:t>
      </w:r>
    </w:p>
    <w:p>
      <w:pPr>
        <w:pStyle w:val="TextBody"/>
        <w:bidi w:val="0"/>
        <w:spacing w:before="117" w:after="283"/>
        <w:ind w:left="567" w:right="136" w:hanging="0"/>
        <w:jc w:val="both"/>
        <w:rPr>
          <w:rFonts w:ascii="Times New Roman" w:hAnsi="Times New Roman"/>
          <w:sz w:val="20"/>
        </w:rPr>
      </w:pPr>
      <w:r>
        <w:rPr>
          <w:rFonts w:ascii="Verdana;sans-serif" w:hAnsi="Verdana;sans-serif"/>
          <w:color w:val="000000"/>
          <w:sz w:val="20"/>
        </w:rPr>
        <w:t xml:space="preserve">Shareholders holding shares trading on Nasdaq Iceland may submit their voting instructions electronically via the Lumi AGM Mobile Platform provided by Lumi Global. To register for voting of your shares, please access the following link: </w:t>
      </w:r>
      <w:r>
        <w:rPr>
          <w:rFonts w:ascii="Verdana;sans-serif" w:hAnsi="Verdana;sans-serif"/>
          <w:sz w:val="20"/>
        </w:rPr>
        <w:t>www.lumiconnect.com/events/oculisagm2026</w:t>
      </w:r>
      <w:r>
        <w:rPr>
          <w:rFonts w:ascii="Verdana;sans-serif" w:hAnsi="Verdana;sans-serif"/>
          <w:color w:val="000000"/>
          <w:sz w:val="20"/>
        </w:rPr>
        <w:t>. Shareholders holding shares trading on Nasdaq Iceland will not receive physical proxy materials and will instead receive electronic voting instructions. Please register with the Lumi AGM Mobile Platform no later than 7 May 2026 to ensure sufficient time to process your registration and submit your voting instructions. Voting instructions via the Lumi AGM Mobile Platform must be completed by 11:59 p.m. EDT on 11 May 2026 / 3:59 a.m. GMT on 12 May 2026 / 5:59 a.m. CEST on 12 May 2026. At the 2026 Annual General Meeting, the independent proxy will cast votes in accordance with the voting instructions submitted through the Lumi AGM Mobile Platform.</w:t>
      </w:r>
    </w:p>
    <w:p>
      <w:pPr>
        <w:pStyle w:val="TextBody"/>
        <w:bidi w:val="0"/>
        <w:spacing w:before="117" w:after="283"/>
        <w:ind w:left="567" w:right="136" w:hanging="0"/>
        <w:jc w:val="both"/>
        <w:rPr>
          <w:rFonts w:ascii="Verdana;sans-serif" w:hAnsi="Verdana;sans-serif"/>
          <w:color w:val="000000"/>
          <w:sz w:val="20"/>
        </w:rPr>
      </w:pPr>
      <w:r>
        <w:rPr>
          <w:rFonts w:ascii="Verdana;sans-serif" w:hAnsi="Verdana;sans-serif"/>
          <w:color w:val="000000"/>
          <w:sz w:val="20"/>
        </w:rPr>
        <w:t>Shareholders using the Lumi AGM Mobile Platform may appoint a proxy holder via the Lumi AGM Mobile Platform. During registration, the proxy holder must enter their personal details, upload a valid ID, specify the relevant shareholder ID/account number(s), and upload one combined document containing all applicable powers of attorney (proxies). A proxy document is required if the shareholder ID/account number differs from the ID provided or if acting on behalf of one or more additional accounts. The proxy documentation must clearly authorize the proxy holder to submit voting instructions on behalf of the relevant shareholder(s). All proxy authorizations must be submitted as a single combined document during registration (multiple separate submissions will not be accepted), and the identity of the proxy holder must match the uploaded identification. Once the registration has been reviewed and approved, login credentials will be provided, enabling the proxy holder to submit voting instructions within the pre-voting period.</w:t>
      </w:r>
    </w:p>
    <w:p>
      <w:pPr>
        <w:pStyle w:val="TextBody"/>
        <w:bidi w:val="0"/>
        <w:spacing w:before="80" w:after="283"/>
        <w:ind w:left="14" w:right="0" w:hanging="0"/>
        <w:jc w:val="both"/>
        <w:rPr>
          <w:rFonts w:ascii="Verdana" w:hAnsi="Verdana"/>
          <w:i/>
          <w:color w:val="000000"/>
          <w:sz w:val="20"/>
        </w:rPr>
      </w:pPr>
      <w:r>
        <w:rPr>
          <w:rFonts w:ascii="Verdana" w:hAnsi="Verdana"/>
          <w:i/>
          <w:color w:val="000000"/>
          <w:sz w:val="20"/>
        </w:rPr>
        <w:t>4</w:t>
      </w:r>
    </w:p>
    <w:p>
      <w:pPr>
        <w:pStyle w:val="TextBody"/>
        <w:bidi w:val="0"/>
        <w:spacing w:before="80" w:after="283"/>
        <w:jc w:val="both"/>
        <w:rPr>
          <w:rFonts w:ascii="Verdana;sans-serif" w:hAnsi="Verdana;sans-serif"/>
          <w:i/>
          <w:color w:val="000000"/>
          <w:sz w:val="20"/>
        </w:rPr>
      </w:pPr>
      <w:r>
        <w:rPr>
          <w:rFonts w:ascii="Verdana;sans-serif" w:hAnsi="Verdana;sans-serif"/>
          <w:i/>
          <w:color w:val="000000"/>
          <w:sz w:val="20"/>
        </w:rPr>
        <w:t>Registration as Holder of Record</w:t>
      </w:r>
    </w:p>
    <w:p>
      <w:pPr>
        <w:pStyle w:val="TextBody"/>
        <w:bidi w:val="0"/>
        <w:spacing w:before="81" w:after="283"/>
        <w:ind w:left="561" w:right="137" w:hanging="0"/>
        <w:jc w:val="both"/>
        <w:rPr>
          <w:rFonts w:ascii="Verdana;sans-serif" w:hAnsi="Verdana;sans-serif"/>
          <w:color w:val="000000"/>
          <w:sz w:val="20"/>
        </w:rPr>
      </w:pPr>
      <w:r>
        <w:rPr>
          <w:rFonts w:ascii="Verdana;sans-serif" w:hAnsi="Verdana;sans-serif"/>
          <w:color w:val="000000"/>
          <w:sz w:val="20"/>
        </w:rPr>
        <w:t>Between 5:00 p.m. EDT / 9:00 p.m. GMT / 11:00 p.m. CEST on 15 April 2026 and 12:00 p.m. EDT / 4:00 GMT / 6:00 p.m. CEST on 13 May 2026, no new shareholder will be registered for voting purposes. Continental Stock Transfer &amp; Trust Company will continue to register transfers of shares in the share register in its capacity as transfer agent.</w:t>
      </w:r>
    </w:p>
    <w:p>
      <w:pPr>
        <w:pStyle w:val="TextBody"/>
        <w:bidi w:val="0"/>
        <w:spacing w:before="80" w:after="283"/>
        <w:ind w:left="14" w:right="0" w:hanging="0"/>
        <w:jc w:val="both"/>
        <w:rPr>
          <w:rFonts w:ascii="Verdana" w:hAnsi="Verdana"/>
          <w:i/>
          <w:color w:val="000000"/>
          <w:sz w:val="20"/>
        </w:rPr>
      </w:pPr>
      <w:r>
        <w:rPr>
          <w:rFonts w:ascii="Verdana" w:hAnsi="Verdana"/>
          <w:i/>
          <w:color w:val="000000"/>
          <w:sz w:val="20"/>
        </w:rPr>
        <w:t>5</w:t>
      </w:r>
    </w:p>
    <w:p>
      <w:pPr>
        <w:pStyle w:val="TextBody"/>
        <w:bidi w:val="0"/>
        <w:spacing w:before="80" w:after="283"/>
        <w:jc w:val="both"/>
        <w:rPr>
          <w:rFonts w:ascii="Verdana;sans-serif" w:hAnsi="Verdana;sans-serif"/>
          <w:i/>
          <w:color w:val="000000"/>
          <w:sz w:val="20"/>
        </w:rPr>
      </w:pPr>
      <w:r>
        <w:rPr>
          <w:rFonts w:ascii="Verdana;sans-serif" w:hAnsi="Verdana;sans-serif"/>
          <w:i/>
          <w:color w:val="000000"/>
          <w:sz w:val="20"/>
        </w:rPr>
        <w:t>Trading Restrictions</w:t>
      </w:r>
    </w:p>
    <w:p>
      <w:pPr>
        <w:pStyle w:val="TextBody"/>
        <w:bidi w:val="0"/>
        <w:spacing w:before="81" w:after="283"/>
        <w:ind w:left="561" w:right="137" w:hanging="0"/>
        <w:jc w:val="both"/>
        <w:rPr>
          <w:rFonts w:ascii="Times New Roman" w:hAnsi="Times New Roman"/>
          <w:sz w:val="20"/>
        </w:rPr>
      </w:pPr>
      <w:r>
        <w:rPr>
          <w:rFonts w:ascii="Verdana;sans-serif" w:hAnsi="Verdana;sans-serif"/>
          <w:color w:val="000000"/>
          <w:sz w:val="20"/>
        </w:rPr>
        <w:t>The registration of shareholders for voting purposes does not impact trading of shares in Oculis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Verdana;sans-serif" w:hAnsi="Verdana;sans-serif"/>
          <w:color w:val="000000"/>
          <w:sz w:val="14"/>
        </w:rPr>
      </w:pPr>
      <w:r>
        <w:rPr>
          <w:rFonts w:ascii="Verdana;sans-serif" w:hAnsi="Verdana;sans-serif"/>
          <w:color w:val="000000"/>
          <w:sz w:val="14"/>
        </w:rPr>
        <w:t>13</w:t>
      </w:r>
    </w:p>
    <w:p>
      <w:pPr>
        <w:pStyle w:val="TextBody"/>
        <w:bidi w:val="0"/>
        <w:jc w:val="left"/>
        <w:rPr/>
      </w:pPr>
      <w:r>
        <w:rPr/>
        <w:t> </w:t>
      </w:r>
    </w:p>
    <w:p>
      <w:pPr>
        <w:pStyle w:val="TextBody"/>
        <w:bidi w:val="0"/>
        <w:spacing w:before="81" w:after="283"/>
        <w:ind w:left="561" w:right="137" w:hanging="0"/>
        <w:jc w:val="both"/>
        <w:rPr>
          <w:rFonts w:ascii="Verdana;sans-serif" w:hAnsi="Verdana;sans-serif"/>
          <w:color w:val="000000"/>
          <w:sz w:val="20"/>
        </w:rPr>
      </w:pPr>
      <w:r>
        <w:rPr>
          <w:rFonts w:ascii="Verdana;sans-serif" w:hAnsi="Verdana;sans-serif"/>
          <w:color w:val="000000"/>
          <w:sz w:val="20"/>
        </w:rPr>
        <w:t>Holding AG held by registered shareholders before, during or after the 2026 Annual General Meeting. Shareholders selling their shares in Oculis Holding AG prior to the 2026 Annual General Meeting are excluded from voting.</w:t>
      </w:r>
    </w:p>
    <w:p>
      <w:pPr>
        <w:pStyle w:val="TextBody"/>
        <w:bidi w:val="0"/>
        <w:spacing w:before="81" w:after="283"/>
        <w:ind w:left="561" w:right="137" w:hanging="0"/>
        <w:jc w:val="both"/>
        <w:rPr/>
      </w:pPr>
      <w:r>
        <w:rPr/>
        <w:t> </w:t>
      </w:r>
    </w:p>
    <w:p>
      <w:pPr>
        <w:pStyle w:val="TextBody"/>
        <w:bidi w:val="0"/>
        <w:spacing w:before="81" w:after="283"/>
        <w:ind w:left="561" w:right="137" w:hanging="0"/>
        <w:jc w:val="both"/>
        <w:rPr/>
      </w:pPr>
      <w:r>
        <w:rPr/>
        <w:t> </w:t>
      </w:r>
    </w:p>
    <w:p>
      <w:pPr>
        <w:pStyle w:val="TextBody"/>
        <w:bidi w:val="0"/>
        <w:ind w:left="422" w:right="0" w:hanging="0"/>
        <w:jc w:val="center"/>
        <w:rPr>
          <w:rFonts w:ascii="Verdana;sans-serif" w:hAnsi="Verdana;sans-serif"/>
          <w:b/>
          <w:i/>
          <w:color w:val="000000"/>
          <w:sz w:val="20"/>
        </w:rPr>
      </w:pPr>
      <w:r>
        <w:rPr>
          <w:rFonts w:ascii="Verdana;sans-serif" w:hAnsi="Verdana;sans-serif"/>
          <w:b/>
          <w:i/>
          <w:color w:val="000000"/>
          <w:sz w:val="20"/>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ocs-ex99_3.htm"/>
      <w:bookmarkStart w:id="7" w:name="ksocsex99_3"/>
      <w:bookmarkEnd w:id="6"/>
      <w:bookmarkEnd w:id="7"/>
      <w:r>
        <w:rPr>
          <w:rFonts w:ascii="Times New Roman" w:hAnsi="Times New Roman"/>
          <w:b/>
          <w:color w:val="000000"/>
          <w:sz w:val="20"/>
        </w:rPr>
        <w:t>Exhibit 99.3</w:t>
      </w:r>
      <w:r>
        <w:br w:type="page"/>
      </w:r>
    </w:p>
    <w:p>
      <w:pPr>
        <w:pStyle w:val="TextBody"/>
        <w:bidi w:val="0"/>
        <w:jc w:val="left"/>
        <w:rPr/>
      </w:pPr>
      <w:r>
        <w:rPr/>
        <w:t> </w:t>
      </w:r>
    </w:p>
    <w:p>
      <w:pPr>
        <w:pStyle w:val="TextBody"/>
        <w:bidi w:val="0"/>
        <w:jc w:val="center"/>
        <w:rPr/>
      </w:pPr>
      <w:r>
        <w:rPr/>
        <w:drawing>
          <wp:inline distT="0" distB="0" distL="0" distR="0">
            <wp:extent cx="6858000" cy="8867775"/>
            <wp:effectExtent l="0" t="0" r="0" b="0"/>
            <wp:docPr id="3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
                    <pic:cNvPicPr>
                      <a:picLocks noChangeAspect="1" noChangeArrowheads="1"/>
                    </pic:cNvPicPr>
                  </pic:nvPicPr>
                  <pic:blipFill>
                    <a:blip r:embed="rId11"/>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SCAN TO VIEW MATERIALS &amp; VOTEOCULIS HOLDING AGBAHNHOFSTRASSE 206300 ZUGSWITZERLANDVOTE BY INTERNET - www.proxyvote.com or scan the QR Barcode aboveUse the Internet to transmit your voting instructions and for electronic delivery of information up until 11:59 p.m. Eastern Time on May 11, 2026.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up until 11:59 p.m. Eastern Time on May 11, 2026. Have your proxy card in hand when you call and then follow the instructions.VOTE BY MAILMark, sign and date your proxy card and return it in the postage-paid envelope we have provided or return it to Vote Processing, c/o Broadridge, 51 Mercedes Way, Edgewood, NY 11717.V95666-P49298OCULIS HOLDING AGTHE BOARD OF DIRECTORS OF THE COMPANY RECOMMENDS THAT YOU VOTE YOUR SHARESFORAGENDA ITEMS 1-12For AgainstAbstain!1.APPROVAL OF THE 2025 ANNUAL REPORT INCLUDING THE 2025 ANNUAL (STATUTORY) FINANCIAL STATEMENTS AND THE 2025 CONSOLIDATED FINANCIAL STATEMENTS!!!For AgainstAbstain2.ALLOCATION OF BALANCE SHEET RESULTS 20253.DISCHARGE TO THE MEMBERS OF THE BOARD OF DIRECTORS AND THE EXECUTIVE COMMITTEE6.RE-ELECTION OF PRICEWATERHOUSECOOPERS SA (LAUSANNE) AS STATUTORY AUDITORS4.ELECTION OF THE CHAIRPERSON AND THE OTHER MEMBERS OF THE BOARD OF DIRECTORS!!!7.ELECTION OF BLUM &amp; PARTNER AG (ZUG) AS INDEPENDENT PROXY4.1Re-election of Anthony Rosenberg as Member and Chairperson of the Board of Directors8.COMPENSATION FOR THE NON-EXECUTIVE MEMBERS OF THE BOARD OF DIRECTORS4.2Re-election of Christina Ackermann8.1Vote on Total Fixed (Non-Performance-Related) Compensation for Non-Executive Members of the Board of Directors until the end of the Company's 2027 Annual General Meeting!!!!!4.3Re-election of Lionel Carnot8.2Vote on Equity or Equity Based Compensation for Non-Executive Members of the Board of Directors until the end of the Company's 2027 Annual General Meeting!!!4.4Re-election of Arshad M. Khanani9.COMPENSATION FOR THE MEMBERS OF THE EXECUTIVE COMMITTEE!!!4.5Re-election of Martijn Kleijwegt9.1Vote on Fixed (Non-Performance-Related) Compensation for Members of the Executive Committee payable in 20279.2Vote on variable Compensation for Members of the Executive Committee payable in 20279.3Vote on Equity Based Compensation for Members of the Executive Committee for 2027!!!4.6Re-election of Geraldine O'Keeffe!4.7Re-election of Riad Sherif!10.NON-BINDING ADVISORY VOTE ON THE 2025 COMPENSATION REPORT4.8Re-election of Robert K. Warner!!4.9 Election of Gregory D. Perry5.ELECTION OF THE MEMBERS OF THE COMPENSATION COMMITTEE!!!11.INCREASE AND AMENDMENT OF CAPITAL BAND*5.1Re-election of Lionel Carnot12.INCREASE OF CONDITIONAL SHARE CAPITAL FOR EMPLOYEE BENEFIT PLANS*!5.2Election of Geraldine O'Keeffe*Please mark either Foror Against because abstentions have the legal effect ofAgainst .5.3Election of Gregory D. PerryNote: Please sign exactly as name appears hereon. When shares are held by joint owners, both should sign. When signing as attorney, executor, administrator, trustee, guardian, or corporate officer, please give title as such.</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pPr>
      <w:r>
        <w:rPr/>
        <w:drawing>
          <wp:inline distT="0" distB="0" distL="0" distR="0">
            <wp:extent cx="6858000" cy="8867775"/>
            <wp:effectExtent l="0" t="0" r="0" b="0"/>
            <wp:docPr id="3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6" descr=""/>
                    <pic:cNvPicPr>
                      <a:picLocks noChangeAspect="1" noChangeArrowheads="1"/>
                    </pic:cNvPicPr>
                  </pic:nvPicPr>
                  <pic:blipFill>
                    <a:blip r:embed="rId12"/>
                    <a:stretch>
                      <a:fillRect/>
                    </a:stretch>
                  </pic:blipFill>
                  <pic:spPr bwMode="auto">
                    <a:xfrm>
                      <a:off x="0" y="0"/>
                      <a:ext cx="6858000" cy="88677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Internet Availability of Proxy Materials for the 2026Annual General Meeting of Shareholders:The Meeting Invitation is available at www.proxyvote.comV95667-P49298OCULIS HOLDING AGANNUAL GENERAL MEETING OF SHAREHOLDERSMAY 13, 2026 12:00 PM CEST / 6:00 AM EDTTHIS PROXY IS SOLICITED ON BEHALF OF THE BOARD OF DIRECTORSThe undersigned appoints the current independent proxy of the Company, PST Legal AG, as proxy, and authorizes them to represent and to vote, as designated on the reverse hereof, all of the ordinary shares of Oculis Holding AG ( Oculis ), held of record by the undersigned at the close of business on April 15, 2026 at the 2026 Annual General Meeting of Shareholders of Oculis to be held on May 13, 2026, or at any adjournment thereof.THIS PROXY WHEN PROPERLY EXECUTED WILL BE VOTED AS INDICATED. IF NO CONTRARY INDICATION IS MADE, THE PROXY WILL BE VOTED IN FAVOR OF AGENDA ITEMS 1-12, AND IN ACCORDANCE WITH THE JUDGMENT OF THE PROXY NAMED HEREIN ON ANY OTHER MATTERS THAT MAY PROPERLY COME BEFORE THE ANNUAL GENERAL MEETING. THIS PROXY IS SOLICITED ON BEHALF OF THE BOARD OF DIRECTORS.(Continued and to be marked, dated and signed, on the other side)</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8" w:name="ocs-ex99_4.htm"/>
      <w:bookmarkStart w:id="9" w:name="ksocsex99_4"/>
      <w:bookmarkEnd w:id="8"/>
      <w:bookmarkEnd w:id="9"/>
      <w:r>
        <w:rPr>
          <w:rFonts w:ascii="Arial" w:hAnsi="Arial"/>
          <w:b/>
          <w:color w:val="000000"/>
          <w:sz w:val="20"/>
        </w:rPr>
        <w:t>Exhibit 99.4</w:t>
      </w:r>
      <w:r>
        <w:br w:type="page"/>
      </w:r>
    </w:p>
    <w:p>
      <w:pPr>
        <w:pStyle w:val="Heading2"/>
        <w:bidi w:val="0"/>
        <w:spacing w:before="200" w:after="283"/>
        <w:jc w:val="right"/>
        <w:rPr/>
      </w:pPr>
      <w:r>
        <w:rPr/>
        <w:drawing>
          <wp:inline distT="0" distB="0" distL="0" distR="0">
            <wp:extent cx="1476375" cy="400050"/>
            <wp:effectExtent l="0" t="0" r="0" b="0"/>
            <wp:docPr id="3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7" descr=""/>
                    <pic:cNvPicPr>
                      <a:picLocks noChangeAspect="1" noChangeArrowheads="1"/>
                    </pic:cNvPicPr>
                  </pic:nvPicPr>
                  <pic:blipFill>
                    <a:blip r:embed="rId13"/>
                    <a:stretch>
                      <a:fillRect/>
                    </a:stretch>
                  </pic:blipFill>
                  <pic:spPr bwMode="auto">
                    <a:xfrm>
                      <a:off x="0" y="0"/>
                      <a:ext cx="1476375" cy="400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32"/>
        </w:rPr>
        <w:t>Oculis Holding AG</w:t>
      </w:r>
      <w:r>
        <w:rPr>
          <w:rFonts w:ascii="Times New Roman" w:hAnsi="Times New Roman"/>
          <w:color w:val="000000"/>
          <w:sz w:val="20"/>
        </w:rPr>
        <w:t xml:space="preserve"> </w:t>
      </w:r>
    </w:p>
    <w:p>
      <w:pPr>
        <w:pStyle w:val="TextBody"/>
        <w:bidi w:val="0"/>
        <w:jc w:val="left"/>
        <w:rPr>
          <w:rFonts w:ascii="Times New Roman" w:hAnsi="Times New Roman"/>
          <w:color w:val="000000"/>
          <w:sz w:val="32"/>
        </w:rPr>
      </w:pPr>
      <w:r>
        <w:rPr>
          <w:rFonts w:ascii="Times New Roman" w:hAnsi="Times New Roman"/>
          <w:color w:val="000000"/>
          <w:sz w:val="32"/>
        </w:rPr>
        <w:t>2025 Annual Report</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8476"/>
        <w:gridCol w:w="146"/>
        <w:gridCol w:w="466"/>
      </w:tblGrid>
      <w:tr>
        <w:trPr/>
        <w:tc>
          <w:tcPr>
            <w:tcW w:w="8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8476" w:type="dxa"/>
            <w:tcBorders/>
            <w:tcMar>
              <w:top w:w="0" w:type="dxa"/>
              <w:left w:w="0" w:type="dxa"/>
              <w:bottom w:w="0" w:type="dxa"/>
              <w:right w:w="0" w:type="dxa"/>
            </w:tcMar>
            <w:vAlign w:val="center"/>
          </w:tcPr>
          <w:p>
            <w:pPr>
              <w:pStyle w:val="TableContents"/>
              <w:bidi w:val="0"/>
              <w:spacing w:before="0" w:after="283"/>
              <w:jc w:val="left"/>
              <w:rPr/>
            </w:pPr>
            <w:hyperlink w:anchor="letter_to_shareholders">
              <w:r>
                <w:rPr>
                  <w:rStyle w:val="InternetLink"/>
                  <w:rFonts w:ascii="Times New Roman" w:hAnsi="Times New Roman"/>
                  <w:color w:val="0000FF"/>
                  <w:sz w:val="20"/>
                  <w:u w:val="single"/>
                </w:rPr>
                <w:t>Letter to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business_update">
              <w:r>
                <w:rPr>
                  <w:rStyle w:val="InternetLink"/>
                  <w:rFonts w:ascii="Times New Roman" w:hAnsi="Times New Roman"/>
                  <w:color w:val="0000FF"/>
                  <w:sz w:val="20"/>
                  <w:u w:val="single"/>
                </w:rPr>
                <w:t>Business Update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financial_review">
              <w:r>
                <w:rPr>
                  <w:rStyle w:val="InternetLink"/>
                  <w:rFonts w:ascii="Times New Roman" w:hAnsi="Times New Roman"/>
                  <w:color w:val="0000FF"/>
                  <w:sz w:val="20"/>
                  <w:u w:val="single"/>
                </w:rPr>
                <w:t>Financial Review</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44</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corporate_governance">
              <w:r>
                <w:rPr>
                  <w:rStyle w:val="InternetLink"/>
                  <w:rFonts w:ascii="Times New Roman" w:hAnsi="Times New Roman"/>
                  <w:color w:val="0000FF"/>
                  <w:sz w:val="20"/>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58</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report_of_the_statutory_auditor_to_the">
              <w:r>
                <w:rPr>
                  <w:rStyle w:val="InternetLink"/>
                  <w:rFonts w:ascii="Times New Roman" w:hAnsi="Times New Roman"/>
                  <w:color w:val="0000FF"/>
                  <w:sz w:val="20"/>
                  <w:u w:val="single"/>
                </w:rPr>
                <w:t>Report of the Statutory Auditor to the General Meeting on the Consolidated Financial Statements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72</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ifrs_consolidated_financial_statements">
              <w:r>
                <w:rPr>
                  <w:rStyle w:val="InternetLink"/>
                  <w:rFonts w:ascii="Times New Roman" w:hAnsi="Times New Roman"/>
                  <w:color w:val="0000FF"/>
                  <w:sz w:val="20"/>
                  <w:u w:val="single"/>
                </w:rPr>
                <w:t>IFRS Consolidated Financial Statements as of and for the year ended December 31,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79</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report_of_the_statutory_auditor_to_the1">
              <w:r>
                <w:rPr>
                  <w:rStyle w:val="InternetLink"/>
                  <w:rFonts w:ascii="Times New Roman" w:hAnsi="Times New Roman"/>
                  <w:color w:val="0000FF"/>
                  <w:sz w:val="20"/>
                  <w:u w:val="single"/>
                </w:rPr>
                <w:t>Report of the Statutory Auditor to the General Meeting on the Financial Statements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116</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statutory_financial_stmts_oculis_holding">
              <w:r>
                <w:rPr>
                  <w:rStyle w:val="InternetLink"/>
                  <w:rFonts w:ascii="Times New Roman" w:hAnsi="Times New Roman"/>
                  <w:color w:val="0000FF"/>
                  <w:sz w:val="20"/>
                  <w:u w:val="single"/>
                </w:rPr>
                <w:t>Statutory Financial Statements of Oculis Holding AG for the period ending December 31,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121</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report_of_the_statutory_auditor_to_the2">
              <w:r>
                <w:rPr>
                  <w:rStyle w:val="InternetLink"/>
                  <w:rFonts w:ascii="Times New Roman" w:hAnsi="Times New Roman"/>
                  <w:color w:val="0000FF"/>
                  <w:sz w:val="20"/>
                  <w:u w:val="single"/>
                </w:rPr>
                <w:t>Report of the Statutory Auditor to the General Meeting on the Compensation Report 2025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135</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compensation_report_2024_of_oculis">
              <w:r>
                <w:rPr>
                  <w:rStyle w:val="InternetLink"/>
                  <w:rFonts w:ascii="Times New Roman" w:hAnsi="Times New Roman"/>
                  <w:color w:val="0000FF"/>
                  <w:sz w:val="20"/>
                  <w:u w:val="single"/>
                </w:rPr>
                <w:t>Compensation Report 2025 of Oculis Holding AG</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139</w:t>
            </w:r>
          </w:p>
        </w:tc>
      </w:tr>
      <w:tr>
        <w:trPr/>
        <w:tc>
          <w:tcPr>
            <w:tcW w:w="8476" w:type="dxa"/>
            <w:tcBorders/>
            <w:tcMar>
              <w:top w:w="0" w:type="dxa"/>
              <w:left w:w="0" w:type="dxa"/>
              <w:bottom w:w="0" w:type="dxa"/>
              <w:right w:w="0" w:type="dxa"/>
            </w:tcMar>
            <w:vAlign w:val="center"/>
          </w:tcPr>
          <w:p>
            <w:pPr>
              <w:pStyle w:val="TableContents"/>
              <w:bidi w:val="0"/>
              <w:spacing w:before="40" w:after="283"/>
              <w:jc w:val="left"/>
              <w:rPr/>
            </w:pPr>
            <w:hyperlink w:anchor="forward_looking_statements">
              <w:r>
                <w:rPr>
                  <w:rStyle w:val="InternetLink"/>
                  <w:rFonts w:ascii="Times New Roman" w:hAnsi="Times New Roman"/>
                  <w:color w:val="0000FF"/>
                  <w:sz w:val="20"/>
                  <w:u w:val="single"/>
                </w:rPr>
                <w:t>Forward Looking Statements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46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153</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3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8" descr=""/>
                    <pic:cNvPicPr>
                      <a:picLocks noChangeAspect="1" noChangeArrowheads="1"/>
                    </pic:cNvPicPr>
                  </pic:nvPicPr>
                  <pic:blipFill>
                    <a:blip r:embed="rId14"/>
                    <a:stretch>
                      <a:fillRect/>
                    </a:stretch>
                  </pic:blipFill>
                  <pic:spPr bwMode="auto">
                    <a:xfrm>
                      <a:off x="0" y="0"/>
                      <a:ext cx="1476375" cy="400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0" w:name="letter_to_shareholders"/>
      <w:bookmarkEnd w:id="10"/>
      <w:r>
        <w:rPr>
          <w:rFonts w:ascii="Times New Roman" w:hAnsi="Times New Roman"/>
          <w:color w:val="000000"/>
          <w:sz w:val="32"/>
        </w:rPr>
        <w:t>Letter to</w:t>
      </w:r>
      <w:r>
        <w:rPr>
          <w:rFonts w:ascii="Times New Roman" w:hAnsi="Times New Roman"/>
          <w:color w:val="000000"/>
          <w:sz w:val="20"/>
        </w:rPr>
        <w:t xml:space="preserve"> </w:t>
      </w:r>
      <w:r>
        <w:rPr>
          <w:rFonts w:ascii="Times New Roman" w:hAnsi="Times New Roman"/>
          <w:color w:val="000000"/>
          <w:sz w:val="32"/>
        </w:rPr>
        <w:t>Shareholders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Dear Shareholders,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behalf of Oculis Holding AG ("Oculis"), we are pleased to invite you to our third annual general meeting as a public company, to be held on May 13, 2026, at Ochsen-Zug, Kolinplatz 11, CH-6300 Zug, Switzerland, at 6:00 a.m. EDT / 10:00 a.m. GMT / 12:00 p.m. CEST (the "2026 Annual General Meeting").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2025 was a transformational year for Oculis. The milestones achieved, thanks to your sustained support, have positioned Oculis to unlock substantial value in 2026 and beyond by maintaining rigorous and disciplined execution of our plans and expanding our strategic footprint in neuro-ophthalmology, an area of high unmet medical need.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entered 2025 with strong momentum, and our three core clinical programs—OCS-01 for diabetic macular edema, Licaminlimab (OCS-02) for dry eye disease, and Privosegtor (OCS-05) for optic neuritis and beyond—have advanced meaningfully. Taken together, these programs have the potential to redefine how a range of serious ocular and neuro-ophthalmic conditions are treated.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2025 featured significant clinical progress across Oculis late-stage portfolio</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OCS-01: Advancing Toward the Potential First Eye Drop Treatment for Diabetic Macular Edema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lead program, OCS-01, continues to progress on schedule, and we are pleased to report that enrollment in both trials, DIAMOND-1 and -2, have been completed with over 800 patients randomized across 119 clinical centers globally. This achievement reflects strong support from the medical community and patients for a potential non-invasive topical alternative to the current standard of care. Currently, in the U.S., for example, only a small portion of the 1.8 million people diagnosed with the disease are successfully treated, and we estimate that a staggering ~1 million DME patients are either untreated with mild to moderate vision impairments or are inadequately responding to the current standard of care. OCS-01 is strategically designed to capture this 'lost' majority by providing a non-invasive, topical eye drop for those requiring early intervention and a versatile option for patients who do not respond to existing injections. The topline results from both DIAMOND Phase 3 trials are expected in June 2026, with a subsequent New Drug Application (NDA) submission to the U.S. Food and Drug Administration (FDA) planned for Q4 2026 following a positive readout.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Licaminlimab (OCS-02): Advancing Precision Medicine in Dry Eye Disease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Licaminlimab, a potentially first-in-class anti-TNFα eye drop, is poised to pioneer a new genotype-based development paradigm in ophthalmology. The Licaminlimab Phase 2b RELIEF study demonstrated a greater treatment effect in patients carrying a specific TNFR1 genotype. This profound improvement was observed in two consecutive Phase 2 trials, one in symptoms and one in signs of DED, showing a five to seven-fold greater response in patients with this specific genotype. In the U.S. alone, approximately 10 million patients suffer from moderate to severe DED. Current disease management relies on trial-and-error, and only 13% of patients experience sustained relief, leading to 85-90% discontinuation rate within the first 6 months, underscoring the strong need for a targeted, effective treatment approach. Licaminlimab has the potential to transform the current treatment paradigm by providing a precision medicine approach with efficacy, rapid onset of action, and a comfort level comparable to artificial tears. In 2025, following a successful FDA alignment meeting, we initiated the registrational PREDICT-1 trial in DED, with topline results anticipated around late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Privosegtor (OCS-05): Pioneering a New Era of Neuroprotection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most notable development of 2025 has been the rapid acceleration of Privosegtor, our novel neuroprotective candidate. Following the positive topline readout from the Phase 2 ACUITY trial in optic neuritis (ON) announced earlier this year, we have moved decisively to expand and advance the program. The ACUITY data demonstrated clinically meaningful improvement in low-contrast visual acuity, together with objective evidence of anatomical neuroprotection—including preservation of retinal ganglion cells and axons, as well as significantly reduced levels of neurofilament light chain, a well-established biomarker of neuro-axonal damage associated with conditions such as multiple sclerosis. These results are consistent with a mechanism of action that could have broad relevance across multiple neuro-axonal diseases.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robust ACUITY trial outcome and our regulatory discussions led to the FDA granting Privosegtor Breakthrough Therapy designation for the treatment of optic neuritis and the launch of the PIONEER registrational program in optic neuropathies, indications with a high unmet medical need and no approved neuroprotective treatments, collectively representing an estimated U.S. market opportunity of over $7 billion for Privosegtor.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concurrent execution of the PIONEER trials in optic neuropathies is designed to generate operational synergies, improve cost efficiency, and accelerate Privosegtor's overall development timeline. Privosegtor has received Orphan Drug designation from both the FDA and the European Medicines Agency for ON, which we believe underscores the significance of this program. We are also evaluating Privosegtor as a potential treatment for acute relapses in multiple sclerosis patients—a further demonstration of the breadth of this candidate's future potential.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Most recently, Privosegtor was granted PRIME (PRIority MEdicines) designation by the EMA (European Medicines Agency), a highly selective process offered by the agency to enhance support and accelerate assessment for promising therapies, and for faster patient access targeting high unmet medical needs. This reinforces the broad and strong support from regulators across the world for Privosegtor in optic neuritis.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Focus for 2026: Unlocking Value in Ophthalmology and Neuro-ophthalmology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financial position is strong, thanks to oversubscribed equity financings exceeding $200 million in 2025, which provides a solid foundation for developing innovative therapies and bringing them to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2025 was characterized by operational excellence and transformation, 2026 is planned as a year of landmark accomplishments, with major registrational milestones anticipated: the DIAMOND-1 and DIAMOND-2 trials readout with OCS-01 in DME anticipated in June, the PREDICT-1 trial results for Licaminlimab in DED planned around late 2026, and the initiation of the PIONEER program trials. We are pursuing substantial unmet medical need which represent estimated potential market opportunities of over $30 billion.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behalf of the Oculis team and the board of directors, we are grateful for the continued confidence you have placed in Oculis. Our mission—to preserve and restore vision for patients around the world—remains the driving force behind everything we do, and we look forward to delivering on that mission in the year ahead.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Sincerely,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Riad Sherif, M.D.</w:t>
      </w:r>
    </w:p>
    <w:p>
      <w:pPr>
        <w:pStyle w:val="TextBody"/>
        <w:bidi w:val="0"/>
        <w:jc w:val="both"/>
        <w:rPr>
          <w:rFonts w:ascii="Times New Roman" w:hAnsi="Times New Roman"/>
          <w:color w:val="000000"/>
          <w:sz w:val="20"/>
        </w:rPr>
      </w:pPr>
      <w:r>
        <w:rPr>
          <w:rFonts w:ascii="Times New Roman" w:hAnsi="Times New Roman"/>
          <w:color w:val="000000"/>
          <w:sz w:val="20"/>
        </w:rPr>
        <w:t>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476375" cy="400050"/>
            <wp:effectExtent l="0" t="0" r="0" b="0"/>
            <wp:docPr id="3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 descr=""/>
                    <pic:cNvPicPr>
                      <a:picLocks noChangeAspect="1" noChangeArrowheads="1"/>
                    </pic:cNvPicPr>
                  </pic:nvPicPr>
                  <pic:blipFill>
                    <a:blip r:embed="rId15"/>
                    <a:stretch>
                      <a:fillRect/>
                    </a:stretch>
                  </pic:blipFill>
                  <pic:spPr bwMode="auto">
                    <a:xfrm>
                      <a:off x="0" y="0"/>
                      <a:ext cx="1476375" cy="400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32"/>
        </w:rPr>
      </w:pPr>
      <w:bookmarkStart w:id="11" w:name="business_update"/>
      <w:bookmarkEnd w:id="11"/>
      <w:r>
        <w:rPr>
          <w:rFonts w:ascii="Times New Roman" w:hAnsi="Times New Roman"/>
          <w:color w:val="000000"/>
          <w:sz w:val="32"/>
        </w:rPr>
        <w:t>Business Update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Information on the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History and Development of the Company</w:t>
      </w:r>
    </w:p>
    <w:p>
      <w:pPr>
        <w:pStyle w:val="TextBody"/>
        <w:bidi w:val="0"/>
        <w:spacing w:before="200" w:after="283"/>
        <w:jc w:val="both"/>
        <w:rPr>
          <w:rFonts w:ascii="Times New Roman" w:hAnsi="Times New Roman"/>
          <w:sz w:val="20"/>
        </w:rPr>
      </w:pPr>
      <w:r>
        <w:rPr>
          <w:rFonts w:ascii="Times New Roman" w:hAnsi="Times New Roman"/>
          <w:color w:val="000000"/>
          <w:sz w:val="20"/>
        </w:rPr>
        <w:t>We are a stock corporation (</w:t>
      </w:r>
      <w:r>
        <w:rPr>
          <w:rFonts w:ascii="Times New Roman" w:hAnsi="Times New Roman"/>
          <w:i/>
          <w:color w:val="000000"/>
          <w:sz w:val="20"/>
        </w:rPr>
        <w:t>Aktiengesellschaft</w:t>
      </w:r>
      <w:r>
        <w:rPr>
          <w:rFonts w:ascii="Times New Roman" w:hAnsi="Times New Roman"/>
          <w:color w:val="000000"/>
          <w:sz w:val="20"/>
        </w:rPr>
        <w:t xml:space="preserve">) that was incorporated under the laws of Switzerland on October 31, 2022. We are registered with the commercial register of the Canton of Zug under company registration number </w:t>
      </w:r>
      <w:r>
        <w:rPr>
          <w:rFonts w:ascii="Times New Roman" w:hAnsi="Times New Roman"/>
          <w:sz w:val="20"/>
        </w:rPr>
        <w:t>CHE-396.695.611</w:t>
      </w:r>
      <w:r>
        <w:rPr>
          <w:rFonts w:ascii="Times New Roman" w:hAnsi="Times New Roman"/>
          <w:color w:val="000000"/>
          <w:sz w:val="20"/>
        </w:rPr>
        <w:t xml:space="preserve">. The mailing address of our principal executive office is Oculis Holding AG, Bahnhofstrasse 20, CH-6300, Zug, Switzerland. Neither our articles of association nor the operation of law limit our duration. </w:t>
      </w:r>
    </w:p>
    <w:p>
      <w:pPr>
        <w:pStyle w:val="TextBody"/>
        <w:bidi w:val="0"/>
        <w:spacing w:before="200" w:after="283"/>
        <w:jc w:val="both"/>
        <w:rPr>
          <w:rFonts w:ascii="Times New Roman" w:hAnsi="Times New Roman"/>
          <w:sz w:val="20"/>
        </w:rPr>
      </w:pPr>
      <w:r>
        <w:rPr>
          <w:rFonts w:ascii="Times New Roman" w:hAnsi="Times New Roman"/>
          <w:color w:val="000000"/>
          <w:sz w:val="20"/>
        </w:rPr>
        <w:t>Certain additional information about the Company is included in Item B. “</w:t>
      </w:r>
      <w:r>
        <w:rPr>
          <w:rFonts w:ascii="Times New Roman" w:hAnsi="Times New Roman"/>
          <w:i/>
          <w:color w:val="000000"/>
          <w:sz w:val="20"/>
        </w:rPr>
        <w:t>Information on the Company—Business Overview</w:t>
      </w:r>
      <w:r>
        <w:rPr>
          <w:rFonts w:ascii="Times New Roman" w:hAnsi="Times New Roman"/>
          <w:color w:val="000000"/>
          <w:sz w:val="20"/>
        </w:rPr>
        <w:t xml:space="preserve">” of this section </w:t>
      </w:r>
      <w:r>
        <w:rPr>
          <w:rFonts w:ascii="Times New Roman" w:hAnsi="Times New Roman"/>
          <w:i/>
          <w:color w:val="000000"/>
          <w:sz w:val="20"/>
        </w:rPr>
        <w:t>"Business Update."</w:t>
      </w:r>
      <w:r>
        <w:rPr>
          <w:rFonts w:ascii="Times New Roman" w:hAnsi="Times New Roman"/>
          <w:color w:val="000000"/>
          <w:sz w:val="20"/>
        </w:rPr>
        <w:t xml:space="preserve"> 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ordinary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telephone number is +41-41-711-3960 and our website is www.oculis.com.</w:t>
      </w:r>
    </w:p>
    <w:p>
      <w:pPr>
        <w:pStyle w:val="TextBody"/>
        <w:bidi w:val="0"/>
        <w:spacing w:before="200" w:after="283"/>
        <w:jc w:val="both"/>
        <w:rPr>
          <w:rFonts w:ascii="Times New Roman" w:hAnsi="Times New Roman"/>
          <w:sz w:val="20"/>
        </w:rPr>
      </w:pPr>
      <w:r>
        <w:rPr>
          <w:rFonts w:ascii="Times New Roman" w:hAnsi="Times New Roman"/>
          <w:b/>
          <w:i/>
          <w:color w:val="000000"/>
          <w:sz w:val="20"/>
        </w:rPr>
        <w:t>B. Business Overview</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We are a global late clinical-stage biopharmaceutical company, headquartered in Switzerland with operations in Switzerland, the U.S. and Iceland. We have substantial expertise in therapeutics for the treatment of neuro-ophthalmic and ophthalmic diseases. We are engaged in developing innovative drug candidates that embrace the potential to address significant unmet medical needs. We intend to become a global leader in neuro-ophthalmic and ophthalmic therapeutics to realize this mission. </w:t>
      </w:r>
    </w:p>
    <w:p>
      <w:pPr>
        <w:pStyle w:val="TextBody"/>
        <w:bidi w:val="0"/>
        <w:spacing w:before="0" w:after="200"/>
        <w:jc w:val="both"/>
        <w:rPr>
          <w:rFonts w:ascii="Times New Roman" w:hAnsi="Times New Roman"/>
          <w:sz w:val="20"/>
        </w:rPr>
      </w:pPr>
      <w:r>
        <w:rPr>
          <w:rFonts w:ascii="Times New Roman" w:hAnsi="Times New Roman"/>
          <w:color w:val="000000"/>
          <w:sz w:val="20"/>
        </w:rPr>
        <w:t>Our pipeline currently includes three clinical-stage therapeutic candidates: OCS-01, Licaminlimab (OCS-02) and Privosegtor (OCS-05). OCS-01, the first candidate we developed using our OPTIREACH technology, is an eye drop candidate which aims to be the first non-invasive topical treatment for DME. It is presently being evaluated in two ongoing Phase 3 clinical trials for DME, with topline results expected in the second quarter of 2026. Licaminlimab is a product candidate we added to our pipeline in 2018 and are developing for the treatment of keratoconjunctivitis sicca, or dry eye disease (“</w:t>
      </w:r>
      <w:r>
        <w:rPr>
          <w:rFonts w:ascii="Times New Roman" w:hAnsi="Times New Roman"/>
          <w:i/>
          <w:color w:val="000000"/>
          <w:sz w:val="20"/>
        </w:rPr>
        <w:t>DED</w:t>
      </w:r>
      <w:r>
        <w:rPr>
          <w:rFonts w:ascii="Times New Roman" w:hAnsi="Times New Roman"/>
          <w:color w:val="000000"/>
          <w:sz w:val="20"/>
        </w:rPr>
        <w:t>”), with a precision medicine approach. After a successful FDA meeting in the first quarter of 2025, we initiated the PREDICT-1 registrational Phase 2/3 trial with a genotype-based approach to investigate Licaminlimab in DED in the fourth quarter of 2025 for which topline results are expected in the fourth quarter of 2026. Privosegtor is a neuroprotective candidate we added to our pipeline in 2022 which has the potential to become a novel therapy for optic neuritis (“ON”) and non-arteritic anterior ischemic optic neuropathy (“NAION”) with broad potential for other neuro-ophthalmic and neurological diseases and beyond. Following a successful meeting with the FDA in the third quarter of 2025, we advanced Privosegtor into a registrational program called PIONEER for ON and NAION.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Summary of Our Pipeline</w:t>
      </w:r>
    </w:p>
    <w:p>
      <w:pPr>
        <w:pStyle w:val="TextBody"/>
        <w:bidi w:val="0"/>
        <w:jc w:val="center"/>
        <w:rPr/>
      </w:pPr>
      <w:r>
        <w:rPr/>
        <w:drawing>
          <wp:inline distT="0" distB="0" distL="0" distR="0">
            <wp:extent cx="5943600" cy="3457575"/>
            <wp:effectExtent l="0" t="0" r="0" b="0"/>
            <wp:docPr id="3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0" descr=""/>
                    <pic:cNvPicPr>
                      <a:picLocks noChangeAspect="1" noChangeArrowheads="1"/>
                    </pic:cNvPicPr>
                  </pic:nvPicPr>
                  <pic:blipFill>
                    <a:blip r:embed="rId16"/>
                    <a:stretch>
                      <a:fillRect/>
                    </a:stretch>
                  </pic:blipFill>
                  <pic:spPr bwMode="auto">
                    <a:xfrm>
                      <a:off x="0" y="0"/>
                      <a:ext cx="5943600" cy="345757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OCS-01 is an eye drop based on the OPTIREACH</w:t>
      </w:r>
      <w:r>
        <w:rPr>
          <w:rFonts w:ascii="Times New Roman" w:hAnsi="Times New Roman"/>
          <w:color w:val="000000"/>
          <w:sz w:val="13"/>
        </w:rPr>
        <w:t>®</w:t>
      </w:r>
      <w:r>
        <w:rPr>
          <w:rFonts w:ascii="Times New Roman" w:hAnsi="Times New Roman"/>
          <w:color w:val="000000"/>
          <w:sz w:val="20"/>
        </w:rPr>
        <w:t xml:space="preserve"> technology developed to reach the retina, Licaminlimab is an anti-TNFα eye drop candidate designed to treat ocular inflammation and Privosegtor is a peptoid small molecule with a novel mode of action promoting neuroaxonal survival.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Utilizing our internal core competency in formulation discovery and drug development capabilities, together with extensive licensing, collaboration and acquisition activities, we have assembled a pipeline of innovative and highly differentiated development candidates that include three late-stage clinical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OCS-01</w:t>
      </w:r>
    </w:p>
    <w:p>
      <w:pPr>
        <w:pStyle w:val="TextBody"/>
        <w:bidi w:val="0"/>
        <w:spacing w:before="200" w:after="283"/>
        <w:jc w:val="both"/>
        <w:rPr>
          <w:rFonts w:ascii="Times New Roman" w:hAnsi="Times New Roman"/>
          <w:sz w:val="20"/>
        </w:rPr>
      </w:pPr>
      <w:r>
        <w:rPr>
          <w:rFonts w:ascii="Times New Roman" w:hAnsi="Times New Roman"/>
          <w:color w:val="000000"/>
          <w:sz w:val="20"/>
        </w:rPr>
        <w:t>Developed from our proprietary technology, OCS-01 is an OPTIREACH</w:t>
      </w:r>
      <w:r>
        <w:rPr>
          <w:rFonts w:ascii="Times New Roman" w:hAnsi="Times New Roman"/>
          <w:color w:val="000000"/>
          <w:sz w:val="13"/>
        </w:rPr>
        <w:t>®</w:t>
      </w:r>
      <w:r>
        <w:rPr>
          <w:rFonts w:ascii="Times New Roman" w:hAnsi="Times New Roman"/>
          <w:color w:val="000000"/>
          <w:sz w:val="20"/>
        </w:rPr>
        <w:t xml:space="preserve"> formulation of high-concentration dexamethasone. It is being developed as an eye drop to offer a non-invasive treatment alternative for diabetic macular edema (”</w:t>
      </w:r>
      <w:r>
        <w:rPr>
          <w:rFonts w:ascii="Times New Roman" w:hAnsi="Times New Roman"/>
          <w:i/>
          <w:color w:val="000000"/>
          <w:sz w:val="20"/>
        </w:rPr>
        <w:t>DME</w:t>
      </w:r>
      <w:r>
        <w:rPr>
          <w:rFonts w:ascii="Times New Roman" w:hAnsi="Times New Roman"/>
          <w:color w:val="000000"/>
          <w:sz w:val="20"/>
        </w:rPr>
        <w:t>”). This route of administration may enable access to treatment in the early stages of the disease and could be used to treat patients inadequately controlled with the current standard of care in later stages. In contrast, all currently available treatments require invasive delivery methods, such as intravitreal injections or ocular implants, to reach the retina. The OPTIREACH</w:t>
      </w:r>
      <w:r>
        <w:rPr>
          <w:rFonts w:ascii="Times New Roman" w:hAnsi="Times New Roman"/>
          <w:color w:val="000000"/>
          <w:sz w:val="13"/>
        </w:rPr>
        <w:t>®</w:t>
      </w:r>
      <w:r>
        <w:rPr>
          <w:rFonts w:ascii="Times New Roman" w:hAnsi="Times New Roman"/>
          <w:color w:val="000000"/>
          <w:sz w:val="20"/>
        </w:rPr>
        <w:t xml:space="preserve"> solubilizing formulation technology addresses the main limitations of conventional eye drops by improving the solubility of lipophilic drugs, increasing the residence time on the eye surface and thereby, enabling the drug passage from the eye surface to the posterior segment of the eye. OCS-01 is being developed with the aim to transform the current treatment paradigm in DME as a non-invasive topical treatment option.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current burden of therapy, FDA-approved therapeutics are not widely used for early disease intervention. It has been reported that 60% of DME patients are not treated 12 months after the diagnosis (IRIS data base June 2023), despite some patients experiencing a deterioration in vision, if left untreated. In addition, approximately 40% of patients treated with anti-VEGF intravitreal injections have an inadequate response at 12 weeks.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OCS-01 is designed to deliver therapeutic levels of drug to the retina via an eye drop, a route of administration for DME treatment that may enable earlier intervention and thereby significantly increase the proportion of patients being treated, as well as increase the prescribing physician base by providing a treatment option to general ophthalmologists. An eye drop treatment would also provide a new treatment option for patients with inadequate response to the current invasive standard of care. We are currently not aware of the existence of any other eye drop treatment for DME which is in a similar or more advanced stage of active clinical development; however, we cannot guarantee that OCS-01 will receive regulatory approval.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Following the positive DIAMOND Stage 1 trial outcome, we advanced the OCS-01 development program for DME into two global pivotal Phase 3 clinical trials, DIAMOND-1 and DIAMOND-2, for the treatment of DME. We completed enrollment for both trials in April 2025 with over 800 patients in 119 clinical sites. The topline results from the two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DIAMOND trials are expected in the second quarter of 2026. If the results are positive, we plan to submit an NDA to the FDA for OCS-01 for the treatment of DME in the fourth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U.S. prevalence of DME in 2024 was estimated at 3.0 million, with the diagnosed U.S. prevalence estimated at 1.8 million by the Decision Resources Group DME Landscape November 2020 report. The same report estimates that 1.0 million U.S. DME patients were treated with drugs in 2024, leaving 0.9 million U.S. patients diagnosed but untreated. These 0.9 million patients are a key addressable market segment for OCS-01, especially for those with mild visual impairment. Additionally, OCS-01 is also intended to address the market segment of patients with inadequate response to anti-VEGF therapy. A study published in the American Journal of Ophthalmology in 2016 found that nearly 40% of patients treated with anti-VEGF therapy had inadequate responses at 12 weeks. By applying this figure to the number of treated U.S. patients, we estimate that inadequate response occurs in approximately 0.4 million patients. In total, we estimate that 1.3 million DME patients in the United States are addressable by OCS-01, with the highest unmet needs in the patients currently being observed with mild visual impairments (approximately 0.6 million DME patients), and the inadequately controlled patients with the current standard of care (approximately 0.4 million DME patients).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Licaminlimab</w:t>
      </w:r>
    </w:p>
    <w:p>
      <w:pPr>
        <w:pStyle w:val="TextBody"/>
        <w:bidi w:val="0"/>
        <w:spacing w:before="200" w:after="283"/>
        <w:jc w:val="both"/>
        <w:rPr>
          <w:rFonts w:ascii="Times New Roman" w:hAnsi="Times New Roman"/>
          <w:sz w:val="20"/>
        </w:rPr>
      </w:pPr>
      <w:r>
        <w:rPr>
          <w:rFonts w:ascii="Times New Roman" w:hAnsi="Times New Roman"/>
          <w:color w:val="000000"/>
          <w:sz w:val="20"/>
        </w:rPr>
        <w:t>We are also advancing the clinical development of Licaminlimab, a next-generation biologic treatment for ocular inflammation, specifically as a treatment for DED. Differentiating Licaminlimab is its use of a single chain antibody fragment specifically designed for topical delivery in ophthalmology, which are directed against the cytokine human tumor necrosis factor alpha (“</w:t>
      </w:r>
      <w:r>
        <w:rPr>
          <w:rFonts w:ascii="Times New Roman" w:hAnsi="Times New Roman"/>
          <w:i/>
          <w:color w:val="000000"/>
          <w:sz w:val="20"/>
        </w:rPr>
        <w:t>TNF</w:t>
      </w:r>
      <w:r>
        <w:rPr>
          <w:rFonts w:ascii="Times New Roman" w:hAnsi="Times New Roman"/>
          <w:color w:val="000000"/>
          <w:sz w:val="20"/>
        </w:rPr>
        <w:t xml:space="preserve">α”). Furthermore, the small size of the fragment enables the topical delivery of an anti-TNFα construct with increased concentrations and enhanced ocular tissue penetration. The anti-inflammatory and anti-necrotic properties of therapeutics inhibiting TNFα activity are well established with anti-TNF pharmaceuticals already approved as systemic treatments for ocular disease.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Licaminlimab could be developed for all comers with DED, we are advancing the development of Licaminlimab in conjunction with the development of a novel genetic biomarker intended to identify patients who are more likely to have a greater response to Licaminlimab therapy, and believe this precision medicine approach may allow the candidate to deliver superior outcomes in these patients if approved.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Two Phase 2 clinical trials in patients with symptoms of DED were conducted (the first with the predecessor of Licaminlimab, and the second with Licaminlimab). Topical ocular administration of Licaminlimab demonstrated improvements in the global ocular discomfort score versus vehicle in patients with DED, as well as being well tolerated in both studies. In June 2024, we announced positive topline results from the Phase 2b RELIEF study evaluating Licaminlimab as a treatment for moderate-to-severe DED in which Licaminlimab was well tolerated, similar to vehicle. Additionally, improvements in multiple sign efficacy endpoints were observed in the full population and with predictive and more pronounced effects in patients with a specific TNFR1 gene variant as identified in the prior successful Phase 2 symptoms trial. We have consulted with the FDA during the first quarter of 2025, and in the fourth quarter of 2025 initiated PREDICT-1, a registrational Phase 2/3 trial with a genotype-based approach to investigate Licaminlimab in DED. The intent is to drive a precision medicine approach in DED, for the very first time, and topline results from the PREDICT-1 trial are anticipated in the fourth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DED is a common condition estimated to impact more than 110 million people in the G7 countries (U.S., U.K., Germany, France, Spain, Italy, Japan), including 40 million people in the U.S. alone. Of the about 20 million patients diagnosed with DED in the U.S. alone, about 10 million are considered to have moderate to severe disease and therefore need a treatment. It is a multifactorial disease in which ocular surface inflammation plays a central role in sustaining the pathological state. With currently available treatment options, eye care practitioners often need to adapt their treatment strategies and rely on ‘trial and error’ to find the best approach for each patient. Despite currently available treatments, the DED patient population remains underserved with only 13% of patients receiving prescription treatment, primarily anti-inflammatory medications. Unfortunately, the vast majority (87%) do not feel that their chronic DED is well-managed, which highlights a high level of dissatisfaction among patients. Furthermore, given the heterogenicity of the DED patient population, there is a need for more personalized treatment approaches to improve outcomes for patients. Licaminlimab is designed to address this significant unmet need.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Privosegtor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Privosegtor, a novel small molecule peptoid that penetrates the blood-brain and retinal barriers and was selected by high-throughput screening for its neuroprotective properties, has the potential to become the first neuroprotective therapy for ON and other neuro-ophthalmic and neurological diseases. Positive results from the ACUITY Phase 2 trial demonstrated Privosegtor’s neuroprotective potential, as evidenced by improvements in visual function, low neurofilaments released in the blood and anatomical preservation of the retina after an acute episode of optic neuritis. Consistent results were observed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animal models of glaucoma, ON and MS, where Privosegtor preserved retinal ganglion cell damage and was associated with improvements in mobility (clinical function disability). Privosegtor has received Breakthrough Therapy designation from the FDA and Orphan Drug designation from both the FDA and the EMA for ON. Privosegtor has now entered registrational trials for ON and a registrational trial in NAION as part of our PIONEER (Privosegtor Investigation in Optic Neuropathies Efficacy Evaluation Research) program. In addition to its potential neuroprotective effect in these orphan conditions, Privosegtor could also have wide applicability in treating other neuro-ophthalmic and neurological indications.</w:t>
      </w:r>
    </w:p>
    <w:p>
      <w:pPr>
        <w:pStyle w:val="TextBody"/>
        <w:bidi w:val="0"/>
        <w:spacing w:before="200" w:after="283"/>
        <w:jc w:val="both"/>
        <w:rPr>
          <w:rFonts w:ascii="Times New Roman" w:hAnsi="Times New Roman"/>
          <w:sz w:val="20"/>
        </w:rPr>
      </w:pPr>
      <w:r>
        <w:rPr>
          <w:rFonts w:ascii="Times New Roman" w:hAnsi="Times New Roman"/>
          <w:color w:val="000000"/>
          <w:sz w:val="20"/>
        </w:rPr>
        <w:t>Our planned first wave of development with Privosegtor is focused on acute optic neuropathy indications, ON and NAION, which are both rare diseases with high unmet medical needs. Currently there are no specific neuroprotective treatments which are approved by the FDA or EMA for ON and no medical or surgical treatment has been shown to improve the prognosis for NAION. In October 2025, we announced the initiation of the PIONEER program, which includes three pivotal trials to support registration plans for Privosegtor in ON and NAION. The first two trials, PIONEER-1 and PIONEER-2, will evaluate Privosegtor following the acute onset of optic neuritis in a broad population consisting of patients with multiple sclerosis (“</w:t>
      </w:r>
      <w:r>
        <w:rPr>
          <w:rFonts w:ascii="Times New Roman" w:hAnsi="Times New Roman"/>
          <w:i/>
          <w:color w:val="000000"/>
          <w:sz w:val="20"/>
        </w:rPr>
        <w:t>MS</w:t>
      </w:r>
      <w:r>
        <w:rPr>
          <w:rFonts w:ascii="Times New Roman" w:hAnsi="Times New Roman"/>
          <w:color w:val="000000"/>
          <w:sz w:val="20"/>
        </w:rPr>
        <w:t>”) and those without MS. The primary endpoint will be measured as low-contrast visual acuity (“</w:t>
      </w:r>
      <w:r>
        <w:rPr>
          <w:rFonts w:ascii="Times New Roman" w:hAnsi="Times New Roman"/>
          <w:i/>
          <w:color w:val="000000"/>
          <w:sz w:val="20"/>
        </w:rPr>
        <w:t>LCVA”</w:t>
      </w:r>
      <w:r>
        <w:rPr>
          <w:rFonts w:ascii="Times New Roman" w:hAnsi="Times New Roman"/>
          <w:color w:val="000000"/>
          <w:sz w:val="20"/>
        </w:rPr>
        <w:t>) at three months. Dosing and patient enrollment criteria will mirror those of the positive Phase 2 ACUITY trial. PIONEER-1 was initiated in the fourth quarter of 2025, with PIONEER-2 planned to follow in the first half of 2026. The third trial in the PIONEER program, PIONEER-3, will evaluate Privosegtor after the acute onset of NAION. This study shares the core design and operational elements with PIONEER-1 and PIONEER-2, and is expected to initiate in mid-2026. Running the three PIONEER registrational trials concurrently is expected to create operational synergies, improve cost efficiency and accelerate development timelines.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is a condition characterized by an acute inflammation of the optic nerve that can lead to permanent visual impairment. It affects up to 8 in 100,000 people worldwide with a U.S. incidence estimated to be greater than 30,000 cases annually and often represents the first sign of MS. ON mainly occurs in adults between the age of 20 and 40 years and is more frequent in women (2:1). It is a type of neuropathy (nerve disease) that happens when acute inflammation of the optic nerve affects the signals traveling from the eyes through the brain, causing pain, vision loss and other symptoms. The cells that make up the optic nerve have a lipid protective coating called a myelin sheath, which is preferentially damaged in ON. Without myelin, the optic nerve cells cannot send signals properly and axons can be damaged irreversibly. To date there is no neuro-protective therapy approved for acute optic neuritis and the unmet needs remain for therapies that can prevent vision loss after an acute episode by reducing nerve cell permanent damage or death.</w:t>
      </w:r>
    </w:p>
    <w:p>
      <w:pPr>
        <w:pStyle w:val="TextBody"/>
        <w:bidi w:val="0"/>
        <w:jc w:val="both"/>
        <w:rPr>
          <w:rFonts w:ascii="Times New Roman" w:hAnsi="Times New Roman"/>
          <w:color w:val="000000"/>
          <w:sz w:val="20"/>
        </w:rPr>
      </w:pPr>
      <w:r>
        <w:rPr>
          <w:rFonts w:ascii="Times New Roman" w:hAnsi="Times New Roman"/>
          <w:color w:val="000000"/>
          <w:sz w:val="20"/>
        </w:rPr>
        <w:br/>
        <w:t>NAION is an acute optic nerve disorder that causes permanent visual impairment in more than 60% of affected patients. It is the most common cause of acute optic nerve injury in individuals over 50 years old and affects up to 10.2 per 100,000 people worldwide with a U.S. incidence estimated to be greater than 30,000 cases. In NAION, the optic nerve head region swells and there is painless sudden vision loss. The swelling eventually resolves, but the optic nerve axons and neuronal cell bodies in the retina are permanently lost, leading to significant irreversible visual impairment or even blindness. There are no approved therapies for NAION and the unmet medical need is for therapies that preserve vision and provide neuroprotection for patients suffering from NAION.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second wave of development, given that ON is often the first manifestation of MS and a common relapse type in MS, we plan to explore the broader potential of Privosegtor to treat MS relapses. To initiate this, we plan to submit a new IND for this indication with the neurology division of the FDA in 2026 by cross-referencing the current IND in 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MS is a prevalent disease affecting approximately 2.8 million people worldwide with approximately 850,000 cases in the U.S. alone. It is more prevalent in women and the average age at diagnosis is typically between 20 and 40 years old. It is an unpredictable disease of the central nervous system, which includes the brain, spinal cord and optic nerves. MS lesions disrupt the flow of information within the brain, and between the brain and body. It affects function in cognitive, mood, motor, sensory and visual areas. Symptoms of MS can include fatigue, memory difficulties, mood changes, mobility issues, numbness, pain, tingling and vision impairment. The two main types of MS are relapsing MS and progressive MS. Relapsing MS is the most common type representing approximately 85% of patients at initial diagnosis and is characterized by relapses driven by a person’s immune system attacking the central nervous system, leading to inflammation, demyelination and neurodegeneration. The prevalence of MS relapses in the U.S. alone is estimated to be around 170,000 cases per year. The symptoms of relapsing MS vary from person to person and depend on where inflammation and damage are occurring at any specific time. Current treatment like ON typically focuses on immunotherapies to reduce the number of relapses which can cause permanent disability, often referred to as “relapse-associated worsening.” At the time of an acute relapse, most neurologists recommend a short course of high-dose corticosteroids to reduce the inflammation and end the relapse faster. However, corticosteroids have no influence on the occurrence of new relapses or long-term disability. As there are no neuroprotective therapies approved for MS relapses, there remains an unmet medical need for treatments that can prevent central nervous system damage due to relapses and reduce the risk of future disability and disease progression.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Executive Management Team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led by an experienced management team, composed of individuals who have extensive backgrounds in drug discovery and development, clinical trial design and operations, regulatory affairs, business development and commercialization, in addition to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through December 31, 2025, we have raised approximately CHF 493.6 million from leading North American, European and Asian life science investors.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intend to become a leader in developing innovative therapeutics to address neuro-ophthalmic and ophthalmic diseases characterized by significant medical needs with large market opportunities. To accomplish this objective, we plan to focus on the successful completion of our key strategic initiatives. In ophthalmology, we are focused on advancing the clinical and regulatory plans of OCS-01 to bring a first-in-class topical eye drop therapy for the treatment in DME and developing Licaminlimab for precision medicine in DED. Furthermore, we are advancing the development of Privosegtor for ON and NAION and exploring broader indications in neuro-ophthalmology and neurology.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Executing the Phase 3 development of OCS-01 for DME.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positive results achieved in the DIAMOND Stage 1 Phase 3 trial, we have progressed to the pivotal Phase 3 trials of OCS-01 in DME, DIAMOND-1 and DIAMOND-2, which are currently ongoing with anticipated readout in the second quarter of 2026. We believe the use of OCS-01 formulated as a non-invasive, self-administered eye drop, could, if approved, promote a shift in the current treatment paradigm to allow earlier treatment intervention and increase both the treated patient population and the prescribing physician base. In addition, OCS-01, if approved, could benefit patients who are diagnosed with DME and who have an inadequate response to anti-VEGF intravitreal injections.</w:t>
      </w:r>
    </w:p>
    <w:p>
      <w:pPr>
        <w:pStyle w:val="TextBody"/>
        <w:bidi w:val="0"/>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Pursuing the late-stage clinical development of Licaminlimab, our next-generation topical anti-TNF</w:t>
      </w:r>
      <w:r>
        <w:rPr>
          <w:rFonts w:ascii="Times New Roman" w:hAnsi="Times New Roman"/>
          <w:color w:val="000000"/>
          <w:sz w:val="20"/>
        </w:rPr>
        <w:t>α</w:t>
      </w:r>
      <w:r>
        <w:rPr>
          <w:color w:val="000000"/>
        </w:rPr>
        <w:t xml:space="preserve"> </w:t>
      </w:r>
      <w:r>
        <w:rPr>
          <w:rFonts w:ascii="Times New Roman" w:hAnsi="Times New Roman"/>
          <w:i/>
          <w:color w:val="000000"/>
          <w:sz w:val="20"/>
        </w:rPr>
        <w:t>biologic eye drop with a precision medicine approach.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Following a successful meeting with the FDA in the first quarter of 2025 and given the positive and consistent results achieved with Licaminlimab in three Phase 2 clinical trials for the treatment of DED and the observed enhanced response in patients with a specific TNFR1-genotype, we initiated the PREDICT-1 registrational Phase 2/3 trial with a genotype-based approach in the fourth quarter of 2025. We believe this precision medicine approach may allow the candidate to deliver superior outcomes in this patient group, if approved.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Executing the PIONEER development program for Privosegtor in ON, NAION and other indications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positive results achieved in the ACUITY trial announced in January 2025, we have initiated the PIONEER program, which includes three pivotal trials to support registration plans in ON and NAION. Running the three PIONEER registrational trials concurrently is expected to create synergies, improve cost efficiency and accelerate development timelines. The differentiated and novel mechanism of action of Privosegtor, coupled with its potential neuroprotective properties, suggest potential benefits across many of the more pervasive neurological pathologies of the eye such as glaucoma, but also for serious neurological conditions such as MS. We plan to submit an IND to the FDA in 2026 for MS by cross-referencing the existing IND in 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differentiated and novel mechanism of action of Privosegtor, coupled with its potential neuroprotective properties, suggest potential benefits across more pervasive neurological pathologies of the eye such as glaucoma, but also for serious neurological conditions such as multiple sclerosis. We evaluated Privosegtor in a first-in-patient trial for ON, called the ACUITY trial, for which we announced positive topline results in January 2025. There is currently no specific neuroprotective therapy approved for treatment of ON. Privosegtor has been granted Breakthrough Therapy designation by the FDA and Orphan Drug designation by both the FDA and the European Commission. We believe that the demonstration of functional, anatomical, and biological neuroprotective benefits in ON provides compelling support for the exploration of Privosegtor in NAION, another acute optic neuropathy with high unmet needs, and also, for larger market opportunities in ophthalmology, neuro-ophthalmology and neurology indications including for the treatment of MS relapses.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Evaluating and selectively entering into strategic collaborations to maximize the potential of our pipeline and the scope of our product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retained rights globally to all of our indications, including our lead product candidate OCS-01 eye drops for the potential treatment of DME; Licaminlimab for the potential treatment of DED with a precision medicine approach; and Privosegtor as a neuroprotective agent for ON, NAION and potentially other neuro-ophthalmology and neurology indications. Given the potential to treat patients worldwide, we may opportunistically enter into strategic collaborations around certain product candidates, diseases or geographic regions.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development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Utilizing our internal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portfolio is made up of (i) OCS-01, currently in two ongoing Phase 3 clinical trials in DME with topline results expected in the second quarter of 2026; (ii) Licaminlimab, for which we initiated the PREDICT-1 registrational Phase 2/3 trial with a genotype-based approach in the fourth quarter of 2025 to drive precision medicine in DED. Topline results from the PREDICT-1 trial are anticipated in the fourth quarter of 2026; and (iii) Privosegtor, a novel neuroprotective agent with potential broad applicability in multiple neurodegenerative diseases in ophthalmology, neuro-ophthalmology and neurology, which we are initially developing as a potential treatment for ON and NAION.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OCS-01</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Key program highlights</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Use of proprietary OPTIREACH</w:t>
      </w:r>
      <w:r>
        <w:rPr>
          <w:rFonts w:ascii="Times New Roman" w:hAnsi="Times New Roman"/>
          <w:color w:val="000000"/>
          <w:sz w:val="10"/>
        </w:rPr>
        <w:t>®</w:t>
      </w:r>
      <w:r>
        <w:rPr>
          <w:color w:val="000000"/>
        </w:rPr>
        <w:t xml:space="preserve"> </w:t>
      </w:r>
      <w:r>
        <w:rPr>
          <w:rFonts w:ascii="Times New Roman" w:hAnsi="Times New Roman"/>
          <w:color w:val="000000"/>
          <w:sz w:val="20"/>
        </w:rPr>
        <w:t>technology enables enhanced drug penetration and residence time.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Topically delivered formulation design allows for non-invasive self-administration to treat DME.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May enable earlier disease intervention in DME if approved, potentially expanding both the patient population and prescribing physician base.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Stage 1 Phase 3 DIAMOND trial in DME met its objective of validating the induction and maintenance dosing regimen designed to optimize OCS-01 efficacy potential, and met the primary efficacy endpoint of mean change in BCVA versus baseline at Week 6, as well as key secondary endpoints of ≥15-letter improvement in BCVA and greater improvement in retinal thickness, each with statistical significance.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OCS-01 DIAMOND program advanced into Stage 2, which includes two global pivotal Phase 3 clinical trials, DIAMOND-1 and DIAMOND-2, for the treatment of DME. We completed enrollment for both trials in April 2025 with over 800 patients in 119 clinical sites. The topline results from the two DIAMOND trials are expected in the second quarter of 2026. If the results are positive, we plan to submit a NDA to the FDA for OCS-01 for the treatment of DME in the fourth quarter of 2026.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Estimated 1.3 million total addressable U.S. DME patients. </w:t>
      </w:r>
    </w:p>
    <w:p>
      <w:pPr>
        <w:pStyle w:val="TextBody"/>
        <w:bidi w:val="0"/>
        <w:spacing w:before="200" w:after="283"/>
        <w:jc w:val="both"/>
        <w:rPr>
          <w:rFonts w:ascii="Times New Roman" w:hAnsi="Times New Roman"/>
          <w:sz w:val="20"/>
        </w:rPr>
      </w:pPr>
      <w:r>
        <w:rPr>
          <w:rFonts w:ascii="Times New Roman" w:hAnsi="Times New Roman"/>
          <w:color w:val="000000"/>
          <w:sz w:val="20"/>
        </w:rPr>
        <w:t>OCS-01 is a 1.5% suspension of the anti-inflammatory corticosteroid dexamethasone for use as a potential treatment for DME. In contrast to currently available therapies, which require the use of more invasive treatments such as an implant or intravitreal injection to deliver the medication to the retina, differentiating OCS-01 is our use of the proprietary OPTIREACH</w:t>
      </w:r>
      <w:r>
        <w:rPr>
          <w:rFonts w:ascii="Times New Roman" w:hAnsi="Times New Roman"/>
          <w:color w:val="000000"/>
          <w:sz w:val="10"/>
        </w:rPr>
        <w:t>®</w:t>
      </w:r>
      <w:r>
        <w:rPr>
          <w:rFonts w:ascii="Times New Roman" w:hAnsi="Times New Roman"/>
          <w:color w:val="000000"/>
          <w:sz w:val="20"/>
        </w:rPr>
        <w:t xml:space="preserve"> technology, which enables the topical eye drop delivery of dexamethasone to the back of the eye for the treatment of diseases affecting the retina. Via this technology, OCS-01 has been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and macular edema caused by RVO.</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We are developing OCS-01 as a </w:t>
      </w:r>
      <w:r>
        <w:rPr>
          <w:rFonts w:ascii="Symbol;serif" w:hAnsi="Symbol;serif"/>
          <w:color w:val="000000"/>
          <w:sz w:val="20"/>
        </w:rPr>
        <w:t>g</w:t>
      </w:r>
      <w:r>
        <w:rPr>
          <w:rFonts w:ascii="Times New Roman" w:hAnsi="Times New Roman"/>
          <w:color w:val="000000"/>
          <w:sz w:val="20"/>
        </w:rPr>
        <w:t xml:space="preserve"> cyclodextrin-based formulation of dexamethasone, using the OPTIREACH</w:t>
      </w:r>
      <w:r>
        <w:rPr>
          <w:rFonts w:ascii="Times New Roman" w:hAnsi="Times New Roman"/>
          <w:color w:val="000000"/>
          <w:sz w:val="10"/>
        </w:rPr>
        <w:t>®</w:t>
      </w:r>
      <w:r>
        <w:rPr>
          <w:rFonts w:ascii="Times New Roman" w:hAnsi="Times New Roman"/>
          <w:color w:val="000000"/>
          <w:sz w:val="20"/>
        </w:rPr>
        <w:t xml:space="preserve">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w:t>
      </w:r>
    </w:p>
    <w:p>
      <w:pPr>
        <w:pStyle w:val="TextBody"/>
        <w:bidi w:val="0"/>
        <w:spacing w:before="200" w:after="283"/>
        <w:jc w:val="center"/>
        <w:rPr>
          <w:rFonts w:ascii="Times New Roman" w:hAnsi="Times New Roman"/>
          <w:sz w:val="20"/>
        </w:rPr>
      </w:pPr>
      <w:r>
        <w:rPr>
          <w:rFonts w:ascii="Times New Roman" w:hAnsi="Times New Roman"/>
          <w:i/>
          <w:color w:val="000000"/>
          <w:sz w:val="18"/>
        </w:rPr>
        <w:t xml:space="preserve">The </w:t>
      </w:r>
      <w:r>
        <w:rPr>
          <w:rFonts w:ascii="Times New Roman" w:hAnsi="Times New Roman"/>
          <w:i/>
          <w:color w:val="000000"/>
          <w:sz w:val="20"/>
        </w:rPr>
        <w:t>OPTIREACH</w:t>
      </w:r>
      <w:r>
        <w:rPr>
          <w:rFonts w:ascii="Times New Roman" w:hAnsi="Times New Roman"/>
          <w:i/>
          <w:color w:val="000000"/>
          <w:sz w:val="12"/>
        </w:rPr>
        <w:t>®</w:t>
      </w:r>
      <w:r>
        <w:rPr>
          <w:rFonts w:ascii="Times New Roman" w:hAnsi="Times New Roman"/>
          <w:color w:val="000000"/>
          <w:sz w:val="20"/>
        </w:rPr>
        <w:t xml:space="preserve"> </w:t>
      </w:r>
      <w:r>
        <w:rPr>
          <w:rFonts w:ascii="Times New Roman" w:hAnsi="Times New Roman"/>
          <w:i/>
          <w:color w:val="000000"/>
          <w:sz w:val="18"/>
        </w:rPr>
        <w:t>technology enables the topical delivery of therapeutics to the back of the eye.</w:t>
      </w:r>
    </w:p>
    <w:p>
      <w:pPr>
        <w:pStyle w:val="TextBody"/>
        <w:bidi w:val="0"/>
        <w:jc w:val="center"/>
        <w:rPr/>
      </w:pPr>
      <w:r>
        <w:rPr/>
        <w:drawing>
          <wp:inline distT="0" distB="0" distL="0" distR="0">
            <wp:extent cx="5943600" cy="2114550"/>
            <wp:effectExtent l="0" t="0" r="0" b="0"/>
            <wp:docPr id="3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1" descr=""/>
                    <pic:cNvPicPr>
                      <a:picLocks noChangeAspect="1" noChangeArrowheads="1"/>
                    </pic:cNvPicPr>
                  </pic:nvPicPr>
                  <pic:blipFill>
                    <a:blip r:embed="rId17"/>
                    <a:stretch>
                      <a:fillRect/>
                    </a:stretch>
                  </pic:blipFill>
                  <pic:spPr bwMode="auto">
                    <a:xfrm>
                      <a:off x="0" y="0"/>
                      <a:ext cx="5943600" cy="2114550"/>
                    </a:xfrm>
                    <a:prstGeom prst="rect">
                      <a:avLst/>
                    </a:prstGeom>
                  </pic:spPr>
                </pic:pic>
              </a:graphicData>
            </a:graphic>
          </wp:inline>
        </w:drawing>
      </w:r>
    </w:p>
    <w:p>
      <w:pPr>
        <w:pStyle w:val="TextBody"/>
        <w:bidi w:val="0"/>
        <w:jc w:val="center"/>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OCS-01 for DME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7% of diabetics worldwide are affected by the disease. It is a leading cause of blindness among the U.S. adult population. In the G7 countries (the United States, France, Germany, Italy, Spain, UK and Japan), the market for the treatment of DME is anticipated to reach approximately $5 billion in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U.S. prevalence of DME in 2024 was estimated at 3.0 million patients, with the diagnosed U.S. prevalence estimated at 1.8 million patients, including 1.0 million patients treated and 0.9 million patients diagnosed but untreated. These 0.9 million untreated patients are a key addressable market segment for OCS-01, especially for those with mild visual impairment. Including the market segment of patients with inadequate response to anti-VEGF therapy, we estimate that a total of 1.3 million DME patients in the United States are addressable by OCS-01.</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Limitations of current treatments for DME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G7 countries, the DME disease onset may initially go unnoticed and as a result, in 2025, an estimated 41.6% of patients with DME may go undiagnosed. Furthermore, based on data from the American Academy of Ophthalmology’s (AAO) IRIS Registry, approximately 40% of newly diagnosed DME patients received treatment within the first year of diagnosis. This means over 60% of newly diagnosed patients were not treated in the first 12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Pharmacotherapy involves the invasive administration of a monoclonal antibody therapeutic targeting the VEGF receptor to inhibit blood vessel growth. However, we estimate that approximately 40% of patients have an inadequate response to therapy after 12 weeks of anti-VEGF treatment, according to the results of a study published in the American Journal of Ophthalmology in 2016. Moreover, multiple intravitreal injections are required to maintain a therapeutic effect, which necessitates an increased treatment burden on patients, their caregivers and healthcare providers. Patients whose disease progresses while on anti-VEGF therapy may then receive a steroid implant, or laser photocoagulation of the retina.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2017 IRIS Registry analysis of 13,410 newly diagnosed, treatment-naïve patients found that observation (no treatment) within the first year was common. We believe this decision to observe and not intervene is often driven by the significant burden current treatment options (frequent intravitreal injections, intravitreal implants, or laser photocoagulation) place on the patient, as well as the expense and significant demands placed on healthcare resources. FDA approved therapeutics are not widely used for early disease intervention, despite some patients experiencing a deterioration in vision, if left untreated.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OCS-01’s innovation and differentiation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enable earlier disease intervention in DME if approved, potentially expanding both the patient population and prescribing physician base. We expect that OCS-01, if approved, could address patients who are diagnosed with DME, with mild visual impairment and who are currently observed and untreated, as well as patients who are diagnosed with DME and who have an inadequate response to anti-VEGF intravitreal injections. We estimate that both segments of patients combined, observed patients with mild visual impairment and inadequate responders to the current standard of care, totals 1.0 million patients in the United States alone.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OCS-01 has produced clinical trial results which support its continued development as a potential topical treatment for DME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Stage 1 of our DIAMOND Phase 3 clinical trial which evaluated the use of OCS-01 as a treatment for DME, patients who received OCS-01 demonstrated a statistically significant improvement from baseline in key measurements of therapeutic efficacy. In this randomized, double masked trial of 148 DME patients with 2:1 randomization (OCS-01 vs. vehicle), 100 of the trial participants self-administered OCS-01 eye drops six times per day for a six-week induction phase then three times per day for a subsequent 6-week maintenance phase, with 48 participants administered vehicle only. As noted in the graphic presented below, OCS-01 demonstrated improvement in mean BCVA “Early Treatment Diabetic Retinopathy Study” chart (BCVA ETDRS) score from baseline to Week 6 versus (vs) vehicle (OCS-01: 7.2 letters vs vehicle: 3.1 letters, p=0.007) demonstrating strong visual gain in the treatment arm. The effect was sustained to Week 12 with statistical significance (OCS-01: 7.6 letters vs vehicle 3.7 letters, p= 0.016). </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OCS-01 generated improvements in both CMT and BCVA measurements</w:t>
      </w:r>
    </w:p>
    <w:p>
      <w:pPr>
        <w:pStyle w:val="TextBody"/>
        <w:bidi w:val="0"/>
        <w:jc w:val="center"/>
        <w:rPr/>
      </w:pPr>
      <w:r>
        <w:rPr/>
        <w:t> </w:t>
      </w:r>
    </w:p>
    <w:p>
      <w:pPr>
        <w:pStyle w:val="TextBody"/>
        <w:bidi w:val="0"/>
        <w:jc w:val="center"/>
        <w:rPr/>
      </w:pPr>
      <w:r>
        <w:rPr/>
        <w:drawing>
          <wp:inline distT="0" distB="0" distL="0" distR="0">
            <wp:extent cx="5943600" cy="2257425"/>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18"/>
                    <a:stretch>
                      <a:fillRect/>
                    </a:stretch>
                  </pic:blipFill>
                  <pic:spPr bwMode="auto">
                    <a:xfrm>
                      <a:off x="0" y="0"/>
                      <a:ext cx="5943600" cy="2257425"/>
                    </a:xfrm>
                    <a:prstGeom prst="rect">
                      <a:avLst/>
                    </a:prstGeom>
                  </pic:spPr>
                </pic:pic>
              </a:graphicData>
            </a:graphic>
          </wp:inline>
        </w:drawing>
      </w:r>
    </w:p>
    <w:p>
      <w:pPr>
        <w:pStyle w:val="TextBody"/>
        <w:bidi w:val="0"/>
        <w:jc w:val="both"/>
        <w:rPr>
          <w:rFonts w:ascii="Times New Roman" w:hAnsi="Times New Roman"/>
          <w:color w:val="000000"/>
          <w:sz w:val="20"/>
        </w:rPr>
      </w:pPr>
      <w:r>
        <w:rPr>
          <w:rFonts w:ascii="Times New Roman" w:hAnsi="Times New Roman"/>
          <w:color w:val="000000"/>
          <w:sz w:val="20"/>
        </w:rPr>
        <w:t>Furthermore, there was a higher percentage of patients in the OCS-01 group who achieved ≥15-letter improvement in BCVA from baseline vs vehicle at Week 6 (OCS-01: 25.3% vs vehicle: 9.8%, p=0.015), which was sustained to Week 12 (OCS-01: 27.4% vs vehicle 7.5%, p=0.009).</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324100"/>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19"/>
                    <a:stretch>
                      <a:fillRect/>
                    </a:stretch>
                  </pic:blipFill>
                  <pic:spPr bwMode="auto">
                    <a:xfrm>
                      <a:off x="0" y="0"/>
                      <a:ext cx="5943600" cy="2324100"/>
                    </a:xfrm>
                    <a:prstGeom prst="rect">
                      <a:avLst/>
                    </a:prstGeom>
                  </pic:spPr>
                </pic:pic>
              </a:graphicData>
            </a:graphic>
          </wp:inline>
        </w:drawing>
      </w:r>
    </w:p>
    <w:p>
      <w:pPr>
        <w:pStyle w:val="TextBody"/>
        <w:bidi w:val="0"/>
        <w:jc w:val="left"/>
        <w:rPr/>
      </w:pPr>
      <w:r>
        <w:rPr/>
        <w:t> </w:t>
      </w:r>
    </w:p>
    <w:p>
      <w:pPr>
        <w:pStyle w:val="TextBody"/>
        <w:bidi w:val="0"/>
        <w:spacing w:before="0" w:after="200"/>
        <w:jc w:val="center"/>
        <w:rPr>
          <w:rFonts w:ascii="Times New Roman" w:hAnsi="Times New Roman"/>
          <w:i/>
          <w:color w:val="000000"/>
          <w:sz w:val="18"/>
        </w:rPr>
      </w:pPr>
      <w:r>
        <w:rPr>
          <w:rFonts w:ascii="Times New Roman" w:hAnsi="Times New Roman"/>
          <w:i/>
          <w:color w:val="000000"/>
          <w:sz w:val="18"/>
        </w:rPr>
        <w:t>Improvements in both CMT and BCVA were greater among patients with lower baseline visual acuity.</w:t>
      </w:r>
    </w:p>
    <w:p>
      <w:pPr>
        <w:pStyle w:val="TextBody"/>
        <w:bidi w:val="0"/>
        <w:jc w:val="both"/>
        <w:rPr>
          <w:rFonts w:ascii="Times New Roman" w:hAnsi="Times New Roman"/>
          <w:color w:val="000000"/>
          <w:sz w:val="20"/>
        </w:rPr>
      </w:pPr>
      <w:r>
        <w:rPr>
          <w:rFonts w:ascii="Times New Roman" w:hAnsi="Times New Roman"/>
          <w:color w:val="000000"/>
          <w:sz w:val="20"/>
        </w:rPr>
        <w:t>A rapid reduction in retinal edema was observed in the OCS-01 treatment arm at week 2 of the study. The observed statistical significant treatment effect versus vehicle was preserved throughout the study.</w:t>
      </w:r>
    </w:p>
    <w:p>
      <w:pPr>
        <w:pStyle w:val="TextBody"/>
        <w:bidi w:val="0"/>
        <w:jc w:val="both"/>
        <w:rPr/>
      </w:pPr>
      <w:r>
        <w:rPr/>
        <w:t> </w:t>
      </w:r>
    </w:p>
    <w:p>
      <w:pPr>
        <w:pStyle w:val="TextBody"/>
        <w:bidi w:val="0"/>
        <w:jc w:val="center"/>
        <w:rPr/>
      </w:pPr>
      <w:r>
        <w:rPr/>
        <w:drawing>
          <wp:inline distT="0" distB="0" distL="0" distR="0">
            <wp:extent cx="5943600" cy="24003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0"/>
                    <a:stretch>
                      <a:fillRect/>
                    </a:stretch>
                  </pic:blipFill>
                  <pic:spPr bwMode="auto">
                    <a:xfrm>
                      <a:off x="0" y="0"/>
                      <a:ext cx="5943600" cy="240030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Treatment emergent adverse events (“</w:t>
      </w:r>
      <w:r>
        <w:rPr>
          <w:rFonts w:ascii="Times New Roman" w:hAnsi="Times New Roman"/>
          <w:i/>
          <w:color w:val="000000"/>
          <w:sz w:val="20"/>
        </w:rPr>
        <w:t>TEAEs</w:t>
      </w:r>
      <w:r>
        <w:rPr>
          <w:rFonts w:ascii="Times New Roman" w:hAnsi="Times New Roman"/>
          <w:color w:val="000000"/>
          <w:sz w:val="20"/>
        </w:rPr>
        <w:t>”) were noted in 70 of the 100 trial participants who received OCS-01, with the most prevalent adverse event (“</w:t>
      </w:r>
      <w:r>
        <w:rPr>
          <w:rFonts w:ascii="Times New Roman" w:hAnsi="Times New Roman"/>
          <w:i/>
          <w:color w:val="000000"/>
          <w:sz w:val="20"/>
        </w:rPr>
        <w:t>AE”</w:t>
      </w:r>
      <w:r>
        <w:rPr>
          <w:rFonts w:ascii="Times New Roman" w:hAnsi="Times New Roman"/>
          <w:color w:val="000000"/>
          <w:sz w:val="20"/>
        </w:rPr>
        <w:t>) being an increase in IOP or ocular hypertension, which was observed in 14 of the 100 patients and 8 of the 100 patients in the active group, respectively. There was a small mean IOP increase, which was similar across induction and maintenance phase.</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24765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1"/>
                    <a:stretch>
                      <a:fillRect/>
                    </a:stretch>
                  </pic:blipFill>
                  <pic:spPr bwMode="auto">
                    <a:xfrm>
                      <a:off x="0" y="0"/>
                      <a:ext cx="5943600" cy="2476500"/>
                    </a:xfrm>
                    <a:prstGeom prst="rect">
                      <a:avLst/>
                    </a:prstGeom>
                  </pic:spPr>
                </pic:pic>
              </a:graphicData>
            </a:graphic>
          </wp:inline>
        </w:drawing>
      </w:r>
    </w:p>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findings of increased IOP were consistent with our expectations given glucocorticoids’ well-known ocular safety profiles, including the profile of an approved dexamethasone ocular implant. The findings were also consistent with current literature. Overall, the IOP effects observed in our trial were consistent with what is generally expected given established ophthalmic use of dexamethasone. Other AEs observed during clinical trials included diabetic and macular edema, which was reported more frequently in vehicle treated patients.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increased IOP, AEs of a similar nature and number were noted among trial participants who received vehicle. The number of subjects with any ocular or non-ocular AEs leading to trial discontinuation was higher in the vehicle arm compared to the active arm. While OCS-01 may contribute to an accelerated onset of cataracts, no evidence of cataract formation was observed in the treatment arm up to 12 weeks.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Stage 1 DIAMOND Phase 3 clinical trial results followed outcomes achieved in the earlier Phase 2 study and two earlier small exploratory studies of DexNP (a previous formulation of OCS-01). In one of the studies, which was conducted in Japan in 2015, a 22-patient evaluation compared the use of a topically delivered </w:t>
      </w:r>
      <w:r>
        <w:rPr>
          <w:rFonts w:ascii="Symbol;serif" w:hAnsi="Symbol;serif"/>
          <w:color w:val="000000"/>
          <w:sz w:val="20"/>
        </w:rPr>
        <w:t>g</w:t>
      </w:r>
      <w:r>
        <w:rPr>
          <w:rFonts w:ascii="Times New Roman" w:hAnsi="Times New Roman"/>
          <w:color w:val="000000"/>
          <w:sz w:val="20"/>
        </w:rPr>
        <w:t xml:space="preserve"> cyclodextrin-based formulation of dexamethasone to the posterior injection of 20 mg triamcinolone acetonide. Used at the time of the trial as an off-label treatment for DME, the </w:t>
      </w:r>
      <w:r>
        <w:rPr>
          <w:rFonts w:ascii="Symbol;serif" w:hAnsi="Symbol;serif"/>
          <w:color w:val="000000"/>
          <w:sz w:val="20"/>
        </w:rPr>
        <w:t xml:space="preserve">g </w:t>
      </w:r>
      <w:r>
        <w:rPr>
          <w:rFonts w:ascii="Times New Roman" w:hAnsi="Times New Roman"/>
          <w:color w:val="000000"/>
          <w:sz w:val="20"/>
        </w:rPr>
        <w:t>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Phase 3 trial design for OCS-01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DIAMOND program includes two stages: Stage 1 has been completed, and in Stage 2, we are conducting two, 52-week pivotal Phase 3 trials, DIAMOND-1 and DIAMOND-2. These global Phase 3 trials enrolled over 400 subjects in each trial. The primary endpoint of these studies is the mean change from baseline in BCVA at 52 weeks. Key secondary endpoints include the mean change in macular thickness, as assessed by spectral domain optical coherence tomography and the percentage of participants that exhibit ETDRS improvement of 15 letters or more from baseline. Key inclusion criteria are similar to those used in Stage 1 of the program. The Phase 3 clinical trial protocol was reviewed by the FDA during an End-of-Phase 2 meeting.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OCS-01 has the potential to expand the number of treated patients and prescribing physicians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OCS-01 was designed to address two sizeable treatment gaps among the DME patient population in early intervention and in patients inadequately controlled with the current standard of care. Furthermore, the delivery of the drug to the back of the eye and non-invasive self-administration are unique differentiators to currently available treatments. Addressing the two existing treatment gaps may allow for increased early disease intervention potentially expanding both the patient population and prescribing physician base.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has not responded adequately to the current standard of care.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Licaminlimab</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Key Program Highlights</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Next-generation biologic in development as a potential treatment for moderate to severe DED using single chain antibody fragment technology targeting TNFα.</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Phase 2b RELIEF trial evaluating the potential of Licaminlimab, our innovative anti-TNFα biologic eye drop, for the treatment of signs in moderate to severe DED, was completed with positive topline results announced in June 2024.</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After a successful FDA meeting in the first quarter of 2025, we initiated the PREDICT-1 registrational Phase 2/3 trial of Licaminlimab with a genotype-based approach to drive precision medicine in DED. Topline results from this trial are anticipated in the fourth quarter of 2026.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 proprietary genetic biomarker may enable precision medicine guided treatment of patients with 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addressable U.S. patient population of approximately 10 million, consisting of moderate to severe DED with a potential focus on the specific TNFR1-genotype present in approximately 20% of the population.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developing Licaminlimab as a next-generation biologic treatment for DED. Licaminlimab is differentiated by its use of a single chain antibody fragment technology directed against the cytokine human TNFα to enable the topical delivery of an anti-TNFα construct at increased concentrations. The anti-inflammatory and anti-necrotic/anti-apoptotic properties of therapeutics inhibiting TNFα activity are well established with anti-TNF pharmaceuticals already approved as systemic treatments for ocular disease. While Licaminlimab could be developed for all comers with DED, we are advancing the development of Licaminlimab in conjunction with the development of a novel genetic biomarker intended to identify patients who are more likely to have a greater response to Licaminlimab therapy and believe this precision medicine approach may allow the candidate to deliver superior outcomes in these patients if approved.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Two Phase 2 clinical trials in patients with symptoms of DED were conducted (the first with the predecessor of Licaminlimab, and the second with Licaminlimab). Topical ocular administration of Licaminlimab demonstrated improvements in the global ocular discomfort score versus vehicle in patients with DED, as well as being well tolerated in both studies. In June 2024, we announced positive topline results from the Phase 2b RELIEF study evaluating Licaminlimab as a treatment for moderate-to-severe DED. In the RELIEF study, Licaminlimab was well tolerated similar to vehicle. Additionally, improvements in multiple sign efficacy endpoints were observed in the full population and with predictive and more pronounced effects in the TNFR1 genetic biomarker population as identified in the prior successful Phase 2 symptoms trial. We have consulted with the FDA during the first quarter of 2025 and initiated PREDICT-1, a registrational Phase 2/3 trial with a genotype-based approach to investigate Licaminlimab in DED in the fourth quarter of 2025. Topline results from this trial are anticipated in the fourth quarter of 2026.</w:t>
      </w:r>
    </w:p>
    <w:p>
      <w:pPr>
        <w:pStyle w:val="TextBody"/>
        <w:bidi w:val="0"/>
        <w:spacing w:before="200" w:after="283"/>
        <w:jc w:val="both"/>
        <w:rPr>
          <w:rFonts w:ascii="Times New Roman" w:hAnsi="Times New Roman"/>
          <w:sz w:val="20"/>
        </w:rPr>
      </w:pPr>
      <w:r>
        <w:rPr>
          <w:rFonts w:ascii="Times New Roman" w:hAnsi="Times New Roman"/>
          <w:color w:val="000000"/>
          <w:sz w:val="20"/>
        </w:rPr>
        <w:t>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w:t>
      </w:r>
      <w:r>
        <w:rPr>
          <w:rFonts w:ascii="Times New Roman" w:hAnsi="Times New Roman"/>
          <w:color w:val="000000"/>
          <w:sz w:val="10"/>
        </w:rPr>
        <w:t>®</w:t>
      </w:r>
      <w:r>
        <w:rPr>
          <w:rFonts w:ascii="Times New Roman" w:hAnsi="Times New Roman"/>
          <w:color w:val="000000"/>
          <w:sz w:val="20"/>
        </w:rPr>
        <w:t>, infliximab, sold under the brand name Remicade</w:t>
      </w:r>
      <w:r>
        <w:rPr>
          <w:rFonts w:ascii="Times New Roman" w:hAnsi="Times New Roman"/>
          <w:color w:val="000000"/>
          <w:sz w:val="10"/>
        </w:rPr>
        <w:t>®</w:t>
      </w:r>
      <w:r>
        <w:rPr>
          <w:rFonts w:ascii="Times New Roman" w:hAnsi="Times New Roman"/>
          <w:color w:val="000000"/>
          <w:sz w:val="20"/>
        </w:rPr>
        <w:t>, and adalimumab, sold under the brand name Humira</w:t>
      </w:r>
      <w:r>
        <w:rPr>
          <w:rFonts w:ascii="Times New Roman" w:hAnsi="Times New Roman"/>
          <w:color w:val="000000"/>
          <w:sz w:val="10"/>
        </w:rPr>
        <w:t>®</w:t>
      </w:r>
      <w:r>
        <w:rPr>
          <w:rFonts w:ascii="Times New Roman" w:hAnsi="Times New Roman"/>
          <w:color w:val="000000"/>
          <w:sz w:val="20"/>
        </w:rPr>
        <w:t>),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involve a local TNFα driven inflammatory process which may not justify general, systemic TNFα-suppressive therapy. The novel design of Licaminlimab embracing lower molecular weight single chain antibody fragment technology may enable it to be used in ocular disease as an eye drop for localized administration.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Licaminlimab for the treatment of 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corneal surfaces, ocular surface inflammation and subsequent damage to exposed tissues. Increased concentration of pro-inflammatory cytokines, such as TNFα, in patient tears or conjunctival tissue has been demonstrated to correlate with disease severity.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2025, the U.S. DED patient population was approximately 39.8 million people and is expected to rise to 41.3 million patients by 2029. The market for prescription medications to treat DED is forecasted to increase to $7.3 billion in the G7 countries (the United States, France, Germany, Italy, Spain, UK and Japan) by 2029 from $5.4 billion in 2024. We estimate the segment of DED patients in the United States addressable by Licaminlimab to be approximately 10 million, consisting of moderate to severe DED with a potential focus on the specific TNFR1-genotype present in approximately 20% of the population.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Limitations of current therapies and potential for Licaminlimab in DED</w:t>
      </w:r>
    </w:p>
    <w:p>
      <w:pPr>
        <w:pStyle w:val="TextBody"/>
        <w:bidi w:val="0"/>
        <w:spacing w:before="200" w:after="283"/>
        <w:jc w:val="both"/>
        <w:rPr>
          <w:rFonts w:ascii="Times New Roman" w:hAnsi="Times New Roman"/>
          <w:sz w:val="20"/>
        </w:rPr>
      </w:pPr>
      <w:r>
        <w:rPr>
          <w:rFonts w:ascii="Times New Roman" w:hAnsi="Times New Roman"/>
          <w:color w:val="000000"/>
          <w:sz w:val="20"/>
        </w:rPr>
        <w:t>The DED patient population is significantly underpenetrated with only an estimated 13% of diagnosed U.S. patients expected to receive prescription treatments. The vast majority of patients who do receive treatment are treated with anti-inflammatory drugs, yet among treated patients 87% are unsatisfied and feel that their chronic dry eye disease is not well managed. Approved topical treatments for DED include Restasis</w:t>
      </w:r>
      <w:r>
        <w:rPr>
          <w:rFonts w:ascii="Times New Roman" w:hAnsi="Times New Roman"/>
          <w:color w:val="000000"/>
          <w:sz w:val="10"/>
        </w:rPr>
        <w:t>®,</w:t>
      </w:r>
      <w:r>
        <w:rPr>
          <w:rFonts w:ascii="Times New Roman" w:hAnsi="Times New Roman"/>
          <w:color w:val="000000"/>
          <w:sz w:val="20"/>
        </w:rPr>
        <w:t xml:space="preserve"> Cequa</w:t>
      </w:r>
      <w:r>
        <w:rPr>
          <w:rFonts w:ascii="Times New Roman" w:hAnsi="Times New Roman"/>
          <w:color w:val="000000"/>
          <w:sz w:val="10"/>
        </w:rPr>
        <w:t xml:space="preserve">® </w:t>
      </w:r>
      <w:r>
        <w:rPr>
          <w:rFonts w:ascii="Times New Roman" w:hAnsi="Times New Roman"/>
          <w:color w:val="000000"/>
          <w:sz w:val="20"/>
        </w:rPr>
        <w:t>and Vevye</w:t>
      </w:r>
      <w:r>
        <w:rPr>
          <w:rFonts w:ascii="Times New Roman" w:hAnsi="Times New Roman"/>
          <w:color w:val="000000"/>
          <w:sz w:val="13"/>
        </w:rPr>
        <w:t>®</w:t>
      </w:r>
      <w:r>
        <w:rPr>
          <w:rFonts w:ascii="Times New Roman" w:hAnsi="Times New Roman"/>
          <w:color w:val="000000"/>
          <w:sz w:val="20"/>
        </w:rPr>
        <w:t>, which are formulations of cyclosporine. These drugs act only to increase tear production and are not indicated to reduce DED symptoms. Further limiting cyclosporine’s therapeutic utility is a delayed onset of action necessitating a two- to three-month steroid bridge, and a stinging sensation on application in some patients. Topical steroids, including Eysuvis</w:t>
      </w:r>
      <w:r>
        <w:rPr>
          <w:rFonts w:ascii="Times New Roman" w:hAnsi="Times New Roman"/>
          <w:color w:val="000000"/>
          <w:sz w:val="13"/>
        </w:rPr>
        <w:t>®</w:t>
      </w:r>
      <w:r>
        <w:rPr>
          <w:rFonts w:ascii="Times New Roman" w:hAnsi="Times New Roman"/>
          <w:color w:val="000000"/>
          <w:sz w:val="20"/>
        </w:rPr>
        <w:t>, are also often used to treat DED but are contraindicated for long-term use because of their side effects including glaucoma and cataracts. Other treatments available for DED include Xiidra</w:t>
      </w:r>
      <w:r>
        <w:rPr>
          <w:rFonts w:ascii="Times New Roman" w:hAnsi="Times New Roman"/>
          <w:color w:val="000000"/>
          <w:sz w:val="13"/>
        </w:rPr>
        <w:t>®</w:t>
      </w:r>
      <w:r>
        <w:rPr>
          <w:rFonts w:ascii="Times New Roman" w:hAnsi="Times New Roman"/>
          <w:color w:val="000000"/>
          <w:sz w:val="20"/>
        </w:rPr>
        <w:t>, Tyrvaya</w:t>
      </w:r>
      <w:r>
        <w:rPr>
          <w:rFonts w:ascii="Times New Roman" w:hAnsi="Times New Roman"/>
          <w:color w:val="000000"/>
          <w:sz w:val="13"/>
        </w:rPr>
        <w:t>®</w:t>
      </w:r>
      <w:r>
        <w:rPr>
          <w:rFonts w:ascii="Times New Roman" w:hAnsi="Times New Roman"/>
          <w:color w:val="000000"/>
          <w:sz w:val="20"/>
        </w:rPr>
        <w:t>, Miebo</w:t>
      </w:r>
      <w:r>
        <w:rPr>
          <w:rFonts w:ascii="Times New Roman" w:hAnsi="Times New Roman"/>
          <w:color w:val="000000"/>
          <w:sz w:val="13"/>
        </w:rPr>
        <w:t>®</w:t>
      </w:r>
      <w:r>
        <w:rPr>
          <w:rFonts w:ascii="Times New Roman" w:hAnsi="Times New Roman"/>
          <w:color w:val="000000"/>
          <w:sz w:val="20"/>
        </w:rPr>
        <w:t>, and recently launched Tryptyr</w:t>
      </w:r>
      <w:r>
        <w:rPr>
          <w:rFonts w:ascii="Times New Roman" w:hAnsi="Times New Roman"/>
          <w:color w:val="000000"/>
          <w:sz w:val="13"/>
        </w:rPr>
        <w:t>®</w:t>
      </w:r>
      <w:r>
        <w:rPr>
          <w:rFonts w:ascii="Times New Roman" w:hAnsi="Times New Roman"/>
          <w:color w:val="000000"/>
          <w:sz w:val="20"/>
        </w:rPr>
        <w: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Licaminlimab’s differentiation as a potential treatment for 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central role of ocular inflammation in sustaining the pathology of DED and the utility of anti-TNFα as a highly effective anti-inflammatory agent, we believe the localized application of Licaminlimab as an anti-TNFα therapeutic, if approved, may provide a differentiated DED treatment approach, which may effectively reduce ocular discomfort, avoid undesirable features of current therapies (such as stinging sensation, delayed onset of action, or steroid-related side effects), and provide benefit for many patients who do not receive lasting relief from current therapies. In addition, the potential for a precision medicine approach with Licaminlimab could address the unmet need to predict treatment response in the highly heterogeneous DED population.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 the segment of DED patients in the United States addressable by Licaminlimab to be approximately 10 million patients with moderate or severe DED with a potential focus on the specific TNFR1-genotype present in approximately 20% of the population.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Licaminlimab has produced clinical trial results which support its continued development as a potential treatment for 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first half of 2024, we conducted the Phase 2b RELIEF trial, which was a multi-center, randomized, double-masked, vehicle-controlled trial evaluating the efficacy and safety of Licaminlimab in subjects with signs of DED (NCT05896670). The trial also evaluated the efficacy and safety of Licaminlimab in a subpopulation of subjects with a TNFR1-related genotype as prespecified in the protocol. One hundred and twenty-two (122) patients were randomized 1:1 to either Licaminlimab (n=62) or vehicle (n=60) across 4 sites for a 6-week treatment period and a 2-week follow up. A total of 23 patients carried a specific TNFR1-related genotype. Patients were evaluated for efficacy endpoints at baseline, Day 15 and Day 43. The prespecified investigational efficacy measures in this trial included multiple signs of DED that are accepted by the FDA as efficacy endpoints.</w:t>
      </w:r>
    </w:p>
    <w:p>
      <w:pPr>
        <w:pStyle w:val="TextBody"/>
        <w:bidi w:val="0"/>
        <w:spacing w:before="200" w:after="283"/>
        <w:jc w:val="both"/>
        <w:rPr>
          <w:rFonts w:ascii="Times New Roman" w:hAnsi="Times New Roman"/>
          <w:sz w:val="20"/>
        </w:rPr>
      </w:pPr>
      <w:r>
        <w:rPr>
          <w:rFonts w:ascii="Times New Roman" w:hAnsi="Times New Roman"/>
          <w:color w:val="000000"/>
          <w:sz w:val="20"/>
        </w:rPr>
        <w:t>Novartis, from whom we have obtained certain exclusive, worldwide rights to develop and commercialize Licaminlimab through a December 19, 2018 licensing agreement (please see the section entitled “</w:t>
      </w:r>
      <w:r>
        <w:rPr>
          <w:rFonts w:ascii="Times New Roman" w:hAnsi="Times New Roman"/>
          <w:i/>
          <w:color w:val="000000"/>
          <w:sz w:val="20"/>
        </w:rPr>
        <w:t>Material Licenses,</w:t>
      </w:r>
      <w:r>
        <w:rPr>
          <w:rFonts w:ascii="Times New Roman" w:hAnsi="Times New Roman"/>
          <w:color w:val="000000"/>
          <w:sz w:val="20"/>
        </w:rPr>
        <w:t xml:space="preserve"> </w:t>
      </w:r>
      <w:r>
        <w:rPr>
          <w:rFonts w:ascii="Times New Roman" w:hAnsi="Times New Roman"/>
          <w:i/>
          <w:color w:val="000000"/>
          <w:sz w:val="20"/>
        </w:rPr>
        <w:t>Partnerships and Collaborations</w:t>
      </w:r>
      <w:r>
        <w:rPr>
          <w:rFonts w:ascii="Times New Roman" w:hAnsi="Times New Roman"/>
          <w:color w:val="000000"/>
          <w:sz w:val="20"/>
        </w:rPr>
        <w:t xml:space="preserve">” below), conducted a randomized, multi-center, double-masked, vehicle controlled Phase 2 clinical PoC trial designed to assess the safety and tolerability of Licaminlimab and its efficacy in reducing DED symptoms. In the trial, patients were randomized on a 1:1 ratio into two cohorts. For a six-week period, the first trial cohort received a 60 mg/ml ophthalmic solution of Licaminlimab, while the second received 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ocular discomfort score. The data generated in this trial, consisting of 67 participants in the active group and 64 in the control group, are presented in the charts below. </w:t>
      </w:r>
    </w:p>
    <w:p>
      <w:pPr>
        <w:pStyle w:val="TextBody"/>
        <w:bidi w:val="0"/>
        <w:spacing w:before="200" w:after="200"/>
        <w:jc w:val="center"/>
        <w:rPr>
          <w:rFonts w:ascii="Times New Roman" w:hAnsi="Times New Roman"/>
          <w:i/>
          <w:color w:val="000000"/>
          <w:sz w:val="18"/>
        </w:rPr>
      </w:pPr>
      <w:r>
        <w:rPr>
          <w:rFonts w:ascii="Times New Roman" w:hAnsi="Times New Roman"/>
          <w:i/>
          <w:color w:val="000000"/>
          <w:sz w:val="18"/>
        </w:rPr>
        <w:t>Licaminlimab generated statistically significant improvement in ocular discomfort as compared to vehicle.</w:t>
      </w:r>
    </w:p>
    <w:p>
      <w:pPr>
        <w:pStyle w:val="TextBody"/>
        <w:bidi w:val="0"/>
        <w:jc w:val="center"/>
        <w:rPr/>
      </w:pPr>
      <w:r>
        <w:rPr/>
        <w:drawing>
          <wp:inline distT="0" distB="0" distL="0" distR="0">
            <wp:extent cx="5781675" cy="2085975"/>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22"/>
                    <a:stretch>
                      <a:fillRect/>
                    </a:stretch>
                  </pic:blipFill>
                  <pic:spPr bwMode="auto">
                    <a:xfrm>
                      <a:off x="0" y="0"/>
                      <a:ext cx="5781675" cy="208597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trial met both primary and secondary endpoints. As is noted in the left chart above, administration of Licaminlimab resulted in a statistically significant 7.9 mean point reduction in the global ocular discomfort score from baseline to treatment day 29 as compared to a 3.6 point mean reduction among patients that received vehicle only. In addition, as is noted in the right chart above, Licaminlimab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Licaminlimab demonstrated a statistically significant improvement in the global ocular discomfort score compared to vehicle in patients with severe DED. It was well tolerated, with no increase in IOP and minimal systemic drug exposure.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Proprietary genetic biomarker may enable a precision medicine approach to DED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an exploratory pharmacogenetic analysis focused on the genes relevant to the TNF pathway and Sjogren’s syndrome among those 12 out of 86 patients who had the CC genotype gene variance or SNP. Among the gene variants analyzed, a correlation between one variant (rs1800693 CC genotype, “CC genotype”) in the TNFR1 gene, and a greater response (p&lt;0.0001) to Licaminlimab was observed at Day 29. The below figure shows individual patient profiles by study days for change from baseline global ocular discomfort score for participants with the CC genotype.</w:t>
      </w:r>
    </w:p>
    <w:p>
      <w:pPr>
        <w:pStyle w:val="TextBody"/>
        <w:bidi w:val="0"/>
        <w:jc w:val="left"/>
        <w:rPr/>
      </w:pPr>
      <w:r>
        <w:rPr/>
        <w:t> </w:t>
      </w:r>
    </w:p>
    <w:p>
      <w:pPr>
        <w:pStyle w:val="TextBody"/>
        <w:bidi w:val="0"/>
        <w:jc w:val="center"/>
        <w:rPr/>
      </w:pPr>
      <w:r>
        <w:rPr/>
        <w:drawing>
          <wp:inline distT="0" distB="0" distL="0" distR="0">
            <wp:extent cx="2886075" cy="192405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23"/>
                    <a:stretch>
                      <a:fillRect/>
                    </a:stretch>
                  </pic:blipFill>
                  <pic:spPr bwMode="auto">
                    <a:xfrm>
                      <a:off x="0" y="0"/>
                      <a:ext cx="2886075" cy="1924050"/>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Patients with this variant displayed a significant reduction in inflammatory factors, including interleukin 1 beta (IL1B), interleukin 8 (IL8) and TNFα.</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Phase 2b RELIEF trial design and topline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light of the results generated by Licaminlimab in its Phase 2 PoC trials, we advanced Licaminlimab into a 122 subject Phase 2b RELIEF clinical trial to evaluate the safety and efficacy of Licaminlimab in treating the signs of DED. This trial was randomized, multi-center, double masked and vehicle-controlled. Following initial screening, trial participants are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randomized on a 1:1 basis into either the treatment cohort or the vehicle cohort and received Licaminlimab 60mg/mL or vehicle three times daily for six weeks, followed by a two week follow up period. Participants were evaluated for efficacy endpoints at baseline, Day 15 and Day 43. The prespecified investigational efficacy measures in this trial included multiple signs of DED that are accepted by the FDA as efficacy endpoints, such as total corneal fluorescein staining, the percentage of patients with a 10 mm or greater increase in Schirmer’s test, compared to vehicle. Biomarker analyses (from impression cytology samples) were additional endpoints of the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One hundred and twenty-two (122) patients were randomized 1:1 to either Licaminlimab (n=62) or vehicle (n=60) across 4 sites for a 6-week treatment period and a 2-week follow up. A total of 23 patients carried a specific TNFR1-related genotype.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Phase 2b RELIEF trial showed positive effects on multiple signs of DED: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full trial population (n=122): Treatment effect favoring Licaminlimab was observed in multiple sign endpoints including fluorescein staining in the total cornea, inferior corneal, central corneal and nasal conjunctival regions, and in the Schirmer’s test.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subpopulation of patients with the TNFR1 genetic biomarker (n=23): Treatment effect favoring Licaminlimab was observed in multiple sign endpoints including fluorescein staining in the total cornea, inferior corneal, central corneal, nasal conjunctival, total conjunctival and total ocular surface regions, in the Schirmer’s test, and in conjunctival redness. Rapid and favorable treatment effect in favor of Licaminlimab on corneal inflammation was observed as early as Day 15 that was significant at Day 43, as measured by the difference in mean change from baseline versus vehicle for inferior corneal fluorescein staining score: -0.59 (CI: -1.165, -0.017). The treatment effect also increased over time. </w:t>
      </w:r>
    </w:p>
    <w:p>
      <w:pPr>
        <w:pStyle w:val="TextBody"/>
        <w:bidi w:val="0"/>
        <w:jc w:val="both"/>
        <w:rPr/>
      </w:pPr>
      <w:r>
        <w:rPr/>
        <w:t> </w:t>
      </w:r>
    </w:p>
    <w:p>
      <w:pPr>
        <w:pStyle w:val="TextBody"/>
        <w:bidi w:val="0"/>
        <w:jc w:val="center"/>
        <w:rPr/>
      </w:pPr>
      <w:r>
        <w:rPr/>
        <w:drawing>
          <wp:inline distT="0" distB="0" distL="0" distR="0">
            <wp:extent cx="3362325" cy="2505075"/>
            <wp:effectExtent l="0" t="0" r="0" b="0"/>
            <wp:docPr id="4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8" descr=""/>
                    <pic:cNvPicPr>
                      <a:picLocks noChangeAspect="1" noChangeArrowheads="1"/>
                    </pic:cNvPicPr>
                  </pic:nvPicPr>
                  <pic:blipFill>
                    <a:blip r:embed="rId24"/>
                    <a:stretch>
                      <a:fillRect/>
                    </a:stretch>
                  </pic:blipFill>
                  <pic:spPr bwMode="auto">
                    <a:xfrm>
                      <a:off x="0" y="0"/>
                      <a:ext cx="3362325" cy="250507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Licaminlimab was well tolerated. The incidence of ocular TEAEs in the study eye was 11.5% in the Licaminlimab group and 10.2% in the vehicle group. TEAEs in the fellow eye were similar to the study eye. All ocular TEAEs were mild and transient, and there were no serious ocular adverse events observed with Licaminlimab in the study. Drop comfort was also evaluated and was similar to artificial tears.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Privosegtor</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Key Program Highlights</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Potentially transformative treatment paradigm as a neuroprotective drug,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Received Breakthrough Therapy designation for the treatment of 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Achieved an average gain in Low Contrast Visual Acuity (LCVA) of 18 letters compared to IV steroid alone at month 3 in the ACUITY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Demonstrated compelling neuroprotective properties in multiple pre-clinical trials and was well tolerated in a trial involving healthy volunteers.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Evidence of clinical benefit in ON support assessment of potential as a therapeutic for NAION, another neuro-ophthalmic rare diseases with high unmet need and for the treatment of relapses in MS.</w:t>
      </w:r>
    </w:p>
    <w:p>
      <w:pPr>
        <w:pStyle w:val="TextBody"/>
        <w:bidi w:val="0"/>
        <w:spacing w:before="200" w:after="283"/>
        <w:jc w:val="both"/>
        <w:rPr>
          <w:rFonts w:ascii="Times New Roman" w:hAnsi="Times New Roman"/>
          <w:sz w:val="20"/>
        </w:rPr>
      </w:pPr>
      <w:r>
        <w:rPr>
          <w:rFonts w:ascii="Times New Roman" w:hAnsi="Times New Roman"/>
          <w:color w:val="000000"/>
          <w:sz w:val="20"/>
        </w:rPr>
        <w:t>We are advancing Privosegtor, a novel peptoid small molecule candidate with the potential to become, if approved, a first-in-class neuroprotective therapy for ON, NAION and other neuro-ophthalmic and neurological diseases. The planned first wave of development focuses on acute optic neuropathies with the assessment of Privosegtor as a potential therapy to treat ON and NAION in the PIONEER program with three registrational trials. Privosegtor has been granted Breakthrough Therapy designation by the FDA and Orphan Drug designation by both the FDA and the European Medicinal Agency (“</w:t>
      </w:r>
      <w:r>
        <w:rPr>
          <w:rFonts w:ascii="Times New Roman" w:hAnsi="Times New Roman"/>
          <w:i/>
          <w:color w:val="000000"/>
          <w:sz w:val="20"/>
        </w:rPr>
        <w:t>EMA”</w:t>
      </w:r>
      <w:r>
        <w:rPr>
          <w:rFonts w:ascii="Times New Roman" w:hAnsi="Times New Roman"/>
          <w:color w:val="000000"/>
          <w:sz w:val="20"/>
        </w:rPr>
        <w:t>) for this indication. Privosegtor has been studied in preclinical studies suggesting neuroprotective and remyelinating activity, as well as in a UK Phase 1 clinical trial (with 48 healthy volunteers) in which Privosegtor was well tolerated and showed pharmacokinetics (“</w:t>
      </w:r>
      <w:r>
        <w:rPr>
          <w:rFonts w:ascii="Times New Roman" w:hAnsi="Times New Roman"/>
          <w:i/>
          <w:color w:val="000000"/>
          <w:sz w:val="20"/>
        </w:rPr>
        <w:t>PK</w:t>
      </w:r>
      <w:r>
        <w:rPr>
          <w:rFonts w:ascii="Times New Roman" w:hAnsi="Times New Roman"/>
          <w:color w:val="000000"/>
          <w:sz w:val="20"/>
        </w:rPr>
        <w:t>”) with good correlation to its pre-clinical animal studies. We completed a Phase 2 trial with Privosegtor in ON in France, for which we announced positive topline results in January 2025. Based on these results, we intend to evaluate the potential of Privosegtor to treat other more pervasive neurological pathologies of the eye and other serious neurodegenerative disorders like MS. On January 29, 2022, we obtained an exclusive worldwide license to develop Privosegtor through a licensing agreement with Accure Therapeutics SL (please see the section entitled “</w:t>
      </w:r>
      <w:r>
        <w:rPr>
          <w:rFonts w:ascii="Times New Roman" w:hAnsi="Times New Roman"/>
          <w:i/>
          <w:color w:val="000000"/>
          <w:sz w:val="20"/>
        </w:rPr>
        <w:t>Material Licenses, Partnerships and Collaborations</w:t>
      </w:r>
      <w:r>
        <w:rPr>
          <w:rFonts w:ascii="Times New Roman" w:hAnsi="Times New Roman"/>
          <w:color w:val="000000"/>
          <w:sz w:val="20"/>
        </w:rPr>
        <w:t>”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Privosegtor was selected by high-throughput screening (HTS) for neuroprotective properties, confirmed in vivo in glaucoma, multiple sclerosis, and optic neuritis models. The data from in vitro studies suggest that it activates the serum–glucocorticoid kinase and triggers multiple beneficial effects on apoptosis, oxidation, and inflammation.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Privosegtor for the treatment of 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is a rare condition characterized by an acute inflammation of the optic nerve that can lead to permanent visual impairment. It affects up to 8 in 100,000 people worldwide and often represents the first sign of MS. It mainly occurs in adults between the age of 20 and 40 years and is more frequent in women (2:1).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is commonly associated with MS and shares similar physiopathology. ON is the presenting symptom of MS in 15.0-20.0% of patients and will impact over 50.0-65.0% of patients with MS at some time during their lifetime. However, the causes of ON are not always clear, as it can also arise in patients without 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acute inflammation of the optic nerve causes the loss of myelin and oligodendrocytes, optic nerve conduction block and loss of vision. At the onset of 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inflammation recedes, remyelination often occurs but it is incomplete, the result of persistent demyelination and neuronal death. Without the myelin sheath which normally protects the axon, neurons located in demyelinated segments become fragile and prone to death. Visual symptoms such as reduced visual acuity are accompanied by measurable structural changes in the optic nerve and retina. Following the acute inflammatory phase, progressive thinning of the ganglion cell inner plexiform layer (GCIPL) occurs early, often within weeks to a few months, reflecting retrograde neuroaxonal degeneration. The magnitude of GCIPL loss correlates with persistent visual deficits, with greater structural loss associated with poor visual function.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 specific neuroprotective therapeutic is currently approved that preserves vision and ganglion/retinal nerve integrity after an acute episode of optic neuritis. Medication intended to treat the inflammation and related symptoms can be administered just after ON onset and patients often receive high doses of corticosteroids for a few days. While corticosteroids are used to shorten the attack and accelerate recovery of acute visual symptoms, there remains an unmet medical need for therapies that either preserve vision or provide neuroprotection after an acute episode of optic neuritis. We believe a neuroprotective therapeutic, such as Privosegtor, if approved, could provide functional vision improvement through neuroprotective anatomical and biological benefits, including preservation of retinal ganglion cells and prevention of neuronal and axonal death.</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Privosegtor consistently demonstrated compelling neuroprotective properties in multiple pre-clinical trials and was well tolerated in a trial involving healthy volunteers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Privosegtor has been studied in several preclinical studies with consistent results suggesting neuroprotective activity. In a high-pressure glaucoma model, Privosegtor was associated with a reduction of RGC damage. In an ON rat model, it showed prevention of optic nerve axonal loss and reduction of optic nerve demyelination. Finally, in a mice experimental autoimmune encephalomyelitis model (autoimmune model of ON and MS), it was associated with improvement of function (disability).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Phase 1 clinical trial with 48 healthy volunteers, Privosegtor was well tolerated and showed pharmacokinetics with good correlation to its pre-clinical animal studies.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We investigated Privosegtor as a treatment for ON in a First-in-Patient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results of prior clinical and preclinical trials of Privosegtor showing neuroprotective effects, together with the safety and PK profile observed in this first-in-human clinical trial enabled us to advance the compound into a Phase 2 clinical trial. The ACUITY trial, a randomized, double-masked, placebo controlled, multiple center trial, was a first-in-patient trial enrolling patients diagnosed with ON within twelve days of acute disease episode onset. The study randomized 36 patients with recent onset (visual loss symptoms) of unilateral AON with a demyelinating origin, of which 33 patients received treatment and were included in the pre-specified modified intent-to-treat (mITT) analysis. The objective of this study was to assess the safety and tolerability of Privosegtor along with initial signs of efficacy. In addition to the trial’s primary safety endpoint, key secondary endpoints evaluated the effect of Privosegtor on retinal layer thickness and other visual parameters in the affected eye. The study was conducted in France under French regulatory guidance and positive top line results were announced in January 2025. The ACUITY trial showed that Privosegtor achieved the primary safety endpoint in addition to efficacy with improvement in visual function in patients suffering from AON combined with positive neuroprotective surrogate biomarkers such as preservation of the GCIPL layer and reduction of neurofilament release in the blood. </w:t>
      </w:r>
    </w:p>
    <w:p>
      <w:pPr>
        <w:pStyle w:val="TextBody"/>
        <w:bidi w:val="0"/>
        <w:spacing w:before="200" w:after="283"/>
        <w:jc w:val="both"/>
        <w:rPr>
          <w:rFonts w:ascii="Times New Roman" w:hAnsi="Times New Roman"/>
          <w:sz w:val="20"/>
        </w:rPr>
      </w:pPr>
      <w:r>
        <w:rPr>
          <w:rFonts w:ascii="Times New Roman" w:hAnsi="Times New Roman"/>
          <w:color w:val="000000"/>
          <w:sz w:val="20"/>
        </w:rPr>
        <w:t>Primary Endpoint: To evaluate cardiac safety, the percentage of patients with a shift from normal (baseline) to abnormal in electrocardiogram (“</w:t>
      </w:r>
      <w:r>
        <w:rPr>
          <w:rFonts w:ascii="Times New Roman" w:hAnsi="Times New Roman"/>
          <w:i/>
          <w:color w:val="000000"/>
          <w:sz w:val="20"/>
        </w:rPr>
        <w:t>ECG”</w:t>
      </w:r>
      <w:r>
        <w:rPr>
          <w:rFonts w:ascii="Times New Roman" w:hAnsi="Times New Roman"/>
          <w:color w:val="000000"/>
          <w:sz w:val="20"/>
        </w:rPr>
        <w:t>) parameters after study drug administration until Visit 4 (Day 15) was measured. The results showed no difference in the percentage of patients with abnormal ECG parameters between the two treatment arms. Two patients in the Privosegtor arms (2 and 3 mg/kg/day) and one patient in the placebo arm had a shift from normal to abnormal in any ECG measures between baseline and Visit 4 (Day 15), both equivalent to 12.5%. Events observed in the Privosegtor arms were mild and transient and qualified as not clinically significant by central review reading center.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Secondary Efficacy Endpoints Assessed Changes in Retinal Structure: Optical Coherence Tomography imaging was used to objectively measure the thickness of two different retinal segments in the affected eye to evaluate the potential neuroprotective effects of Privosegtor compared to placebo: 1) Ganglion Cell-Inner Plexiform Layer (GCIPL) and 2) Retinal Nerve Fiber Layer (RNFL).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Results showed a 43% improvement in GCIPL thickness mean change from baseline in favor of Privosegtor (3mg/kg/day) + steroid compared to placebo + steroid at month 3 which was maintained through month 6 with at 3 and 6 months, respectively.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drawing>
          <wp:inline distT="0" distB="0" distL="0" distR="0">
            <wp:extent cx="5705475" cy="3209925"/>
            <wp:effectExtent l="0" t="0" r="0" b="0"/>
            <wp:docPr id="4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 descr=""/>
                    <pic:cNvPicPr>
                      <a:picLocks noChangeAspect="1" noChangeArrowheads="1"/>
                    </pic:cNvPicPr>
                  </pic:nvPicPr>
                  <pic:blipFill>
                    <a:blip r:embed="rId25"/>
                    <a:stretch>
                      <a:fillRect/>
                    </a:stretch>
                  </pic:blipFill>
                  <pic:spPr bwMode="auto">
                    <a:xfrm>
                      <a:off x="0" y="0"/>
                      <a:ext cx="5705475" cy="320992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a 28% improvement in RNFL thickness mean change from baseline in favor of Privosegtor (3mg/kg/day) + steroid compared to placebo + steroid at month 3 reaching 30% improvement at month 6 was observed.</w:t>
      </w:r>
    </w:p>
    <w:p>
      <w:pPr>
        <w:pStyle w:val="TextBody"/>
        <w:bidi w:val="0"/>
        <w:spacing w:before="200" w:after="283"/>
        <w:jc w:val="both"/>
        <w:rPr/>
      </w:pPr>
      <w:r>
        <w:rPr/>
        <w:t> </w:t>
      </w:r>
    </w:p>
    <w:p>
      <w:pPr>
        <w:pStyle w:val="TextBody"/>
        <w:bidi w:val="0"/>
        <w:jc w:val="left"/>
        <w:rPr/>
      </w:pPr>
      <w:r>
        <w:rPr/>
        <w:drawing>
          <wp:inline distT="0" distB="0" distL="0" distR="0">
            <wp:extent cx="5705475" cy="3209925"/>
            <wp:effectExtent l="0" t="0" r="0" b="0"/>
            <wp:docPr id="4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0" descr=""/>
                    <pic:cNvPicPr>
                      <a:picLocks noChangeAspect="1" noChangeArrowheads="1"/>
                    </pic:cNvPicPr>
                  </pic:nvPicPr>
                  <pic:blipFill>
                    <a:blip r:embed="rId26"/>
                    <a:stretch>
                      <a:fillRect/>
                    </a:stretch>
                  </pic:blipFill>
                  <pic:spPr bwMode="auto">
                    <a:xfrm>
                      <a:off x="0" y="0"/>
                      <a:ext cx="5705475" cy="3209925"/>
                    </a:xfrm>
                    <a:prstGeom prst="rect">
                      <a:avLst/>
                    </a:prstGeom>
                  </pic:spPr>
                </pic:pic>
              </a:graphicData>
            </a:graphic>
          </wp:inline>
        </w:drawing>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Secondary Efficacy Endpoint Assessed Changes in Visual Function: Changes in 2.5% ETDRS LCVA were measured to assess visual function improvement. Results showed a favorable difference in LCVA mean change from baseline of approximately 18 letters at month 3 and approximately 15 letters at month 6 with Privosegtor (3 mg/kg/day) + steroid compared to placebo + steroid, with nominal p-values of 0.004 and 0.012 at 3 and 6 months, respectively.</w:t>
      </w:r>
    </w:p>
    <w:p>
      <w:pPr>
        <w:pStyle w:val="TextBody"/>
        <w:bidi w:val="0"/>
        <w:spacing w:before="20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705475" cy="3209925"/>
            <wp:effectExtent l="0" t="0" r="0" b="0"/>
            <wp:docPr id="4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1" descr=""/>
                    <pic:cNvPicPr>
                      <a:picLocks noChangeAspect="1" noChangeArrowheads="1"/>
                    </pic:cNvPicPr>
                  </pic:nvPicPr>
                  <pic:blipFill>
                    <a:blip r:embed="rId27"/>
                    <a:stretch>
                      <a:fillRect/>
                    </a:stretch>
                  </pic:blipFill>
                  <pic:spPr bwMode="auto">
                    <a:xfrm>
                      <a:off x="0" y="0"/>
                      <a:ext cx="5705475" cy="3209925"/>
                    </a:xfrm>
                    <a:prstGeom prst="rect">
                      <a:avLst/>
                    </a:prstGeom>
                  </pic:spPr>
                </pic:pic>
              </a:graphicData>
            </a:graphic>
          </wp:inline>
        </w:drawing>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results were also corroborated by a biological sign of neuronal and axonal death. Neurofilament is a biomarker of axonal and neuronal death which has been used in the past for the regulatory approval of a drug for amyotrophic lateral sclerosis (ALS), a terminal neurodegenerative disease. In the ACUITY trial, Privosegtor (3 mg/kg/day) + steroid was associated with significantly less neurofilaments in the bloodstream when compared to placebo + steroid.</w:t>
      </w:r>
    </w:p>
    <w:p>
      <w:pPr>
        <w:pStyle w:val="TextBody"/>
        <w:bidi w:val="0"/>
        <w:jc w:val="left"/>
        <w:rPr/>
      </w:pPr>
      <w:r>
        <w:rPr/>
        <w:drawing>
          <wp:inline distT="0" distB="0" distL="0" distR="0">
            <wp:extent cx="5705475" cy="3209925"/>
            <wp:effectExtent l="0" t="0" r="0" b="0"/>
            <wp:docPr id="4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2" descr=""/>
                    <pic:cNvPicPr>
                      <a:picLocks noChangeAspect="1" noChangeArrowheads="1"/>
                    </pic:cNvPicPr>
                  </pic:nvPicPr>
                  <pic:blipFill>
                    <a:blip r:embed="rId28"/>
                    <a:stretch>
                      <a:fillRect/>
                    </a:stretch>
                  </pic:blipFill>
                  <pic:spPr bwMode="auto">
                    <a:xfrm>
                      <a:off x="0" y="0"/>
                      <a:ext cx="5705475" cy="320992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Evaluation of TEAEs showed no drug-related SAEs and no AEs leading to drug withdrawal or study discontinuation. The most frequently reported drug related AEs &gt; 10% in the Privosegtor (2 or 3 mg/kg/day) + steroid treatment group were headache: 2 patients (10.5%), and acne: 2 patients (10.5%).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positive outcomes in this trial could support Privosegtor’s development as a potential treatment in multiple other ophthalmic, neuro-ophthalmic and neurological conditions associated with neurodegeneration. The novel mechanism of action of Privosegtor may enable it to demonstrate benefit in treating additional ocular conditions and may additionally allow its development in non-ocular neurological disorders involving neuronal inflammation such as MS.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Material Licenses, Partnerships and Collaborations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License Agreement with Accure for Privosegtor</w:t>
      </w:r>
    </w:p>
    <w:p>
      <w:pPr>
        <w:pStyle w:val="TextBody"/>
        <w:bidi w:val="0"/>
        <w:spacing w:before="200" w:after="283"/>
        <w:jc w:val="both"/>
        <w:rPr>
          <w:rFonts w:ascii="Times New Roman" w:hAnsi="Times New Roman"/>
          <w:sz w:val="20"/>
        </w:rPr>
      </w:pPr>
      <w:r>
        <w:rPr>
          <w:rFonts w:ascii="Times New Roman" w:hAnsi="Times New Roman"/>
          <w:color w:val="000000"/>
          <w:sz w:val="20"/>
        </w:rPr>
        <w:t>Pursuant to a license agreement, dated as of January 29, 2022, by and between us and Accure (the “</w:t>
      </w:r>
      <w:r>
        <w:rPr>
          <w:rFonts w:ascii="Times New Roman" w:hAnsi="Times New Roman"/>
          <w:i/>
          <w:color w:val="000000"/>
          <w:sz w:val="20"/>
        </w:rPr>
        <w:t>Accure Agreement</w:t>
      </w:r>
      <w:r>
        <w:rPr>
          <w:rFonts w:ascii="Times New Roman" w:hAnsi="Times New Roman"/>
          <w:color w:val="000000"/>
          <w:sz w:val="20"/>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pStyle w:val="TextBody"/>
        <w:bidi w:val="0"/>
        <w:spacing w:before="200" w:after="283"/>
        <w:jc w:val="both"/>
        <w:rPr>
          <w:rFonts w:ascii="Times New Roman" w:hAnsi="Times New Roman"/>
          <w:sz w:val="20"/>
        </w:rPr>
      </w:pPr>
      <w:r>
        <w:rPr>
          <w:rFonts w:ascii="Times New Roman" w:hAnsi="Times New Roman"/>
          <w:color w:val="000000"/>
          <w:sz w:val="20"/>
        </w:rPr>
        <w:t>As of December 31, 2025, we have paid the full contractual non-refundable upfront fee of CHF 3.0 million and reimbursed costs in the amount of CHF 0.5 million. During the fourth quarter of 2024, we completed the Phase 2 ACUITY trial of Privosegtor in ON and received clearance from the FDA for our IND application. These events triggered two milestone payments to Accure totaling CHF 1.1 million ($1.2 million) which were paid in January 2025. The next clinical and regulatory milestone under the Accure Agreement will trigger a payment of CHF 2.1 million ($2.6 million) that the Company expects to pay in 2026. As of December 31, 2025, we were obligated to pay Accure (a) up to CHF 87.9 million ($110.9 million at the December 31, 2025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hAnsi="Times New Roman"/>
          <w:i/>
          <w:color w:val="000000"/>
          <w:sz w:val="20"/>
        </w:rPr>
        <w:t>Payment Period</w:t>
      </w:r>
      <w:r>
        <w:rPr>
          <w:rFonts w:ascii="Times New Roman" w:hAnsi="Times New Roman"/>
          <w:color w:val="000000"/>
          <w:sz w:val="20"/>
        </w:rPr>
        <w:t>”). Under the Accure Agreement, we are obligated to use commercially reasonable efforts to develop and seek regulatory approval for a licensed product in major countries of the territory as defined in the Accure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License Agreement with Novartis for Licaminlimab</w:t>
      </w:r>
    </w:p>
    <w:p>
      <w:pPr>
        <w:pStyle w:val="TextBody"/>
        <w:bidi w:val="0"/>
        <w:spacing w:before="200" w:after="283"/>
        <w:jc w:val="both"/>
        <w:rPr>
          <w:rFonts w:ascii="Times New Roman" w:hAnsi="Times New Roman"/>
          <w:sz w:val="20"/>
        </w:rPr>
      </w:pPr>
      <w:r>
        <w:rPr>
          <w:rFonts w:ascii="Times New Roman" w:hAnsi="Times New Roman"/>
          <w:color w:val="000000"/>
          <w:sz w:val="20"/>
        </w:rPr>
        <w:t>Pursuant to a license agreement, dated as of December 19, 2018, as amended, by and between us and Novartis (the “</w:t>
      </w:r>
      <w:r>
        <w:rPr>
          <w:rFonts w:ascii="Times New Roman" w:hAnsi="Times New Roman"/>
          <w:i/>
          <w:color w:val="000000"/>
          <w:sz w:val="20"/>
        </w:rPr>
        <w:t>Novartis Agreement</w:t>
      </w:r>
      <w:r>
        <w:rPr>
          <w:rFonts w:ascii="Times New Roman" w:hAnsi="Times New Roman"/>
          <w:color w:val="000000"/>
          <w:sz w:val="20"/>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We originally entered into the Novartis Agreement with Alcon Research, Ltd. (“</w:t>
      </w:r>
      <w:r>
        <w:rPr>
          <w:rFonts w:ascii="Times New Roman" w:hAnsi="Times New Roman"/>
          <w:i/>
          <w:color w:val="000000"/>
          <w:sz w:val="20"/>
        </w:rPr>
        <w:t>Alcon</w:t>
      </w:r>
      <w:r>
        <w:rPr>
          <w:rFonts w:ascii="Times New Roman" w:hAnsi="Times New Roman"/>
          <w:color w:val="000000"/>
          <w:sz w:val="20"/>
        </w:rPr>
        <w:t>”), which subsequently assigned its rights and obligations under the Novartis Agreement to Novartis in connection with Alcon’s spin-off from Novartis. We made an upfront payment to Alcon of CHF 4.7 million ($4.7 million at the exchange rate at the time of payment) in cash and issued 401,709 ordinary shares (recast using the Exchange Ratio to reflect the impact of the BCA) for the residual between the fair value and the upfront payment. This was accounted for as a share-based payment transaction under IFRS 2. As of December 31, 2025, we were obligated to pay Novartis additional up to CHF 76.9 million ($97.0 million at the December 31, 2025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hAnsi="Times New Roman"/>
          <w:i/>
          <w:color w:val="000000"/>
          <w:sz w:val="20"/>
        </w:rPr>
        <w:t>Royalty Term</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Manufacturing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oversee and manage third-party global CMOs, to support the development and manufacture of product candidates for our clinical trials, and, if any product candidates receive marketing approval, we expect to rely on such global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agreements with third-party contract manufacturers for OCS-01, Licaminlimab and Privosegtor, and we expect to enter into commercial supply agreements with such manufacturers prior to any potential approval. We continue to develop and improve the manufacturing processes for Privosegtor and Licaminlimab and to address the requirements in these highly regulated markets. Improvement of manufacturing processes may involve transferring the development and manufacturing to another CMO, taking into account technical, quality and economic aspects.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OCS-01, Licaminlimab and Privosegtor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current standard of care treatments for patients with ocular diseases and the entry of biosimilars and generics, numerous commercial and academic preclinical studies and clinical trials are being undertaken by a large number of parties to assess novel technologies and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large pharmaceutical and biopharmaceutical companies that have commercialized, or are developing treatments for ocular diseases, compete with us. Companies that have commercialized or are developing product candidates to treat DME include Abbvie, ANI Pharmaceuticals, Bayer, Novartis, Regeneron and Roche, among others. Companies that have commercialized or are developing product candidates to treat DED include Abbvie, Alcon, Bausch + Lomb, Viatris, Harrow, and Sun Pharmaceuticals, among others. Companies that are commercializing or developing products to treat neuro-ophthalmic conditions include Amgen, Dompé, Argenx, and Veridian, among others.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w:t>
      </w:r>
    </w:p>
    <w:p>
      <w:pPr>
        <w:pStyle w:val="TextBody"/>
        <w:bidi w:val="0"/>
        <w:spacing w:before="200" w:after="283"/>
        <w:jc w:val="both"/>
        <w:rPr>
          <w:rFonts w:ascii="Times New Roman" w:hAnsi="Times New Roman"/>
          <w:sz w:val="20"/>
        </w:rPr>
      </w:pPr>
      <w:r>
        <w:rPr>
          <w:rFonts w:ascii="Times New Roman" w:hAnsi="Times New Roman"/>
          <w:color w:val="000000"/>
          <w:sz w:val="20"/>
        </w:rPr>
        <w:t>As of December 31, 2025, we own and exclusively in-licensed a patent portfolio that included 23 issued U.S. patents, 6 issued European patents validated in multiple jurisdictions, and 63 issued patents in other foreign jurisdictions, as well as 12 pending non-provisional U.S. patent applications, and 90 foreign pending patent applications, including 12 pending European patent applications, and 3 pending Patent Cooperation Treaty (“</w:t>
      </w:r>
      <w:r>
        <w:rPr>
          <w:rFonts w:ascii="Times New Roman" w:hAnsi="Times New Roman"/>
          <w:i/>
          <w:color w:val="000000"/>
          <w:sz w:val="20"/>
        </w:rPr>
        <w:t>PCT”</w:t>
      </w:r>
      <w:r>
        <w:rPr>
          <w:rFonts w:ascii="Times New Roman" w:hAnsi="Times New Roman"/>
          <w:color w:val="000000"/>
          <w:sz w:val="20"/>
        </w:rPr>
        <w:t>) applications related to our different product candidates, namely, OCS-01, Licaminlimab, Privosegtor, OCS-03 and OCS-04.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OCS-01</w:t>
      </w:r>
    </w:p>
    <w:p>
      <w:pPr>
        <w:pStyle w:val="TextBody"/>
        <w:bidi w:val="0"/>
        <w:spacing w:before="200" w:after="283"/>
        <w:jc w:val="both"/>
        <w:rPr>
          <w:rFonts w:ascii="Times New Roman" w:hAnsi="Times New Roman"/>
          <w:sz w:val="20"/>
        </w:rPr>
      </w:pPr>
      <w:r>
        <w:rPr>
          <w:rFonts w:ascii="Times New Roman" w:hAnsi="Times New Roman"/>
          <w:color w:val="000000"/>
          <w:sz w:val="20"/>
        </w:rPr>
        <w:t>Regarding our OCS-01 product candidate</w:t>
      </w:r>
      <w:r>
        <w:rPr>
          <w:rFonts w:ascii="Times New Roman" w:hAnsi="Times New Roman"/>
          <w:i/>
          <w:color w:val="000000"/>
          <w:sz w:val="20"/>
        </w:rPr>
        <w:t xml:space="preserve">, </w:t>
      </w:r>
      <w:r>
        <w:rPr>
          <w:rFonts w:ascii="Times New Roman" w:hAnsi="Times New Roman"/>
          <w:color w:val="000000"/>
          <w:sz w:val="20"/>
        </w:rPr>
        <w:t>as of December 31, 2025, we own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a patent family consisting of 1 issued U.S. patent, 1 U.S. non-provisional patent application, one issued European patent validated in 41 jurisdictions (Albania, Austria, Bosnia, Belgium, Bulgaria, Swiss, Cyprus, Czech republic, Germany, Denmark, Estonia, Spain, Finland, France, Great Britain, Greece, Hungary, Croatia, Ireland, Iceland, Italy, Lithuania, Luxembourg, Latvia, Morocco, Monaco, Moldavia, Montenegro, Macedonia, Malta, Netherlands, Norway, Poland, Portugal, Romania, Serbia, Sweden, Slovenia, Slovakia, San Marino and Turkey), and one pending divisional application in Europe, 29 issued patents in other foreign jurisdictions issued patents (Australia, Brazil, Chile, China, Colombia, Eurasia (Armenia, Azerbaijan, Belarus, Kyrgyzstan, Kazakhstan, Russia – two patents, Tajikistan, Turkmenistan), Hong Kong, India, Israel, Japan (two patents), Mexico, Philippines, Singapore, South Africa (two patents), South Korea (two patents), Taiwan (two patents), Ukraine), pending applications in Argentina, Canada, Egypt and pending divisional applications in Argentina, China, Hong Kong, Israel, Singapore. This patent family is directed to improved compositions (and process of preparation thereof) of OCS-01 comprising low levels of impurities. Patents, if issued from patent applications in this family, will expire in 2037,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a patent family that consisted of 10 issued U.S. patents and 1 U.S. non-provisional patent application, one European issued patent validated in many jurisdictions (Albania, Austria, Belgium, Bulgaria, Swiss, Cyprus, Czech republic, Germany, Denmark, Estonia, Spain, Finland, France, Great Britain, Greece, Hungary, Croatia, Ireland, Iceland, Italy, Lithuania, Luxembourg, Latvia, Monaco, Macedonia, Malta, Netherlands, Norway, Poland, Portugal, Romania, Serbia, Sweden, Slovenia, Slovakia, San Marino and Turkey), one pending divisional application in Europe, one South African issued patent, one Eurasian issued patent, one Japan issued patent, one Singapore issued patent, one Australian issued patent and 20 additional foreign patent applications in other jurisdictions, including one divisional European patent application, directed to specific formulations of OCS-01 and methods for stabilizing the composition for use as an eye drop. Patents, if issued from patent applications in this family, will expire in 2040,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one non-provisional U.S. pending application and two PCT pending applications as well as pending applications in Taiwan, with claims covering a specific treatment regimen for treating DME using OCS-01. In order for any future patent applications to claim the benefit of such PCT application, they must be filed not later than 30 or 31 months (depending on the jurisdiction) after the earliest priority date of such PCT application. Patents, if issued from such patent applications, will expire in 2043 or 2044,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Licaminlimab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Regarding our Licaminlimab product candidate, as of December 31, 2025, we exclusively licensed from Novartis under the Novartis Agreement, in the licensed field as defined in the Novartis Agreement, one patent family that consisted of three issued U.S. patents and two granted European patents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six jurisdictions (France, Germany, Great Britain, Italy, Spain, Switzerland), respectively, 22 issued patents in other foreign jurisdictions (Argentina, Australia, Brazil, Canada, Chile (two patents), China (two patents), India, Hong Kong (two patents), GCC, Japan (two patents), Republic of Korea, Mexico (two patents), Philippines, Russia, South Africa, Taiwan, Ukraine) and two patent applications pending in other foreign jurisdictions, with claims covering composition of matter of Licaminlimab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as of December 31, 2025, we exclusively licensed from Novartis under the Novartis Agreement, in the licensed field as defined in the Novartis Agreement, one patent family directed on a biomarker for patient selection, that consists of one issued U.S. patent and one issued Japanese patent, one pending European and one U.S. patent applications and other patent applications pending in Canada and Japan. Patents (including any patents that issue from such patent applications) will expire in 2037,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as of December 31, 2025, we exclusively licensed from Novartis under the Novartis Agreement, in the licensed field as defined in the Novartis Agreement, six additional patent families covering composition of matter of Licaminlimab or methods of use, which (including any patents that issue from patent applications in these families) will expire between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2023 and 2031,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Privosegtor</w:t>
      </w:r>
    </w:p>
    <w:p>
      <w:pPr>
        <w:pStyle w:val="TextBody"/>
        <w:bidi w:val="0"/>
        <w:spacing w:before="200" w:after="283"/>
        <w:jc w:val="both"/>
        <w:rPr>
          <w:rFonts w:ascii="Times New Roman" w:hAnsi="Times New Roman"/>
          <w:sz w:val="20"/>
        </w:rPr>
      </w:pPr>
      <w:r>
        <w:rPr>
          <w:rFonts w:ascii="Times New Roman" w:hAnsi="Times New Roman"/>
          <w:color w:val="000000"/>
          <w:sz w:val="20"/>
        </w:rPr>
        <w:t>Regarding our Privosegtor product candidate</w:t>
      </w:r>
      <w:r>
        <w:rPr>
          <w:rFonts w:ascii="Times New Roman" w:hAnsi="Times New Roman"/>
          <w:i/>
          <w:color w:val="000000"/>
          <w:sz w:val="20"/>
        </w:rPr>
        <w:t xml:space="preserve">, </w:t>
      </w:r>
      <w:r>
        <w:rPr>
          <w:rFonts w:ascii="Times New Roman" w:hAnsi="Times New Roman"/>
          <w:color w:val="000000"/>
          <w:sz w:val="20"/>
        </w:rPr>
        <w:t>as of December 31, 2025,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Privosegtor.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exclusively licensed from Accure under the Accure Agreement a patent family that consisted of one pending non-provisional U.S. patent application, two issued patents in Australia and Japan and 7 pending foreign patent applications, including one pending European patent application (pending applications in Australia, Canada, China, Japan and Hong Kong), directed to the method of use of the composition of Privosegtor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exclusively licensed from Accure under the Accure Agreement a patent family consisting of two pending non-provisional U.S. patent applications, one issued patent in China and six pending foreign patent applications, including one pending European patent application (and pending applications in Australia, Canada, China, Japan), with claims directed to specific dosage regimen for administering the active pharmaceutical ingredient of Privosegtor. Patents, if issued from such patent applications, will expire in 2040,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a patent family consisting of pending applications in Argentina, Taiwan, Australia, Brazil, Canada, Chile, China, Colombia, Eurasia, Europe, Egypt, Hong Kong, Israel, India, Japan, South Korea, Mexico, New Zealand, Philippines, Singapore, Ukraine, United States and South Africa with claims covering a manufacturing process of Privosegtor and Privosegtor intermediate synthesis compounds. Patents, if issued from such patent applications, will expire in 2043,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a PCT pending application as well as pending applications in Europe, Argentina and Taiwan, with claims covering an alternative manufacturing process of Privosegtor. In order for any future patent applications to claim the benefit of such PCT application, they must be filed not later than 30 or 31 months (depending on the jurisdiction) after the earliest priority date of such PCT application. Patents, if issued from such patent applications, will expire in 2045,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also own one provisional U.S. application and two European non-published pending applications related to OCS-05.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OCS-03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own a patent family that consists of one pending U.S. non provisional application and one pending European application, with claims covering composition of matter of OCS-03 and its use. Patents (including any patents that issue from patent application) will expire in 2041,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OCS-04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we own one patent family consisting of a U.S. non-provisional patent application and a European patent application, with claims covering composition of matter of OCS-04 and manufacturing processes. In order for any future patent applications to claim the benefit of such PCT application, they must be filed not later than 30 or 31 months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(depending on the jurisdiction) after the earliest priority date of such PCT application. Patents, if issued from the patent applications claiming the benefit of such priority application, if issued, will expire in 2043, without giving effect to any potential patent term extensions and patent term adjustments and assuming payment of all appropriate maintenance, renewal, annuity or other governmental fees.</w:t>
      </w:r>
    </w:p>
    <w:p>
      <w:pPr>
        <w:pStyle w:val="TextBody"/>
        <w:bidi w:val="0"/>
        <w:spacing w:before="200" w:after="283"/>
        <w:jc w:val="both"/>
        <w:rPr>
          <w:rFonts w:ascii="Times New Roman" w:hAnsi="Times New Roman"/>
          <w:sz w:val="20"/>
        </w:rPr>
      </w:pPr>
      <w:r>
        <w:rPr>
          <w:rFonts w:ascii="Times New Roman" w:hAnsi="Times New Roman"/>
          <w:color w:val="000000"/>
          <w:sz w:val="20"/>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hAnsi="Times New Roman"/>
          <w:i/>
          <w:color w:val="000000"/>
          <w:sz w:val="20"/>
        </w:rPr>
        <w:t>Risk Factors—Risks Related to Our Intellectual Property,</w:t>
      </w:r>
      <w:r>
        <w:rPr>
          <w:rFonts w:ascii="Times New Roman" w:hAnsi="Times New Roman"/>
          <w:color w:val="000000"/>
          <w:sz w:val="20"/>
        </w:rPr>
        <w:t>” included in Item 3.D. of the Annual Report on Form 20-F for the year ended December 31, 2025 filed with the SEC on March 4, 2026.</w:t>
      </w:r>
    </w:p>
    <w:p>
      <w:pPr>
        <w:pStyle w:val="TextBody"/>
        <w:bidi w:val="0"/>
        <w:spacing w:before="200" w:after="283"/>
        <w:jc w:val="both"/>
        <w:rPr>
          <w:rFonts w:ascii="Times New Roman" w:hAnsi="Times New Roman"/>
          <w:sz w:val="20"/>
        </w:rPr>
      </w:pPr>
      <w:r>
        <w:rPr>
          <w:rFonts w:ascii="Times New Roman" w:hAnsi="Times New Roman"/>
          <w:color w:val="000000"/>
          <w:sz w:val="20"/>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hAnsi="Times New Roman"/>
          <w:i/>
          <w:color w:val="000000"/>
          <w:sz w:val="20"/>
        </w:rPr>
        <w:t>Risk Factors—Risks Related to Our Intellectual Property</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file U.S. non-provisional applications and PCT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Consequently, we or our licensors may not obtain or maintain adequate patent protection for any of our future product candidates or for our OPTIREACH</w:t>
      </w:r>
      <w:r>
        <w:rPr>
          <w:rFonts w:ascii="Times New Roman" w:hAnsi="Times New Roman"/>
          <w:color w:val="000000"/>
          <w:sz w:val="13"/>
        </w:rPr>
        <w:t xml:space="preserve">® </w:t>
      </w:r>
      <w:r>
        <w:rPr>
          <w:rFonts w:ascii="Times New Roman" w:hAnsi="Times New Roman"/>
          <w:color w:val="000000"/>
          <w:sz w:val="20"/>
        </w:rPr>
        <w:t>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w:t>
      </w:r>
    </w:p>
    <w:p>
      <w:pPr>
        <w:pStyle w:val="TextBody"/>
        <w:bidi w:val="0"/>
        <w:spacing w:before="200" w:after="283"/>
        <w:jc w:val="both"/>
        <w:rPr>
          <w:rFonts w:ascii="Times New Roman" w:hAnsi="Times New Roman"/>
          <w:sz w:val="20"/>
        </w:rPr>
      </w:pPr>
      <w:r>
        <w:rPr>
          <w:rFonts w:ascii="Times New Roman" w:hAnsi="Times New Roman"/>
          <w:color w:val="000000"/>
          <w:sz w:val="20"/>
        </w:rPr>
        <w:t>The patent positions of biotechnology companies like ours are generally uncertain and involve complex legal, scientific and factual questions. Our commercial success will also depend in part on not infringing upon, 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hAnsi="Times New Roman"/>
          <w:i/>
          <w:color w:val="000000"/>
          <w:sz w:val="20"/>
        </w:rPr>
        <w:t>Risk Factors—Risks Related to Intellectual Property,</w:t>
      </w:r>
      <w:r>
        <w:rPr>
          <w:rFonts w:ascii="Times New Roman" w:hAnsi="Times New Roman"/>
          <w:color w:val="000000"/>
          <w:sz w:val="20"/>
        </w:rPr>
        <w:t>” included in Item 3.D. of the Annual Report on Form 20-F for the year ended December 31, 2025 filed with the SEC on March 4, 2026.</w:t>
      </w:r>
    </w:p>
    <w:p>
      <w:pPr>
        <w:pStyle w:val="TextBody"/>
        <w:bidi w:val="0"/>
        <w:spacing w:before="200" w:after="283"/>
        <w:jc w:val="both"/>
        <w:rPr>
          <w:rFonts w:ascii="Times New Roman" w:hAnsi="Times New Roman"/>
          <w:sz w:val="20"/>
        </w:rPr>
      </w:pPr>
      <w:r>
        <w:rPr>
          <w:rFonts w:ascii="Times New Roman" w:hAnsi="Times New Roman"/>
          <w:color w:val="000000"/>
          <w:sz w:val="20"/>
        </w:rPr>
        <w:t>In addition to patent protection, we also rely on trademark registration, trade secrets, know how, other proprietary information and continuing technological innovation to develop and maintain our competitive position. As of December 31, 2025, we owned five registered or pending U.S. trademarks (four of which being fractions of international registrations), five international trademark registrations (either granted or still under examination in several countries), 18 registered or pending national foreign trademarks (including the U.S. one).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 w:hAnsi="Times New Roman"/>
          <w:i/>
          <w:color w:val="000000"/>
          <w:sz w:val="20"/>
        </w:rPr>
        <w:t>Risk Factors—Risks Related to Intellectual Property,</w:t>
      </w:r>
      <w:r>
        <w:rPr>
          <w:rFonts w:ascii="Times New Roman" w:hAnsi="Times New Roman"/>
          <w:color w:val="000000"/>
          <w:sz w:val="20"/>
        </w:rPr>
        <w:t>” included in Item 3.D. of the Annual Report on Form 20-F for the year ended December 31, 2025 filed with the SEC on March 4,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available to expand market exclusivity, our strategy is to obtain, or license additional intellectual property or proprietary rights related to current or contemplated development platforms, core elements of technology and/or clinical candidates.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 Drug and Biologic Development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United States, the FDA regulates drugs and biologics under the federal FDCA, and its implementing regulations. Biologics are additionally subject to regulations under the Public Health Service Act. The process of obtaining regulatory approvals and the subsequent compliance with appropriate federal, state, local and foreign statutes and regulations require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required by the FDA before a biopharmaceutical may be marketed in the United States generally involves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completion of nonclinical laboratory tests, animal studies, and formulation studies in accordance with FDA’s good laboratory requirements and other applicable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an IND, which must become effective before human clinical trials may begin;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approval by an independent IRB ethics committee, either centralized or with respect to each clinical site, before each clinical trial may be initiated;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 of adequate and well-controlled human clinical trials in accordance with cGCP requirements to establish the safety and efficacy of the proposed drug (or the safety, purity and potency of the proposed biologic) for its intended use;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an NDA or BLA after completion of all pivotal trials;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determination by the FDA within 60 days of its receipt of an NDA or BLA to accept the filing for substantive review;</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FDA review and approval of the NDA or BLA to permit commercial marketing of the product for particular indications for use in the United States.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hAnsi="Times New Roman"/>
          <w:i/>
          <w:color w:val="000000"/>
          <w:sz w:val="20"/>
        </w:rPr>
        <w:t>in vitro</w:t>
      </w:r>
      <w:r>
        <w:rPr>
          <w:rFonts w:ascii="Times New Roman" w:hAnsi="Times New Roman"/>
          <w:color w:val="000000"/>
          <w:sz w:val="20"/>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demonstration of efficacy. There are also requirements governing the reporting of ongoing clinical studies and clinical study results to public registries.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Human clinical trials are typically conducted in three sequential phases that may overlap or be combined:</w:t>
      </w:r>
    </w:p>
    <w:p>
      <w:pPr>
        <w:pStyle w:val="TextBody"/>
        <w:bidi w:val="0"/>
        <w:spacing w:before="200" w:after="283"/>
        <w:jc w:val="both"/>
        <w:rPr>
          <w:rFonts w:ascii="Times New Roman" w:hAnsi="Times New Roman"/>
          <w:sz w:val="20"/>
        </w:rPr>
      </w:pPr>
      <w:r>
        <w:rPr>
          <w:rFonts w:ascii="Times New Roman" w:hAnsi="Times New Roman"/>
          <w:i/>
          <w:color w:val="000000"/>
          <w:sz w:val="20"/>
        </w:rPr>
        <w:t>Phase One</w:t>
      </w:r>
      <w:r>
        <w:rPr>
          <w:rFonts w:ascii="Times New Roman" w:hAnsi="Times New Roman"/>
          <w:color w:val="000000"/>
          <w:sz w:val="20"/>
        </w:rPr>
        <w:t>: Phase 1 clinical trials are designed to test a new therapy in a small group of people for the first time to evaluate safety (e.g., to determine a safe dosage range and to identify adverse effects). It can include healthy participants or patients.</w:t>
      </w:r>
    </w:p>
    <w:p>
      <w:pPr>
        <w:pStyle w:val="TextBody"/>
        <w:bidi w:val="0"/>
        <w:spacing w:before="200" w:after="283"/>
        <w:jc w:val="both"/>
        <w:rPr>
          <w:rFonts w:ascii="Times New Roman" w:hAnsi="Times New Roman"/>
          <w:sz w:val="20"/>
        </w:rPr>
      </w:pPr>
      <w:r>
        <w:rPr>
          <w:rFonts w:ascii="Times New Roman" w:hAnsi="Times New Roman"/>
          <w:i/>
          <w:color w:val="000000"/>
          <w:sz w:val="20"/>
        </w:rPr>
        <w:t>Phase Two</w:t>
      </w:r>
      <w:r>
        <w:rPr>
          <w:rFonts w:ascii="Times New Roman" w:hAnsi="Times New Roman"/>
          <w:color w:val="000000"/>
          <w:sz w:val="20"/>
        </w:rPr>
        <w:t>: Phase 2 clinical trials are designed to study an investigational therapy in a larger group of people to determine efficacy and to further evaluate its safety. It is conducted in participants with the condition or disease under study and will determine common short-term adverse effects and risks.</w:t>
      </w:r>
    </w:p>
    <w:p>
      <w:pPr>
        <w:pStyle w:val="TextBody"/>
        <w:bidi w:val="0"/>
        <w:spacing w:before="200" w:after="283"/>
        <w:jc w:val="both"/>
        <w:rPr>
          <w:rFonts w:ascii="Times New Roman" w:hAnsi="Times New Roman"/>
          <w:sz w:val="20"/>
        </w:rPr>
      </w:pPr>
      <w:r>
        <w:rPr>
          <w:rFonts w:ascii="Times New Roman" w:hAnsi="Times New Roman"/>
          <w:i/>
          <w:color w:val="000000"/>
          <w:sz w:val="20"/>
        </w:rPr>
        <w:t>Phase Three</w:t>
      </w:r>
      <w:r>
        <w:rPr>
          <w:rFonts w:ascii="Times New Roman" w:hAnsi="Times New Roman"/>
          <w:color w:val="000000"/>
          <w:sz w:val="20"/>
        </w:rPr>
        <w:t>: Phase 3 clinical trials are designed to study the efficacy of the investigational therapy in large groups of patients by comparing the therapy to other standard or experimental therapies as well as to monitor adverse effects, and to collect information that will allow the therapy being studied to be used safely.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hAnsi="Times New Roman"/>
          <w:i/>
          <w:color w:val="000000"/>
          <w:sz w:val="20"/>
        </w:rPr>
        <w:t>in vitro</w:t>
      </w:r>
      <w:r>
        <w:rPr>
          <w:rFonts w:ascii="Times New Roman" w:hAnsi="Times New Roman"/>
          <w:color w:val="000000"/>
          <w:sz w:val="20"/>
        </w:rPr>
        <w:t xml:space="preserve"> testing suggesting a significant risk to humans, and any clinically important increased incidence of a serious suspected adverse reaction compared to that listed in the protocol or investigator brochure.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NDA or BLA Review and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reviews an NDA or BLA to determine, among other things, whether a drug is safe and effective (or a biologic is safe, pure and potent)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the FDA evaluates an NDA or BLA, it will issue an approval letter or a Complete Response Letter. An approval letter authorizes commercial marketing of the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w:t>
      </w:r>
    </w:p>
    <w:p>
      <w:pPr>
        <w:pStyle w:val="TextBody"/>
        <w:bidi w:val="0"/>
        <w:spacing w:before="200" w:after="283"/>
        <w:jc w:val="both"/>
        <w:rPr>
          <w:rFonts w:ascii="Times New Roman" w:hAnsi="Times New Roman"/>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application with a Risk Evaluation and Mitigation Strategy (“</w:t>
      </w:r>
      <w:r>
        <w:rPr>
          <w:rFonts w:ascii="Times New Roman" w:hAnsi="Times New Roman"/>
          <w:i/>
          <w:color w:val="000000"/>
          <w:sz w:val="20"/>
        </w:rPr>
        <w:t xml:space="preserve">REMS”) </w:t>
      </w:r>
      <w:r>
        <w:rPr>
          <w:rFonts w:ascii="Times New Roman" w:hAnsi="Times New Roman"/>
          <w:color w:val="000000"/>
          <w:sz w:val="20"/>
        </w:rPr>
        <w:t>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Orphan product designation does not convey any advantage in or shorten the duration of the regulatory review and approval process. 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If a drug or biological product designated as an orphan product receives marketing approval for an indication broader than what is designated, it may not be entitled to orphan product exclusivity. Orphan drug designation status in the EU has similar, but not identical, benefits.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fines, warning letters, or untitled letters;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clinical holds on post-approval or Phase 4 clinical studies, if applicable;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license approvals;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 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Marketing Exclusivity</w:t>
      </w:r>
    </w:p>
    <w:p>
      <w:pPr>
        <w:pStyle w:val="TextBody"/>
        <w:bidi w:val="0"/>
        <w:spacing w:before="200" w:after="283"/>
        <w:jc w:val="both"/>
        <w:rPr>
          <w:rFonts w:ascii="Times New Roman" w:hAnsi="Times New Roman"/>
          <w:sz w:val="20"/>
        </w:rPr>
      </w:pPr>
      <w:r>
        <w:rPr>
          <w:rFonts w:ascii="Times New Roman" w:hAnsi="Times New Roman"/>
          <w:color w:val="000000"/>
          <w:sz w:val="20"/>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hAnsi="Times New Roman"/>
          <w:i/>
          <w:color w:val="000000"/>
          <w:sz w:val="20"/>
        </w:rPr>
        <w:t>ANDA</w:t>
      </w:r>
      <w:r>
        <w:rPr>
          <w:rFonts w:ascii="Times New Roman" w:hAnsi="Times New Roman"/>
          <w:color w:val="000000"/>
          <w:sz w:val="20"/>
        </w:rPr>
        <w:t>”) or an NDA submitted under Section 505(b)(2) (“</w:t>
      </w:r>
      <w:r>
        <w:rPr>
          <w:rFonts w:ascii="Times New Roman" w:hAnsi="Times New Roman"/>
          <w:i/>
          <w:color w:val="000000"/>
          <w:sz w:val="20"/>
        </w:rPr>
        <w:t>505(b)(2) NDA</w:t>
      </w:r>
      <w:r>
        <w:rPr>
          <w:rFonts w:ascii="Times New Roman" w:hAnsi="Times New Roman"/>
          <w:color w:val="000000"/>
          <w:sz w:val="20"/>
        </w:rPr>
        <w:t>”),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Section 505(b)(2) NDAs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505(b)(2) 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FDA Approval and Regulation of Companion Diagnostics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therapeutic product may rely upon an </w:t>
      </w:r>
      <w:r>
        <w:rPr>
          <w:rFonts w:ascii="Times New Roman" w:hAnsi="Times New Roman"/>
          <w:i/>
          <w:color w:val="000000"/>
          <w:sz w:val="20"/>
        </w:rPr>
        <w:t>in vitro</w:t>
      </w:r>
      <w:r>
        <w:rPr>
          <w:rFonts w:ascii="Times New Roman" w:hAnsi="Times New Roman"/>
          <w:color w:val="000000"/>
          <w:sz w:val="20"/>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hAnsi="Times New Roman"/>
          <w:i/>
          <w:color w:val="000000"/>
          <w:sz w:val="20"/>
        </w:rPr>
        <w:t>in vitro</w:t>
      </w:r>
      <w:r>
        <w:rPr>
          <w:rFonts w:ascii="Times New Roman" w:hAnsi="Times New Roman"/>
          <w:color w:val="000000"/>
          <w:sz w:val="20"/>
        </w:rPr>
        <w:t xml:space="preserve"> companion diagnostics in conjunction with the review of our therapeutic product candidate Licaminlimab (OCS-02) will, therefore, likely involve coordination of review by the FDA’s Center for Biologics Evaluation and Research and the FDA’s Center for Devices and Radiological Health.</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Under the FDCA, </w:t>
      </w:r>
      <w:r>
        <w:rPr>
          <w:rFonts w:ascii="Times New Roman" w:hAnsi="Times New Roman"/>
          <w:i/>
          <w:color w:val="000000"/>
          <w:sz w:val="20"/>
        </w:rPr>
        <w:t>in vitro</w:t>
      </w:r>
      <w:r>
        <w:rPr>
          <w:rFonts w:ascii="Times New Roman" w:hAnsi="Times New Roman"/>
          <w:color w:val="000000"/>
          <w:sz w:val="20"/>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hAnsi="Times New Roman"/>
          <w:i/>
          <w:color w:val="000000"/>
          <w:sz w:val="20"/>
        </w:rPr>
        <w:t>PMA</w:t>
      </w:r>
      <w:r>
        <w:rPr>
          <w:rFonts w:ascii="Times New Roman" w:hAnsi="Times New Roman"/>
          <w:color w:val="000000"/>
          <w:sz w:val="20"/>
        </w:rPr>
        <w:t xml:space="preserve">”), and </w:t>
      </w:r>
      <w:r>
        <w:rPr>
          <w:rFonts w:ascii="Times New Roman" w:hAnsi="Times New Roman"/>
          <w:i/>
          <w:color w:val="000000"/>
          <w:sz w:val="20"/>
        </w:rPr>
        <w:t>de novo</w:t>
      </w:r>
      <w:r>
        <w:rPr>
          <w:rFonts w:ascii="Times New Roman" w:hAnsi="Times New Roman"/>
          <w:color w:val="000000"/>
          <w:sz w:val="20"/>
        </w:rPr>
        <w:t xml:space="preserve"> classification requests.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EU/Rest of World Regulation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Conduct of Clinical Trials in the EU</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pStyle w:val="TextBody"/>
        <w:bidi w:val="0"/>
        <w:spacing w:before="200" w:after="283"/>
        <w:jc w:val="both"/>
        <w:rPr>
          <w:rFonts w:ascii="Times New Roman" w:hAnsi="Times New Roman"/>
          <w:sz w:val="20"/>
        </w:rPr>
      </w:pPr>
      <w:r>
        <w:rPr>
          <w:rFonts w:ascii="Times New Roman" w:hAnsi="Times New Roman"/>
          <w:color w:val="000000"/>
          <w:sz w:val="20"/>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hAnsi="Times New Roman"/>
          <w:i/>
          <w:color w:val="000000"/>
          <w:sz w:val="20"/>
        </w:rPr>
        <w:t>CTIS</w:t>
      </w:r>
      <w:r>
        <w:rPr>
          <w:rFonts w:ascii="Times New Roman" w:hAnsi="Times New Roman"/>
          <w:color w:val="000000"/>
          <w:sz w:val="20"/>
        </w:rPr>
        <w:t>”);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CTR foresaw a three-year transition period that ended on January 31, 2025. Since this date, all new or ongoing trials are subject to the provisions of the CTR.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Pathways to Obtain a Marketing Authorization in the EU</w:t>
      </w:r>
    </w:p>
    <w:p>
      <w:pPr>
        <w:pStyle w:val="TextBody"/>
        <w:bidi w:val="0"/>
        <w:spacing w:before="200" w:after="283"/>
        <w:jc w:val="both"/>
        <w:rPr>
          <w:rFonts w:ascii="Times New Roman" w:hAnsi="Times New Roman"/>
          <w:sz w:val="20"/>
        </w:rPr>
      </w:pPr>
      <w:r>
        <w:rPr>
          <w:rFonts w:ascii="Times New Roman" w:hAnsi="Times New Roman"/>
          <w:color w:val="000000"/>
          <w:sz w:val="20"/>
        </w:rPr>
        <w:t>In the European Economic Area, which consists of the 27 Member States of the European Union, as well as Norway, Iceland and Liechtenstein, medicinal products can only be commercialized after a related marketing authorization has been granted. A company may submit an MAA on the basis of the centralized, decentralized or mutual recognition procedure. Under the centralized procedure, MAAs are submitted to the EMA for scientific review by the EMA’s Committee for Medicinal Products for Human Use (“</w:t>
      </w:r>
      <w:r>
        <w:rPr>
          <w:rFonts w:ascii="Times New Roman" w:hAnsi="Times New Roman"/>
          <w:i/>
          <w:color w:val="000000"/>
          <w:sz w:val="20"/>
        </w:rPr>
        <w:t>CHMP</w:t>
      </w:r>
      <w:r>
        <w:rPr>
          <w:rFonts w:ascii="Times New Roman" w:hAnsi="Times New Roman"/>
          <w:color w:val="000000"/>
          <w:sz w:val="20"/>
        </w:rPr>
        <w:t>”).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hAnsi="Times New Roman"/>
          <w:i/>
          <w:color w:val="000000"/>
          <w:sz w:val="20"/>
        </w:rPr>
        <w:t>RMS</w:t>
      </w:r>
      <w:r>
        <w:rPr>
          <w:rFonts w:ascii="Times New Roman" w:hAnsi="Times New Roman"/>
          <w:color w:val="000000"/>
          <w:sz w:val="20"/>
        </w:rPr>
        <w:t>”).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 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Although the marketing authorization “under exceptional circumstances” is granted definitively, the risk-benefit balance of the medicinal product is reviewed annually and the marketing authorization is withdrawn in case the risk-benefit ratio is no longer favorable.</w:t>
      </w:r>
    </w:p>
    <w:p>
      <w:pPr>
        <w:pStyle w:val="TextBody"/>
        <w:bidi w:val="0"/>
        <w:spacing w:before="200" w:after="283"/>
        <w:jc w:val="both"/>
        <w:rPr>
          <w:rFonts w:ascii="Times New Roman" w:hAnsi="Times New Roman"/>
          <w:sz w:val="20"/>
        </w:rPr>
      </w:pPr>
      <w:r>
        <w:rPr>
          <w:rFonts w:ascii="Times New Roman" w:hAnsi="Times New Roman"/>
          <w:color w:val="000000"/>
          <w:sz w:val="20"/>
        </w:rPr>
        <w:t>Innovative products that target an unmet medical need and are expected to be of major public health interest may be eligible for a number of expedited development and review programs, such as the Priority Medicines (“</w:t>
      </w:r>
      <w:r>
        <w:rPr>
          <w:rFonts w:ascii="Times New Roman" w:hAnsi="Times New Roman"/>
          <w:i/>
          <w:color w:val="000000"/>
          <w:sz w:val="20"/>
        </w:rPr>
        <w:t>PRIME</w:t>
      </w:r>
      <w:r>
        <w:rPr>
          <w:rFonts w:ascii="Times New Roman" w:hAnsi="Times New Roman"/>
          <w:color w:val="000000"/>
          <w:sz w:val="20"/>
        </w:rPr>
        <w:t xml:space="preserve">”),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Data and Market Exclusivity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Pediatric Development</w:t>
      </w:r>
    </w:p>
    <w:p>
      <w:pPr>
        <w:pStyle w:val="TextBody"/>
        <w:bidi w:val="0"/>
        <w:spacing w:before="200" w:after="283"/>
        <w:jc w:val="both"/>
        <w:rPr>
          <w:rFonts w:ascii="Times New Roman" w:hAnsi="Times New Roman"/>
          <w:sz w:val="20"/>
        </w:rPr>
      </w:pPr>
      <w:r>
        <w:rPr>
          <w:rFonts w:ascii="Times New Roman" w:hAnsi="Times New Roman"/>
          <w:color w:val="000000"/>
          <w:sz w:val="20"/>
        </w:rPr>
        <w:t>In the EU, Regulation (EC) No 1901/2006 provides that all MAAs for new medicinal products must include the results of trials conducted in the pediatric population, in compliance with a pediatric investigation plan (“</w:t>
      </w:r>
      <w:r>
        <w:rPr>
          <w:rFonts w:ascii="Times New Roman" w:hAnsi="Times New Roman"/>
          <w:i/>
          <w:color w:val="000000"/>
          <w:sz w:val="20"/>
        </w:rPr>
        <w:t>PIP</w:t>
      </w:r>
      <w:r>
        <w:rPr>
          <w:rFonts w:ascii="Times New Roman" w:hAnsi="Times New Roman"/>
          <w:color w:val="000000"/>
          <w:sz w:val="20"/>
        </w:rPr>
        <w:t>”), agreed with the EMA’s Pediatric Committee (“</w:t>
      </w:r>
      <w:r>
        <w:rPr>
          <w:rFonts w:ascii="Times New Roman" w:hAnsi="Times New Roman"/>
          <w:i/>
          <w:color w:val="000000"/>
          <w:sz w:val="20"/>
        </w:rPr>
        <w:t>PDCO</w:t>
      </w:r>
      <w:r>
        <w:rPr>
          <w:rFonts w:ascii="Times New Roman" w:hAnsi="Times New Roman"/>
          <w:color w:val="000000"/>
          <w:sz w:val="20"/>
        </w:rPr>
        <w:t>”).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Orphan Medicinal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Post-Approval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Where a marketing authorization is granted in relation to a medicinal product in the EU, the holder of the marketing authorization is required to comply with a range of regulatory requirements applicable to the manufacturing, marketing, promotion and sale of medicinal products.</w:t>
      </w:r>
    </w:p>
    <w:p>
      <w:pPr>
        <w:pStyle w:val="TextBody"/>
        <w:bidi w:val="0"/>
        <w:spacing w:before="200" w:after="283"/>
        <w:jc w:val="both"/>
        <w:rPr>
          <w:rFonts w:ascii="Times New Roman" w:hAnsi="Times New Roman"/>
          <w:sz w:val="20"/>
        </w:rPr>
      </w:pPr>
      <w:r>
        <w:rPr>
          <w:rFonts w:ascii="Times New Roman" w:hAnsi="Times New Roman"/>
          <w:color w:val="000000"/>
          <w:sz w:val="20"/>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hAnsi="Times New Roman"/>
          <w:i/>
          <w:color w:val="000000"/>
          <w:sz w:val="20"/>
        </w:rPr>
        <w:t>PSURs</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All new marketing authorization applications must include a risk management plan (“</w:t>
      </w:r>
      <w:r>
        <w:rPr>
          <w:rFonts w:ascii="Times New Roman" w:hAnsi="Times New Roman"/>
          <w:i/>
          <w:color w:val="000000"/>
          <w:sz w:val="20"/>
        </w:rPr>
        <w:t>RMP</w:t>
      </w:r>
      <w:r>
        <w:rPr>
          <w:rFonts w:ascii="Times New Roman" w:hAnsi="Times New Roman"/>
          <w:color w:val="000000"/>
          <w:sz w:val="20"/>
        </w:rPr>
        <w:t>”),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Regulation of Companion Diagnostics in the EU</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the EU, despite the absence of a legal definition, companion diagnostics are deemed to be </w:t>
      </w:r>
      <w:r>
        <w:rPr>
          <w:rFonts w:ascii="Times New Roman" w:hAnsi="Times New Roman"/>
          <w:i/>
          <w:color w:val="000000"/>
          <w:sz w:val="20"/>
        </w:rPr>
        <w:t>in vitro</w:t>
      </w:r>
      <w:r>
        <w:rPr>
          <w:rFonts w:ascii="Times New Roman" w:hAnsi="Times New Roman"/>
          <w:color w:val="000000"/>
          <w:sz w:val="20"/>
        </w:rPr>
        <w:t xml:space="preserve"> diagnostic medical devices and are governed by Directive 98/79/EC (“</w:t>
      </w:r>
      <w:r>
        <w:rPr>
          <w:rFonts w:ascii="Times New Roman" w:hAnsi="Times New Roman"/>
          <w:i/>
          <w:color w:val="000000"/>
          <w:sz w:val="20"/>
        </w:rPr>
        <w:t>IVDD</w:t>
      </w:r>
      <w:r>
        <w:rPr>
          <w:rFonts w:ascii="Times New Roman" w:hAnsi="Times New Roman"/>
          <w:color w:val="000000"/>
          <w:sz w:val="20"/>
        </w:rPr>
        <w:t xml:space="preserve">”). The IVDD currently regulates the placing on the market, the CE-marking, the essential requirements, the conformity assessment procedures, the registration obligations for manufacturers and devices as well as the vigilance procedure related to such products. </w:t>
      </w:r>
      <w:r>
        <w:rPr>
          <w:rFonts w:ascii="Times New Roman" w:hAnsi="Times New Roman"/>
          <w:i/>
          <w:color w:val="000000"/>
          <w:sz w:val="20"/>
        </w:rPr>
        <w:t>In vitro</w:t>
      </w:r>
      <w:r>
        <w:rPr>
          <w:rFonts w:ascii="Times New Roman" w:hAnsi="Times New Roman"/>
          <w:color w:val="000000"/>
          <w:sz w:val="20"/>
        </w:rPr>
        <w:t xml:space="preserve"> diagnostic medical devices,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including companion diagnostics, must comply with the requirements provided for in the IVDD, and with further requirements implemented at national level (as the case may be).</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 vitro </w:t>
      </w:r>
      <w:r>
        <w:rPr>
          <w:rFonts w:ascii="Times New Roman" w:hAnsi="Times New Roman"/>
          <w:color w:val="000000"/>
          <w:sz w:val="20"/>
        </w:rPr>
        <w:t>diagnostic medical devices (including companion diagnostics) are currently required to conform with the essential requirements of the IVDD. To demonstrate compliance with the essential requirements laid down in Annex I to the IVDD, the manufacturer must conduct a conformity assessment procedure.</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general </w:t>
      </w:r>
      <w:r>
        <w:rPr>
          <w:rFonts w:ascii="Times New Roman" w:hAnsi="Times New Roman"/>
          <w:i/>
          <w:color w:val="000000"/>
          <w:sz w:val="20"/>
        </w:rPr>
        <w:t>in vitro</w:t>
      </w:r>
      <w:r>
        <w:rPr>
          <w:rFonts w:ascii="Times New Roman" w:hAnsi="Times New Roman"/>
          <w:color w:val="000000"/>
          <w:sz w:val="20"/>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By contrast, the conformity assessment of </w:t>
      </w:r>
      <w:r>
        <w:rPr>
          <w:rFonts w:ascii="Times New Roman" w:hAnsi="Times New Roman"/>
          <w:i/>
          <w:color w:val="000000"/>
          <w:sz w:val="20"/>
        </w:rPr>
        <w:t>in vitro</w:t>
      </w:r>
      <w:r>
        <w:rPr>
          <w:rFonts w:ascii="Times New Roman" w:hAnsi="Times New Roman"/>
          <w:color w:val="000000"/>
          <w:sz w:val="20"/>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regulation of companion diagnostics has been subject to further requirements since the </w:t>
      </w:r>
      <w:r>
        <w:rPr>
          <w:rFonts w:ascii="Times New Roman" w:hAnsi="Times New Roman"/>
          <w:i/>
          <w:color w:val="000000"/>
          <w:sz w:val="20"/>
        </w:rPr>
        <w:t>in vitro</w:t>
      </w:r>
      <w:r>
        <w:rPr>
          <w:rFonts w:ascii="Times New Roman" w:hAnsi="Times New Roman"/>
          <w:color w:val="000000"/>
          <w:sz w:val="20"/>
        </w:rPr>
        <w:t xml:space="preserve"> diagnostic medical devices Regulation (No 2017/746), (“</w:t>
      </w:r>
      <w:r>
        <w:rPr>
          <w:rFonts w:ascii="Times New Roman" w:hAnsi="Times New Roman"/>
          <w:i/>
          <w:color w:val="000000"/>
          <w:sz w:val="20"/>
        </w:rPr>
        <w:t>IVDR</w:t>
      </w:r>
      <w:r>
        <w:rPr>
          <w:rFonts w:ascii="Times New Roman" w:hAnsi="Times New Roman"/>
          <w:color w:val="000000"/>
          <w:sz w:val="20"/>
        </w:rPr>
        <w:t>”), became applicable on May 26, 2022. 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have to undergo a conformity assessment by a notified body. If the medicinal product has, or is in the process of, been authorized through the centralized procedure for the authorization of medicinal products, the notified body is, before it can issue a CE Certificate of Conformity,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Healthcare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Pharmaceutical manufacturers are subject to additional healthcare laws, regulation, and enforcement by the U.S. federal government and by authorities in the states and foreign jurisdictions in which they conduct their business. Such laws include, without limitation: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ACA, among other things, amended the intent requirement of the federal Anti-Kickback Statute such that a person or entity no longer needs to have actual knowledge of the statute or specific intent to violate, in order to commit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civil and criminal false claims laws, including the federal False Claims Act which can be enforced by private individuals on behalf of the government through civil whistleblower or qui tam actions, and civil monetary penalty laws prohibit individuals or entities from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the federal Health Insurance Portability and Accountability Act of 1996 (“</w:t>
      </w:r>
      <w:r>
        <w:rPr>
          <w:rFonts w:ascii="Times New Roman" w:hAnsi="Times New Roman"/>
          <w:i/>
          <w:color w:val="000000"/>
          <w:sz w:val="20"/>
        </w:rPr>
        <w:t>HIPAA</w:t>
      </w:r>
      <w:r>
        <w:rPr>
          <w:color w:val="000000"/>
        </w:rPr>
        <w:t>”</w:t>
      </w:r>
      <w:r>
        <w:rPr>
          <w:rFonts w:ascii="Times New Roman" w:hAnsi="Times New Roman"/>
          <w:color w:val="000000"/>
          <w:sz w:val="20"/>
        </w:rPr>
        <w:t xml:space="preserve">),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knowingly and willfully falsifying, concealing or covering up a material fact or making any materially false, fictitious or fraudulent statements in connection with the delivery of or payment for healthcare benefits, items or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HIPAA, as amended by the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the federal Physician Payments Sunshine Act, which requires manufacturers of drugs, devices, biologics and medical supplies for which payment is available under Medicare, Medicaid or the Children’s Health Insurance Program, with specific exceptions, to report annually to the Centers for Medicare &amp; Medicaid Services (</w:t>
      </w:r>
      <w:r>
        <w:rPr>
          <w:color w:val="000000"/>
        </w:rPr>
        <w:t>“</w:t>
      </w:r>
      <w:r>
        <w:rPr>
          <w:rFonts w:ascii="Times New Roman" w:hAnsi="Times New Roman"/>
          <w:i/>
          <w:color w:val="000000"/>
          <w:sz w:val="20"/>
        </w:rPr>
        <w:t>CMS”</w:t>
      </w:r>
      <w:r>
        <w:rPr>
          <w:rFonts w:ascii="Times New Roman" w:hAnsi="Times New Roman"/>
          <w:color w:val="000000"/>
          <w:sz w:val="20"/>
        </w:rPr>
        <w:t>)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analogous foreign laws and regulations;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certain regulatory licenses to manufacture or distribute pharmaceutical products commercially and/or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collection and use of personal health data in the EEA is governed by the GDPR ((EU) 2016/679), which became effective May 25, 2018. The GDPR applies to any company 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 to 20 million Euros or 4.0% of a company’s global annual revenues for the preceding financial year, whichever is higher. Moreover, the GDPR grants data subjects the right to claim compensation for damages resulting from infringement of the GDPR.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200" w:after="283"/>
        <w:jc w:val="both"/>
        <w:rPr>
          <w:rFonts w:ascii="Times New Roman" w:hAnsi="Times New Roman"/>
          <w:sz w:val="20"/>
        </w:rPr>
      </w:pPr>
      <w:r>
        <w:rPr>
          <w:rFonts w:ascii="Times New Roman" w:hAnsi="Times New Roman"/>
          <w:color w:val="000000"/>
          <w:sz w:val="20"/>
        </w:rPr>
        <w:t>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For example, the Patient Protection and Affordable Care Act of 2010, as amended by the Health Care and Education Reconciliation Act of 2010 (or collectively, the “</w:t>
      </w:r>
      <w:r>
        <w:rPr>
          <w:rFonts w:ascii="Times New Roman" w:hAnsi="Times New Roman"/>
          <w:i/>
          <w:color w:val="000000"/>
          <w:sz w:val="20"/>
        </w:rPr>
        <w:t>ACA</w:t>
      </w:r>
      <w:r>
        <w:rPr>
          <w:rFonts w:ascii="Times New Roman" w:hAnsi="Times New Roman"/>
          <w:color w:val="000000"/>
          <w:sz w:val="20"/>
        </w:rPr>
        <w:t>”), substantially affects the way healthcare is financed by both the government and private insurers, and significantly impacts the U.S. pharmaceutical industry. For example, on July 4, 2025, the One Big Beautiful Bill Act (the “</w:t>
      </w:r>
      <w:r>
        <w:rPr>
          <w:rFonts w:ascii="Times New Roman" w:hAnsi="Times New Roman"/>
          <w:i/>
          <w:color w:val="000000"/>
          <w:sz w:val="20"/>
        </w:rPr>
        <w:t>OBBBA</w:t>
      </w:r>
      <w:r>
        <w:rPr>
          <w:rFonts w:ascii="Times New Roman" w:hAnsi="Times New Roman"/>
          <w:color w:val="000000"/>
          <w:sz w:val="20"/>
        </w:rPr>
        <w:t>”)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its enactment, there have been amendments to and executive, judicial and Congressional challenges to certain aspects of the ACA, and we expect there will be additional challenges and amendments to the ACA in the future.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up to 2.0% per fiscal year, effective April 1, 2013, which, due to subsequent legislative amendments, will stay in effect until 2032 unless additional congressional action is taken. </w:t>
      </w:r>
    </w:p>
    <w:p>
      <w:pPr>
        <w:pStyle w:val="TextBody"/>
        <w:bidi w:val="0"/>
        <w:spacing w:before="200" w:after="283"/>
        <w:jc w:val="both"/>
        <w:rPr>
          <w:rFonts w:ascii="Times New Roman" w:hAnsi="Times New Roman"/>
          <w:sz w:val="20"/>
        </w:rPr>
      </w:pPr>
      <w:r>
        <w:rPr>
          <w:rFonts w:ascii="Times New Roman" w:hAnsi="Times New Roman"/>
          <w:color w:val="000000"/>
          <w:sz w:val="20"/>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w:t>
      </w:r>
      <w:r>
        <w:rPr>
          <w:rFonts w:ascii="Times New Roman" w:hAnsi="Times New Roman"/>
          <w:i/>
          <w:color w:val="000000"/>
          <w:sz w:val="20"/>
        </w:rPr>
        <w:t>TrumpRx</w:t>
      </w:r>
      <w:r>
        <w:rPr>
          <w:rFonts w:ascii="Times New Roman" w:hAnsi="Times New Roman"/>
          <w:color w:val="000000"/>
          <w:sz w:val="20"/>
        </w:rPr>
        <w:t>”),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w:t>
      </w:r>
      <w:r>
        <w:rPr>
          <w:rFonts w:ascii="Times New Roman" w:hAnsi="Times New Roman"/>
          <w:i/>
          <w:color w:val="000000"/>
          <w:sz w:val="20"/>
        </w:rPr>
        <w:t>MAHA</w:t>
      </w:r>
      <w:r>
        <w:rPr>
          <w:rFonts w:ascii="Times New Roman" w:hAnsi="Times New Roman"/>
          <w:color w:val="000000"/>
          <w:sz w:val="20"/>
        </w:rPr>
        <w:t>”)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w:t>
      </w:r>
      <w:r>
        <w:rPr>
          <w:rFonts w:ascii="Times New Roman" w:hAnsi="Times New Roman"/>
          <w:i/>
          <w:color w:val="000000"/>
          <w:sz w:val="20"/>
        </w:rPr>
        <w:t>PBM</w:t>
      </w:r>
      <w:r>
        <w:rPr>
          <w:rFonts w:ascii="Times New Roman" w:hAnsi="Times New Roman"/>
          <w:color w:val="000000"/>
          <w:sz w:val="20"/>
        </w:rPr>
        <w:t xml:space="preserve">”)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2025, Regulation No 2021/2282 on Health Technology Assessment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Regulation establishes a framework for EU</w:t>
        <w:noBreakHyphen/>
        <w:t>level joint clinical assessments, joint scientific consultations, and the early identification of emerging health technologies. The Regulation permits EU Member States to use common tools, methodologies, and procedures and requires them to rely on EU</w:t>
        <w:noBreakHyphen/>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 Organizational Structure</w:t>
      </w:r>
    </w:p>
    <w:p>
      <w:pPr>
        <w:pStyle w:val="TextBody"/>
        <w:bidi w:val="0"/>
        <w:jc w:val="both"/>
        <w:rPr>
          <w:rFonts w:ascii="Times New Roman" w:hAnsi="Times New Roman"/>
          <w:sz w:val="20"/>
        </w:rPr>
      </w:pPr>
      <w:r>
        <w:rPr>
          <w:rFonts w:ascii="Times New Roman" w:hAnsi="Times New Roman"/>
          <w:color w:val="000000"/>
          <w:sz w:val="20"/>
        </w:rPr>
        <w:t>Oculis Holding AG is a stock corporation (</w:t>
      </w:r>
      <w:r>
        <w:rPr>
          <w:rFonts w:ascii="Times New Roman" w:hAnsi="Times New Roman"/>
          <w:i/>
          <w:color w:val="000000"/>
          <w:sz w:val="20"/>
        </w:rPr>
        <w:t>Aktiengesellschaft</w:t>
      </w:r>
      <w:r>
        <w:rPr>
          <w:rFonts w:ascii="Times New Roman" w:hAnsi="Times New Roman"/>
          <w:color w:val="000000"/>
          <w:sz w:val="20"/>
        </w:rPr>
        <w:t>) with its registered office at Bahnhofstrasse 20, CH-6300, Zug, Switzerland. It was incorporated under the laws of Switzerland on October 31, 2022. Our official seat is planned to remain in Zug, Switzerland.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of December 31, 2025, we controlled seven wholly-owned subsidiaries: Oculis Operations Sàrl (“</w:t>
      </w:r>
      <w:r>
        <w:rPr>
          <w:rFonts w:ascii="Times New Roman" w:hAnsi="Times New Roman"/>
          <w:i/>
          <w:color w:val="000000"/>
          <w:sz w:val="20"/>
        </w:rPr>
        <w:t>Oculis Operations</w:t>
      </w:r>
      <w:r>
        <w:rPr>
          <w:rFonts w:ascii="Times New Roman" w:hAnsi="Times New Roman"/>
          <w:color w:val="000000"/>
          <w:sz w:val="20"/>
        </w:rPr>
        <w:t>”) with its registered office in Lausanne, Switzerland, which was incorporated on December 27, 2022, Oculis ehf. (“</w:t>
      </w:r>
      <w:r>
        <w:rPr>
          <w:rFonts w:ascii="Times New Roman" w:hAnsi="Times New Roman"/>
          <w:i/>
          <w:color w:val="000000"/>
          <w:sz w:val="20"/>
        </w:rPr>
        <w:t>Oculis Iceland</w:t>
      </w:r>
      <w:r>
        <w:rPr>
          <w:rFonts w:ascii="Times New Roman" w:hAnsi="Times New Roman"/>
          <w:color w:val="000000"/>
          <w:sz w:val="20"/>
        </w:rPr>
        <w:t>”), which was incorporated in Reykjavik, Iceland on October 28, 2003, Oculis France Sàrl (“</w:t>
      </w:r>
      <w:r>
        <w:rPr>
          <w:rFonts w:ascii="Times New Roman" w:hAnsi="Times New Roman"/>
          <w:i/>
          <w:color w:val="000000"/>
          <w:sz w:val="20"/>
        </w:rPr>
        <w:t>Oculis France</w:t>
      </w:r>
      <w:r>
        <w:rPr>
          <w:rFonts w:ascii="Times New Roman" w:hAnsi="Times New Roman"/>
          <w:color w:val="000000"/>
          <w:sz w:val="20"/>
        </w:rPr>
        <w:t>”) which was incorporated in Paris, France on March 27, 2020, Oculis US, Inc. which was incorporated in Delaware, USA on May 26, 2020, Oculis HK, Limited (“</w:t>
      </w:r>
      <w:r>
        <w:rPr>
          <w:rFonts w:ascii="Times New Roman" w:hAnsi="Times New Roman"/>
          <w:i/>
          <w:color w:val="000000"/>
          <w:sz w:val="20"/>
        </w:rPr>
        <w:t>Oculis HK</w:t>
      </w:r>
      <w:r>
        <w:rPr>
          <w:rFonts w:ascii="Times New Roman" w:hAnsi="Times New Roman"/>
          <w:color w:val="000000"/>
          <w:sz w:val="20"/>
        </w:rPr>
        <w:t xml:space="preserve">”) which was incorporated in Hong Kong, China on June 1, 2021, Neurocol IP Sàrl with its registered office in Lausanne, Switzerland, which was incorporated on December 4, 2025, and Neurocol Operations Sàrl, with its registered office in Lausanne, Switzerland, which was incorporated on December 4, 2025. The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Company and its wholly-owned subsidiaries form the Oculis Group (the “</w:t>
      </w:r>
      <w:r>
        <w:rPr>
          <w:rFonts w:ascii="Times New Roman" w:hAnsi="Times New Roman"/>
          <w:i/>
          <w:color w:val="000000"/>
          <w:sz w:val="20"/>
        </w:rPr>
        <w:t>Group</w:t>
      </w:r>
      <w:r>
        <w:rPr>
          <w:rFonts w:ascii="Times New Roman" w:hAnsi="Times New Roman"/>
          <w:color w:val="000000"/>
          <w:sz w:val="20"/>
        </w:rPr>
        <w:t>”). Prior to the Business Combination on March 2, 2023, Oculis SA (“</w:t>
      </w:r>
      <w:r>
        <w:rPr>
          <w:rFonts w:ascii="Times New Roman" w:hAnsi="Times New Roman"/>
          <w:i/>
          <w:color w:val="000000"/>
          <w:sz w:val="20"/>
        </w:rPr>
        <w:t>Legacy Oculis</w:t>
      </w:r>
      <w:r>
        <w:rPr>
          <w:rFonts w:ascii="Times New Roman" w:hAnsi="Times New Roman"/>
          <w:color w:val="000000"/>
          <w:sz w:val="20"/>
        </w:rPr>
        <w:t>”), which was incorporated on December 11, 2017, and had its registered office in Lausanne, Switzerland, and its wholly-owned subsidiaries Oculis Iceland, Oculis France, Oculis U.S. and Oculis HK, formed the Oculis group. On July 6, 2023, Legacy Oculis merged with and into Oculis Operations, and the separate corporate existence of Legacy Oculis ceased. Oculis Operations is the surviving entity and remains a wholly-owned subsidiary of Oculis.</w:t>
      </w:r>
    </w:p>
    <w:p>
      <w:pPr>
        <w:pStyle w:val="TextBody"/>
        <w:bidi w:val="0"/>
        <w:spacing w:before="180" w:after="283"/>
        <w:jc w:val="both"/>
        <w:rPr>
          <w:rFonts w:ascii="Times New Roman" w:hAnsi="Times New Roman"/>
          <w:sz w:val="20"/>
        </w:rPr>
      </w:pPr>
      <w:r>
        <w:rPr>
          <w:rFonts w:ascii="Times New Roman" w:hAnsi="Times New Roman"/>
          <w:color w:val="000000"/>
          <w:sz w:val="20"/>
        </w:rPr>
        <w:t>On April 18, 2024, we completed the dissolution of Oculis Merger Sub II Company (“</w:t>
      </w:r>
      <w:r>
        <w:rPr>
          <w:rFonts w:ascii="Times New Roman" w:hAnsi="Times New Roman"/>
          <w:i/>
          <w:color w:val="000000"/>
          <w:sz w:val="20"/>
        </w:rPr>
        <w:t>Merger Sub 2</w:t>
      </w:r>
      <w:r>
        <w:rPr>
          <w:rFonts w:ascii="Times New Roman" w:hAnsi="Times New Roman"/>
          <w:color w:val="000000"/>
          <w:sz w:val="20"/>
        </w:rPr>
        <w:t>”) which was incorporated in the Cayman Islands on January 3, 2023 and was a wholly-owned subsidiary of Oculis. Merger Sub 2 was created for purposes of consummating the Business Combination and did not contain any of our business operations.</w:t>
      </w:r>
    </w:p>
    <w:p>
      <w:pPr>
        <w:pStyle w:val="TextBody"/>
        <w:bidi w:val="0"/>
        <w:spacing w:before="180" w:after="283"/>
        <w:jc w:val="both"/>
        <w:rPr/>
      </w:pPr>
      <w:r>
        <w:rPr/>
        <w:drawing>
          <wp:inline distT="0" distB="0" distL="0" distR="0">
            <wp:extent cx="5943600" cy="2419350"/>
            <wp:effectExtent l="0" t="0" r="0" b="0"/>
            <wp:docPr id="5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3" descr=""/>
                    <pic:cNvPicPr>
                      <a:picLocks noChangeAspect="1" noChangeArrowheads="1"/>
                    </pic:cNvPicPr>
                  </pic:nvPicPr>
                  <pic:blipFill>
                    <a:blip r:embed="rId29"/>
                    <a:stretch>
                      <a:fillRect/>
                    </a:stretch>
                  </pic:blipFill>
                  <pic:spPr bwMode="auto">
                    <a:xfrm>
                      <a:off x="0" y="0"/>
                      <a:ext cx="5943600" cy="2419350"/>
                    </a:xfrm>
                    <a:prstGeom prst="rect">
                      <a:avLst/>
                    </a:prstGeom>
                  </pic:spPr>
                </pic:pic>
              </a:graphicData>
            </a:graphic>
          </wp:inline>
        </w:drawing>
      </w:r>
    </w:p>
    <w:p>
      <w:pPr>
        <w:pStyle w:val="TextBody"/>
        <w:bidi w:val="0"/>
        <w:spacing w:before="200" w:after="283"/>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 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leased approximately 14,500 square feet of facilities for our operations, including 4,300 square feet of laboratory and office space in Iceland, with main activities of research, business and clinical development, 4,630 square feet of office space in Switzerland, with main activities of business and clinical development and 5,575 square feet of office space in the United States, with main activities being general and administrative in nature. We believe that these facilities will be adequate to meet our needs, and we are constantly evaluating our needs for expanding and or adding to our existing facilities.</w:t>
      </w:r>
    </w:p>
    <w:p>
      <w:pPr>
        <w:pStyle w:val="Heading2"/>
        <w:bidi w:val="0"/>
        <w:spacing w:before="20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pPr>
      <w:r>
        <w:rPr/>
        <w:t> </w:t>
      </w:r>
    </w:p>
    <w:p>
      <w:pPr>
        <w:pStyle w:val="Heading2"/>
        <w:bidi w:val="0"/>
        <w:jc w:val="left"/>
        <w:rPr/>
      </w:pPr>
      <w:r>
        <w:rPr/>
        <w:drawing>
          <wp:inline distT="0" distB="0" distL="0" distR="0">
            <wp:extent cx="1476375" cy="400050"/>
            <wp:effectExtent l="0" t="0" r="0" b="0"/>
            <wp:docPr id="5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4" descr=""/>
                    <pic:cNvPicPr>
                      <a:picLocks noChangeAspect="1" noChangeArrowheads="1"/>
                    </pic:cNvPicPr>
                  </pic:nvPicPr>
                  <pic:blipFill>
                    <a:blip r:embed="rId30"/>
                    <a:stretch>
                      <a:fillRect/>
                    </a:stretch>
                  </pic:blipFill>
                  <pic:spPr bwMode="auto">
                    <a:xfrm>
                      <a:off x="0" y="0"/>
                      <a:ext cx="1476375" cy="400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32"/>
        </w:rPr>
      </w:pPr>
      <w:bookmarkStart w:id="12" w:name="financial_review"/>
      <w:bookmarkEnd w:id="12"/>
      <w:r>
        <w:rPr>
          <w:rFonts w:ascii="Times New Roman" w:hAnsi="Times New Roman"/>
          <w:color w:val="000000"/>
          <w:sz w:val="32"/>
        </w:rPr>
        <w:t>Financial Review</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Operating and Financial Review and Prospects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Certain information called for by this section "Operating and Financial Review and Prospects", including a discussion of the year ended December 31, 2023, as well a comparison of the year ended December 31, 2024 against the year ended December 31, 2023, has been reported previously in our Annual Report on Form 20-F for the year ended December 31, 2024 filed on March 11, 2025 under Item 5. “Operating and Financial Review and Prospects.”</w:t>
      </w:r>
    </w:p>
    <w:p>
      <w:pPr>
        <w:pStyle w:val="TextBody"/>
        <w:bidi w:val="0"/>
        <w:spacing w:before="200" w:after="283"/>
        <w:jc w:val="both"/>
        <w:rPr>
          <w:rFonts w:ascii="Times New Roman" w:hAnsi="Times New Roman"/>
          <w:sz w:val="20"/>
        </w:rPr>
      </w:pPr>
      <w:r>
        <w:rPr>
          <w:rFonts w:ascii="Times New Roman" w:hAnsi="Times New Roman"/>
          <w:i/>
          <w:color w:val="000000"/>
          <w:sz w:val="20"/>
        </w:rPr>
        <w:t>All amounts discussed, aside from share data, are in Swiss francs and presented in thousands, unless otherwise indicated.</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both"/>
        <w:rPr>
          <w:rFonts w:ascii="Times New Roman" w:hAnsi="Times New Roman"/>
          <w:sz w:val="20"/>
        </w:rPr>
      </w:pPr>
      <w:r>
        <w:rPr>
          <w:rFonts w:ascii="Times New Roman" w:hAnsi="Times New Roman"/>
          <w:color w:val="000000"/>
          <w:sz w:val="20"/>
        </w:rPr>
        <w:t>We are a global late clinical-stage biopharmaceutical company, headquartered in Switzerland with operations in Switzerland, the U.S. and Iceland. We have substantial expertise in therapeutics for the treatment of neuro-ophthalmic and ophthalmic diseases. We intend to become a leader in developing innovative therapeutics to address neuro-ophthalmic and ophthalmic diseases characterized by significant medical needs with large market opportunities. To accomplish this objective, we plan to focus on successful completion of our key strategic initiatives. For the ophthalmic franchise, we are focused on advancing the clinical and regulatory plans of OCS-01 to bring a first-in-class topical eye drop therapy for the treatment in DME and developing Licaminlimab</w:t>
      </w:r>
      <w:r>
        <w:rPr>
          <w:rFonts w:ascii="Times New Roman" w:hAnsi="Times New Roman"/>
          <w:color w:val="000000"/>
          <w:sz w:val="20"/>
          <w:u w:val="single"/>
        </w:rPr>
        <w:t xml:space="preserve"> </w:t>
      </w:r>
      <w:r>
        <w:rPr>
          <w:rFonts w:ascii="Times New Roman" w:hAnsi="Times New Roman"/>
          <w:color w:val="000000"/>
          <w:sz w:val="20"/>
        </w:rPr>
        <w:t>for precision medicine for DED. Furthermore, we are advancing the development of Privosegtor in ON and NAION, and exploring additional broader indications in neuro-ophthalmology.</w:t>
      </w:r>
    </w:p>
    <w:p>
      <w:pPr>
        <w:pStyle w:val="TextBody"/>
        <w:bidi w:val="0"/>
        <w:spacing w:before="200" w:after="283"/>
        <w:jc w:val="both"/>
        <w:rPr>
          <w:rFonts w:ascii="Times New Roman" w:hAnsi="Times New Roman"/>
          <w:sz w:val="20"/>
        </w:rPr>
      </w:pPr>
      <w:r>
        <w:rPr>
          <w:rFonts w:ascii="Times New Roman" w:hAnsi="Times New Roman"/>
          <w:color w:val="000000"/>
          <w:sz w:val="20"/>
        </w:rPr>
        <w:t>Our pipeline currently includes three clinical-stage therapeutic candidates: OCS-01, Licaminlimab (OCS-02) and Privosegtor (OCS-05). OCS-01 is an eye drop candidate which aims to be the first non-invasive topical treatment for DME. It is presently being evaluated in two ongoing Phase 3 clinical trials for DME, with topline results expected in the second quarter of 2026. Licaminlimab is a product candidate for the treatment of keratoconjunctivitis sicca, or dry eye disease (“</w:t>
      </w:r>
      <w:r>
        <w:rPr>
          <w:rFonts w:ascii="Times New Roman" w:hAnsi="Times New Roman"/>
          <w:i/>
          <w:color w:val="000000"/>
          <w:sz w:val="20"/>
        </w:rPr>
        <w:t>DED</w:t>
      </w:r>
      <w:r>
        <w:rPr>
          <w:rFonts w:ascii="Times New Roman" w:hAnsi="Times New Roman"/>
          <w:color w:val="000000"/>
          <w:sz w:val="20"/>
        </w:rPr>
        <w:t>”), which we are advancing with a precision medicine approach. After a successful FDA meeting in the first quarter of 2025, we initiated the PREDICT-1 registrational Phase 2/3 trial with a genotype-based approach to investigate Licaminlimab in DED in the fourth quarter of 2025 for which topline results are expected in the fourth quarter of 2026. Privosegtor is a neuroprotective candidate that has the potential to become a novel therapy for optic neuritis (“</w:t>
      </w:r>
      <w:r>
        <w:rPr>
          <w:rFonts w:ascii="Times New Roman" w:hAnsi="Times New Roman"/>
          <w:i/>
          <w:color w:val="000000"/>
          <w:sz w:val="20"/>
        </w:rPr>
        <w:t>ON</w:t>
      </w:r>
      <w:r>
        <w:rPr>
          <w:rFonts w:ascii="Times New Roman" w:hAnsi="Times New Roman"/>
          <w:color w:val="000000"/>
          <w:sz w:val="20"/>
        </w:rPr>
        <w:t>”), non-arteritic anterior ischemic optic neuropathy (“</w:t>
      </w:r>
      <w:r>
        <w:rPr>
          <w:rFonts w:ascii="Times New Roman" w:hAnsi="Times New Roman"/>
          <w:i/>
          <w:color w:val="000000"/>
          <w:sz w:val="20"/>
        </w:rPr>
        <w:t>NAION</w:t>
      </w:r>
      <w:r>
        <w:rPr>
          <w:rFonts w:ascii="Times New Roman" w:hAnsi="Times New Roman"/>
          <w:color w:val="000000"/>
          <w:sz w:val="20"/>
        </w:rPr>
        <w:t xml:space="preserve">”), potentially other neuro-ophthalmic diseases, neurological diseases and beyond. Following a successful meeting with the FDA in the third quarter of 2025, we advanced Privosegtor into a registrational program called PIONEER for ON and NAION.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approximately seven million people, including those with vision loss resulting from retinal diseases such as DME, macular degeneration, DR, and RVO; disorders caused by swelling and inflammation such as DED; and glaucoma, among other disease states. For glaucoma more specifically, the American Glaucoma Society highlighted a tremendous unmet need for therapies, independent of intraocular pressure (IOP) lowering agents, that can offer neuroprotection, neurorecovery and/or neuroregeneration. Of note, retinal neuroprotection has been considered the next frontier in ophthalmic disease as the discovery of novel neuroprotection strategies will fill a critical unmet need for multiple neuro-ophthalmic conditions. It is estimated that the global spending for ophthalmology therapeutics will reach approximately $33 billion in 2027, according to an industry source.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we have primarily financed our operations through the proceeds from share issuances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have a product candidate approved for commercialization, and we begin to generate revenue and royalties from product sales. We have also incurred significant operating losses. We incurred net losses of CHF 99.0 million for the year ended December 31, 2025, and had accumulated losses of CHF 384.5 million as of December 31, 2025.</w:t>
      </w:r>
    </w:p>
    <w:p>
      <w:pPr>
        <w:pStyle w:val="TextBody"/>
        <w:bidi w:val="0"/>
        <w:spacing w:before="200" w:after="283"/>
        <w:jc w:val="both"/>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Business Environment</w:t>
      </w:r>
    </w:p>
    <w:p>
      <w:pPr>
        <w:pStyle w:val="TextBody"/>
        <w:bidi w:val="0"/>
        <w:spacing w:before="200" w:after="283"/>
        <w:jc w:val="both"/>
        <w:rPr>
          <w:rFonts w:ascii="Times New Roman" w:hAnsi="Times New Roman"/>
          <w:sz w:val="20"/>
        </w:rPr>
      </w:pPr>
      <w:r>
        <w:rPr>
          <w:rFonts w:ascii="Times New Roman" w:hAnsi="Times New Roman"/>
          <w:color w:val="000000"/>
          <w:sz w:val="20"/>
        </w:rPr>
        <w:t>The biopharmaceutical industry is extremely competitive. We are subject to risks and uncertainties common to any clinical-stage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hAnsi="Times New Roman"/>
          <w:i/>
          <w:color w:val="000000"/>
          <w:sz w:val="20"/>
        </w:rPr>
        <w:t>Risk Factors</w:t>
      </w:r>
      <w:r>
        <w:rPr>
          <w:rFonts w:ascii="Times New Roman" w:hAnsi="Times New Roman"/>
          <w:color w:val="000000"/>
          <w:sz w:val="20"/>
        </w:rPr>
        <w:t xml:space="preserve">” included in Item 3.D. of the Annual Report on Form 20-F for the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year ended December 31, 2025 filed with the SEC on March 4, 2026. We are also dependent upon the services of key personnel, including our Chief Executive Officer, executive team and other highly skilled employees. Demand for experienced personnel in the pharmaceutical and biotechnology industries is high and competition for talent is intense.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w:t>
      </w:r>
    </w:p>
    <w:p>
      <w:pPr>
        <w:pStyle w:val="TextBody"/>
        <w:bidi w:val="0"/>
        <w:spacing w:before="200" w:after="283"/>
        <w:jc w:val="both"/>
        <w:rPr>
          <w:rFonts w:ascii="Times New Roman" w:hAnsi="Times New Roman"/>
          <w:sz w:val="20"/>
        </w:rPr>
      </w:pPr>
      <w:r>
        <w:rPr>
          <w:rFonts w:ascii="Times New Roman" w:hAnsi="Times New Roman"/>
          <w:b/>
          <w:color w:val="000000"/>
          <w:sz w:val="20"/>
        </w:rPr>
        <w:t>Business combination with European Biotech Acquisition Corp (“</w:t>
      </w:r>
      <w:r>
        <w:rPr>
          <w:rFonts w:ascii="Times New Roman" w:hAnsi="Times New Roman"/>
          <w:b/>
          <w:i/>
          <w:color w:val="000000"/>
          <w:sz w:val="20"/>
        </w:rPr>
        <w:t>EBAC</w:t>
      </w:r>
      <w:r>
        <w:rPr>
          <w:rFonts w:ascii="Times New Roman" w:hAnsi="Times New Roman"/>
          <w:color w:val="000000"/>
          <w:sz w:val="20"/>
        </w:rPr>
        <w:t>”</w:t>
      </w:r>
      <w:r>
        <w:rPr>
          <w:rFonts w:ascii="Times New Roman" w:hAnsi="Times New Roman"/>
          <w:b/>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On March 2, 2023, we consummated a business combination with EBAC (the “</w:t>
      </w:r>
      <w:r>
        <w:rPr>
          <w:rFonts w:ascii="Times New Roman" w:hAnsi="Times New Roman"/>
          <w:i/>
          <w:color w:val="000000"/>
          <w:sz w:val="20"/>
        </w:rPr>
        <w:t>Business Combination</w:t>
      </w:r>
      <w:r>
        <w:rPr>
          <w:rFonts w:ascii="Times New Roman" w:hAnsi="Times New Roman"/>
          <w:color w:val="000000"/>
          <w:sz w:val="20"/>
        </w:rPr>
        <w:t>”) pursuant to the Business Combination Agreement (“</w:t>
      </w:r>
      <w:r>
        <w:rPr>
          <w:rFonts w:ascii="Times New Roman" w:hAnsi="Times New Roman"/>
          <w:i/>
          <w:color w:val="000000"/>
          <w:sz w:val="20"/>
        </w:rPr>
        <w:t>BCA”</w:t>
      </w:r>
      <w:r>
        <w:rPr>
          <w:rFonts w:ascii="Times New Roman" w:hAnsi="Times New Roman"/>
          <w:color w:val="000000"/>
          <w:sz w:val="20"/>
        </w:rPr>
        <w:t>) between Legacy Oculis and EBAC dated as of October 17, 2022. We received gross proceeds of CHF 97.6 million or $103.7 million comprising CHF 12.0 million or $12.8 million of cash held in EBAC’s trust account and CHF 85.6 million or $90.9 million from private placement (“</w:t>
      </w:r>
      <w:r>
        <w:rPr>
          <w:rFonts w:ascii="Times New Roman" w:hAnsi="Times New Roman"/>
          <w:i/>
          <w:color w:val="000000"/>
          <w:sz w:val="20"/>
        </w:rPr>
        <w:t>PIPE</w:t>
      </w:r>
      <w:r>
        <w:rPr>
          <w:rFonts w:ascii="Times New Roman" w:hAnsi="Times New Roman"/>
          <w:color w:val="000000"/>
          <w:sz w:val="20"/>
        </w:rPr>
        <w:t>”) investments and conversion of notes issued under Convertible Loan Agreements (“</w:t>
      </w:r>
      <w:r>
        <w:rPr>
          <w:rFonts w:ascii="Times New Roman" w:hAnsi="Times New Roman"/>
          <w:i/>
          <w:color w:val="000000"/>
          <w:sz w:val="20"/>
        </w:rPr>
        <w:t>CLA</w:t>
      </w:r>
      <w:r>
        <w:rPr>
          <w:rFonts w:ascii="Times New Roman" w:hAnsi="Times New Roman"/>
          <w:color w:val="000000"/>
          <w:sz w:val="20"/>
        </w:rPr>
        <w:t>”) into our ordinary shares. As a result of the transaction, each issued and outstanding EBAC public warrant (“</w:t>
      </w:r>
      <w:r>
        <w:rPr>
          <w:rFonts w:ascii="Times New Roman" w:hAnsi="Times New Roman"/>
          <w:i/>
          <w:color w:val="000000"/>
          <w:sz w:val="20"/>
        </w:rPr>
        <w:t>BCA Public Warrants</w:t>
      </w:r>
      <w:r>
        <w:rPr>
          <w:rFonts w:ascii="Times New Roman" w:hAnsi="Times New Roman"/>
          <w:color w:val="000000"/>
          <w:sz w:val="20"/>
        </w:rPr>
        <w:t>”) and EBAC private placement warrant (“</w:t>
      </w:r>
      <w:r>
        <w:rPr>
          <w:rFonts w:ascii="Times New Roman" w:hAnsi="Times New Roman"/>
          <w:i/>
          <w:color w:val="000000"/>
          <w:sz w:val="20"/>
        </w:rPr>
        <w:t>BCA Private Warrants</w:t>
      </w:r>
      <w:r>
        <w:rPr>
          <w:rFonts w:ascii="Times New Roman" w:hAnsi="Times New Roman"/>
          <w:color w:val="000000"/>
          <w:sz w:val="20"/>
        </w:rPr>
        <w:t>”) ceased to be a warrant with respect to EBAC ordinary shares and were assumed by Oculis as warrants with respect to ordinary shares on substantially the same terms (the BCA Public Warrants and the BCA Private Warrants collectively the “</w:t>
      </w:r>
      <w:r>
        <w:rPr>
          <w:rFonts w:ascii="Times New Roman" w:hAnsi="Times New Roman"/>
          <w:i/>
          <w:color w:val="000000"/>
          <w:sz w:val="20"/>
        </w:rPr>
        <w:t>Warrants</w:t>
      </w:r>
      <w:r>
        <w:rPr>
          <w:rFonts w:ascii="Times New Roman" w:hAnsi="Times New Roman"/>
          <w:color w:val="000000"/>
          <w:sz w:val="20"/>
        </w:rPr>
        <w:t>”). In connection with the Business Combination, Oculis became listed on the United States Nasdaq Global Market with the ticker symbol “OCS” for its ordinary shares and “OCSAW” for its public warrants.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Earnout consideration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As a result of the BCA, Legacy Oculis preferred, ordinary and option holders (collectively “</w:t>
      </w:r>
      <w:r>
        <w:rPr>
          <w:rFonts w:ascii="Times New Roman" w:hAnsi="Times New Roman"/>
          <w:i/>
          <w:color w:val="000000"/>
          <w:sz w:val="20"/>
        </w:rPr>
        <w:t>equity holders</w:t>
      </w:r>
      <w:r>
        <w:rPr>
          <w:rFonts w:ascii="Times New Roman" w:hAnsi="Times New Roman"/>
          <w:color w:val="000000"/>
          <w:sz w:val="20"/>
        </w:rPr>
        <w:t xml:space="preserve">”) received consideration in the form of 3,793,995 earnout shares and 369,737 earnout options with an exercise price of CHF 0.01.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earnout consideration is subject to forfeiture in the event of a failure to achieve the price targets during the earnout period defined as follows: (i) 1,500,000, (ii) 1,500,000 and (iii) 1,000,000 earned based on the achievement of post acquisition-closing share volume weighted average price targets of $15.00, $20.00 and $25.00, respectively, in each case, for any 20 trading days within any consecutive 30 trading day period commencing after the acquisition closing date and ending on or prior to March 2, 2028 (the “</w:t>
      </w:r>
      <w:r>
        <w:rPr>
          <w:rFonts w:ascii="Times New Roman" w:hAnsi="Times New Roman"/>
          <w:i/>
          <w:color w:val="000000"/>
          <w:sz w:val="20"/>
        </w:rPr>
        <w:t>Earnout Period</w:t>
      </w:r>
      <w:r>
        <w:rPr>
          <w:rFonts w:ascii="Times New Roman" w:hAnsi="Times New Roman"/>
          <w:color w:val="000000"/>
          <w:sz w:val="20"/>
        </w:rPr>
        <w:t>”). A given share price target described above will also be deemed to be achieved if there is a change of control, as defined in the BCA, during the Earnout Period.</w:t>
      </w:r>
    </w:p>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price targets of $15.00, $20.00 and $25.00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May 2023 Public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31, 2023, we entered into an underwriting agreement with BofA Securities Inc. and SVB Securities, LLC, as representatives of several underwriters. On June 5, 2023 and June 13, 2023, we closed a public offering for the aggregate issuance and sale of 3,654,234 ordinary shares at a price of CHF 10.45 or $11.50 per share, for total gross proceeds of CHF 38.2 million or $42.0 million before deducting underwriting discounts, commissions and offering expenses.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Registered Direct Offering and Nasdaq Iceland Main Market listing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April 22, 2024, we closed a registered direct offering with gross proceeds of CHF 53.5 million or $58.8 million through the issuance and sale of 5,000,000 of our ordinary shares, at a purchase price of CHF 10.70 or $11.75 per share, and commenced trading of our ordinary shares on the Nasdaq Iceland Main Market under the ticker symbol “OCS” on April 23, 2024.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200" w:after="283"/>
        <w:jc w:val="both"/>
        <w:rPr>
          <w:rFonts w:ascii="Times New Roman" w:hAnsi="Times New Roman"/>
          <w:sz w:val="20"/>
        </w:rPr>
      </w:pPr>
      <w:r>
        <w:rPr>
          <w:rFonts w:ascii="Times New Roman" w:hAnsi="Times New Roman"/>
          <w:color w:val="000000"/>
          <w:sz w:val="20"/>
        </w:rPr>
        <w:t>On May 8, 2024, we entered into a sales agreement with Leerink Partners, LLC (“</w:t>
      </w:r>
      <w:r>
        <w:rPr>
          <w:rFonts w:ascii="Times New Roman" w:hAnsi="Times New Roman"/>
          <w:i/>
          <w:color w:val="000000"/>
          <w:sz w:val="20"/>
        </w:rPr>
        <w:t>Leerink Partners</w:t>
      </w:r>
      <w:r>
        <w:rPr>
          <w:rFonts w:ascii="Times New Roman" w:hAnsi="Times New Roman"/>
          <w:color w:val="000000"/>
          <w:sz w:val="20"/>
        </w:rPr>
        <w:t>”) with respect to an at-the-market offering program (the “</w:t>
      </w:r>
      <w:r>
        <w:rPr>
          <w:rFonts w:ascii="Times New Roman" w:hAnsi="Times New Roman"/>
          <w:i/>
          <w:color w:val="000000"/>
          <w:sz w:val="20"/>
        </w:rPr>
        <w:t>ATM Offering Program</w:t>
      </w:r>
      <w:r>
        <w:rPr>
          <w:rFonts w:ascii="Times New Roman" w:hAnsi="Times New Roman"/>
          <w:color w:val="000000"/>
          <w:sz w:val="20"/>
        </w:rPr>
        <w:t>”) under which we may offer and sell, from time to time at our sole discretion, ordinary shares having an aggregate offering price of up to $100.0 million (CHF 79.3 million) through Leerink Partners as our sales agent. On October 29, 2025, in conjunction with the November 2025 Underwritten Offering, discussed below, the Company suspended and terminated the ATM Offering Program. As of the date hereof, we have not sold any ordinary shares under the ATM Offering Program. We will not make any sales of our ordinary shares pursuant to the sales agreement unless and until a new prospectus, prospectus supplement or registration statement is filed. Other than the termination of the ATM Offering Program, the sales agreement remains in full force and effect.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Loan Facility</w:t>
      </w:r>
    </w:p>
    <w:p>
      <w:pPr>
        <w:pStyle w:val="TextBody"/>
        <w:bidi w:val="0"/>
        <w:spacing w:before="180" w:after="283"/>
        <w:jc w:val="both"/>
        <w:rPr>
          <w:rFonts w:ascii="Times New Roman" w:hAnsi="Times New Roman"/>
          <w:sz w:val="20"/>
        </w:rPr>
      </w:pPr>
      <w:r>
        <w:rPr>
          <w:rFonts w:ascii="Times New Roman" w:hAnsi="Times New Roman"/>
          <w:color w:val="000000"/>
          <w:sz w:val="20"/>
        </w:rPr>
        <w:t>On July 31, 2025, the Company entered into an amended and restated agreement for its existing loan facility (the “</w:t>
      </w:r>
      <w:r>
        <w:rPr>
          <w:rFonts w:ascii="Times New Roman" w:hAnsi="Times New Roman"/>
          <w:i/>
          <w:color w:val="000000"/>
          <w:sz w:val="20"/>
        </w:rPr>
        <w:t>Amended Loan Agreement”</w:t>
      </w:r>
      <w:r>
        <w:rPr>
          <w:rFonts w:ascii="Times New Roman" w:hAnsi="Times New Roman"/>
          <w:color w:val="000000"/>
          <w:sz w:val="20"/>
        </w:rPr>
        <w:t>) with Kreos Capital VII (UK) Limited (the “</w:t>
      </w:r>
      <w:r>
        <w:rPr>
          <w:rFonts w:ascii="Times New Roman" w:hAnsi="Times New Roman"/>
          <w:i/>
          <w:color w:val="000000"/>
          <w:sz w:val="20"/>
        </w:rPr>
        <w:t>Lender”</w:t>
      </w:r>
      <w:r>
        <w:rPr>
          <w:rFonts w:ascii="Times New Roman" w:hAnsi="Times New Roman"/>
          <w:color w:val="000000"/>
          <w:sz w:val="20"/>
        </w:rPr>
        <w:t>), which are funds and accounts managed by BlackRock, Inc.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hAnsi="Times New Roman"/>
          <w:i/>
          <w:color w:val="000000"/>
          <w:sz w:val="20"/>
        </w:rPr>
        <w:t>Loan</w:t>
      </w:r>
      <w:r>
        <w:rPr>
          <w:rFonts w:ascii="Times New Roman" w:hAnsi="Times New Roman"/>
          <w:color w:val="000000"/>
          <w:sz w:val="20"/>
        </w:rPr>
        <w:t xml:space="preserve">”),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Borrowings under Loan 1, 2 and 3 will bear interest at a fixed rate (cash and PIK) of 9.7%, 9.6% and 9.5% per annum, respectively. The Loan will have an interest-only period of, in respect of Loans 1, 2 and 3, from the relevant drawdown date until December 31, 2027, March 31, 2028 and June 30, 2028, respectively. The interest-only periods for each of Loans 1 and 2 will be shortened to December 31, 2026 if certain conditions are not met. In the event the interest-only periods for Loans 1 and 2 are shortened, Loans 1 and 2 will mature on 30 June 2029. In the event the interest-only periods are not shortened, Loans 1, 2 and 3 will expire on 31 December 2029.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may prepay all, but not part, of the term loan amounts at any time other than, unless the Lender agrees otherwise, by notifying the Lender in advance. The Loan is subject to mandatory prepayment in the event of a change of control or specified asset dispositions or licenses, subject to certain exceptions and thresholds. There are additional fees (including prepayment premia) payable to the Lender in the event the loan is prepaid either mandatorily or voluntarily. The Lender received a restatement fee of CHF 0.5 million in connection with the Amended Loan Agreement. The Lender is eligible to receive an aggregate of approximately CHF 0.6 million in additional transaction fees payable upon the Company’s eligibility to receive and actual receipt of future drawdowns. The Lender will be eligible to receive certain non-utilisation fees. On the date on which the Loan is prepaid or falls due for repayment in full, the Lender is eligible to receive an end of loan fee of, in relation to each of Loans 1, 2 and 3, 4.5% of the amount drawn down under the relevant loan. The Loan contains customary affirmative and negative covenants.</w:t>
      </w:r>
    </w:p>
    <w:p>
      <w:pPr>
        <w:pStyle w:val="TextBody"/>
        <w:bidi w:val="0"/>
        <w:spacing w:before="200" w:after="283"/>
        <w:jc w:val="both"/>
        <w:rPr>
          <w:rFonts w:ascii="Times New Roman" w:hAnsi="Times New Roman"/>
          <w:sz w:val="20"/>
        </w:rPr>
      </w:pPr>
      <w:r>
        <w:rPr>
          <w:rFonts w:ascii="Times New Roman" w:hAnsi="Times New Roman"/>
          <w:color w:val="000000"/>
          <w:sz w:val="20"/>
        </w:rPr>
        <w:t>As additional consideration for the Loan, Kreos Capital VII Aggregator SCSp, an affiliate of the Lender (the “</w:t>
      </w:r>
      <w:r>
        <w:rPr>
          <w:rFonts w:ascii="Times New Roman" w:hAnsi="Times New Roman"/>
          <w:i/>
          <w:color w:val="000000"/>
          <w:sz w:val="20"/>
        </w:rPr>
        <w:t>Holder</w:t>
      </w:r>
      <w:r>
        <w:rPr>
          <w:rFonts w:ascii="Times New Roman" w:hAnsi="Times New Roman"/>
          <w:color w:val="000000"/>
          <w:sz w:val="20"/>
        </w:rPr>
        <w:t>”), and the Company entered into an amended warrant (the “</w:t>
      </w:r>
      <w:r>
        <w:rPr>
          <w:rFonts w:ascii="Times New Roman" w:hAnsi="Times New Roman"/>
          <w:i/>
          <w:color w:val="000000"/>
          <w:sz w:val="20"/>
        </w:rPr>
        <w:t>Amended Warrant</w:t>
      </w:r>
      <w:r>
        <w:rPr>
          <w:rFonts w:ascii="Times New Roman" w:hAnsi="Times New Roman"/>
          <w:color w:val="000000"/>
          <w:sz w:val="20"/>
        </w:rPr>
        <w:t>”) to purchase up to 494,259 of the Company’s ordinary shares, subject to vesting, at a price per ordinary share equal to $12.17 with respect to 361,011 shares from the prior warrant agreement, and $18.64 with respect to the remaining 133,248 shares reflecting the upsized facility, subject to adjustment. The Amended Warrant amends the prior warrant issued to Holder on May 29, 2024. As of the signing date, the Amended Warrant is exercisable for 59,310 ordinary shares, of which 43,321 shares were previously granted. Following the drawdown of each of Loans 1, 2 and 3, the Amended Warrant will become exercisable for additional amounts of ordinary shares ratably based on the amounts of Loans 1, 2 and 3 that are drawn. Each tranche of the Amended Warrant will be exercisable for a period of up to seven years from the date of vesting and the Amended Warrant will terminate at the earliest of (i) December 31, 2033, (ii) such earlier date on which the Amended Warrant is no longer exercisable for any warrant shares in accordance with its terms and (iii) the acceptance by the Company’s shareholders of a third-party bona fide offer for all outstanding shares of the Company (subject to any prior exercise by the Holder, if applicable). The Amended Warrant also includes customary F-3 resale and piggyback registration rights and anti-dilution provisions.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Amended Warrant had not been exercised in part or in full as of December 31,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February 2025 Underwritten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14, 2025, we entered into an underwriting agreement with BofA Securities Inc. and Leerink Partners LLC, as a representative of the several underwriters in connection with an offering of 5,000,000 of our ordinary shares, CHF 0.01 nominal value per share, at a price of $20.00 (CHF 18.05) per share, for total gross proceeds of $100.0 million (CHF 90.2 million), before deducting underwriting discounts, commissions and offering expenses. The offering closed on February 18, 2025.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November 2025 Underwritten Offering and Registered Direct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3, 2025, we closed offerings of an aggregate of 5,432,098 ordinary shares, CHF 0.01 nominal value per share, at a price of $20.25 (CHF 16.33) per share for total gross proceeds of $110.0 million (CHF 88.7 million) before deducting underwriting discounts, commissions and offering expenses. This offering was carried out with 2,635,801 shares out of the Company’s existing capital band and 2,796,297 shares previously held in treasury by the Company.</w:t>
      </w:r>
    </w:p>
    <w:p>
      <w:pPr>
        <w:pStyle w:val="TextBody"/>
        <w:bidi w:val="0"/>
        <w:spacing w:before="200" w:after="283"/>
        <w:jc w:val="both"/>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not generated any revenue from product sales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and payments from such collaboration or licensing agreements. However, there can be no assurance as to when we will generate such revenue, if at all.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Grant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Grant income reflects reimbursement of research and development expenses and income from certain research projects managed by Icelandic governmental institutions. We maintain a subsidiary in Iceland that provides research and development for our product candidates. Certain expenses qualify for incentives from the Icelandic government in the form of tax credits or cash reimbursements. We do not anticipate generating significant grant income in the near future.</w:t>
      </w:r>
    </w:p>
    <w:p>
      <w:pPr>
        <w:pStyle w:val="TextBody"/>
        <w:bidi w:val="0"/>
        <w:spacing w:before="20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both"/>
        <w:rPr>
          <w:rFonts w:ascii="Times New Roman" w:hAnsi="Times New Roman"/>
          <w:sz w:val="20"/>
        </w:rPr>
      </w:pPr>
      <w:r>
        <w:rPr>
          <w:rFonts w:ascii="Times New Roman" w:hAnsi="Times New Roman"/>
          <w:color w:val="000000"/>
          <w:sz w:val="20"/>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 (“</w:t>
      </w:r>
      <w:r>
        <w:rPr>
          <w:rFonts w:ascii="Times New Roman" w:hAnsi="Times New Roman"/>
          <w:i/>
          <w:color w:val="000000"/>
          <w:sz w:val="20"/>
        </w:rPr>
        <w:t>Intangible Assets</w:t>
      </w:r>
      <w:r>
        <w:rPr>
          <w:rFonts w:ascii="Times New Roman" w:hAnsi="Times New Roman"/>
          <w:color w:val="000000"/>
          <w:sz w:val="20"/>
        </w:rPr>
        <w:t xml:space="preserve">”). Capitalization does not result in amortization until the related product is approved for commercialization, where a finite useful economic life can be more reliably determined. To date, all capitalized R&amp;D intangible assets remain unamortized.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personnel-related expenses, including salaries, related benefits and equity-based compensation expense, for employees and third-party consultants engaged in research and development functions;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expenses incurred in connection with the preclinical and clinical development of our product candidates and programs, including under agreements with clinical research organizations (“</w:t>
      </w:r>
      <w:r>
        <w:rPr>
          <w:rFonts w:ascii="Times New Roman" w:hAnsi="Times New Roman"/>
          <w:i/>
          <w:color w:val="000000"/>
          <w:sz w:val="20"/>
        </w:rPr>
        <w:t>CROs</w:t>
      </w:r>
      <w:r>
        <w:rPr>
          <w:color w:val="000000"/>
        </w:rPr>
        <w:t>”</w:t>
      </w:r>
      <w:r>
        <w:rPr>
          <w:rFonts w:ascii="Times New Roman" w:hAnsi="Times New Roman"/>
          <w:color w:val="000000"/>
          <w:sz w:val="20"/>
        </w:rPr>
        <w:t>), as well as clinical trial investigative sites and consultants that conduct our clinical trials;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costs related to contract manufacturing organizations (“</w:t>
      </w:r>
      <w:r>
        <w:rPr>
          <w:rFonts w:ascii="Times New Roman" w:hAnsi="Times New Roman"/>
          <w:i/>
          <w:color w:val="000000"/>
          <w:sz w:val="20"/>
        </w:rPr>
        <w:t>CMOs</w:t>
      </w:r>
      <w:r>
        <w:rPr>
          <w:color w:val="000000"/>
        </w:rPr>
        <w:t>”</w:t>
      </w:r>
      <w:r>
        <w:rPr>
          <w:rFonts w:ascii="Times New Roman" w:hAnsi="Times New Roman"/>
          <w:color w:val="000000"/>
          <w:sz w:val="20"/>
        </w:rPr>
        <w:t>) that are primarily engaged to provide drug substance and product for our clinical trials, research and development programs, as well as costs of acquiring and manufacturing non-clinical and clinical trial materials, including manufacturing registration and validation batches;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related to non-clinical studies and other scientific development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related to compliance with quality and regulatory requirements; and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related to formulation research, IP expenses, facilities, overhead, depreciation and amortization of laboratory equipment and other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years ended December 31, 2025 and 2024, no research and development costs were capitalized by the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ongoing and planned clinical development activities in the near term and in the future. At this time, we cannot accurately estimate or know the nature, timing and costs of the efforts that will be necessary to complete the clinical development of any current or future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internal and external costs related to executive management, finance and accounting functions, legal, business development, corporate insurance, corporate and investor communications, pre-commercial and other administrative functions and operating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Finance Income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Finance income (expense) consists primarily of interest income on fixed term deposits.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adjustment on warrant liabilities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Fair value adjustment on warrant liabilities reflects the changes in fair value of our warrant instruments. The fair value of our public and private placement warrants (“</w:t>
      </w:r>
      <w:r>
        <w:rPr>
          <w:rFonts w:ascii="Times New Roman" w:hAnsi="Times New Roman"/>
          <w:i/>
          <w:color w:val="000000"/>
          <w:sz w:val="20"/>
        </w:rPr>
        <w:t>BCA Warrants</w:t>
      </w:r>
      <w:r>
        <w:rPr>
          <w:rFonts w:ascii="Times New Roman" w:hAnsi="Times New Roman"/>
          <w:color w:val="000000"/>
          <w:sz w:val="20"/>
        </w:rPr>
        <w:t xml:space="preserve">”) is dependent on the change in the underlying market price of the public warrants and the number of outstanding warrants at the reporting date. This fair value is, in general, directly correlated with the market price of our warrants. Assuming the number of outstanding warrants remains constant, we would expect a fair value loss due to an increase in the market price of the warrants, and a fair value gain due to a decrease in the market price of the warrants. The fair value of the BlackRock Warrant is dependent on the change in the Black-Scholes fair value and the number of outstanding warrants at the reporting date.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 Exchange Gain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currency exchange gains and losses consist of currency exchange differences that arise from transactions denominated in currencies other than Swiss Francs.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corporate Swiss federal, cantonal and communal taxation, respectively, in Switzerland, Canton of Zug, and Commune of Zug, as well as in the Canton of Vaud, and Commune of Lausanne. We are also subject to taxation in other jurisdictions in which we operate, in particular the United States, France, Hong Kong and Iceland where our wholly owned subsidiaries are incorporated.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entitled, under Swiss laws, to carry forward any losses incurred for a period of seven years and can offset our losses carried forward against future taxes owed. As of December 31, 2025, we had tax loss carry-forwards totaling CHF 106.9 million. There is no certainty that we will make sufficient profits to be able to utilize tax loss carry-forwards in full and no deferred tax assets have been recognized in the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periods presented:</w:t>
      </w:r>
    </w:p>
    <w:p>
      <w:pPr>
        <w:pStyle w:val="TextBody"/>
        <w:bidi w:val="0"/>
        <w:jc w:val="both"/>
        <w:rPr/>
      </w:pPr>
      <w:r>
        <w:rPr/>
        <w:t> </w:t>
      </w:r>
    </w:p>
    <w:tbl>
      <w:tblPr>
        <w:tblW w:w="8316" w:type="dxa"/>
        <w:jc w:val="left"/>
        <w:tblInd w:w="0" w:type="dxa"/>
        <w:tblLayout w:type="fixed"/>
        <w:tblCellMar>
          <w:top w:w="28" w:type="dxa"/>
          <w:left w:w="28" w:type="dxa"/>
          <w:bottom w:w="28" w:type="dxa"/>
          <w:right w:w="28" w:type="dxa"/>
        </w:tblCellMar>
      </w:tblPr>
      <w:tblGrid>
        <w:gridCol w:w="3061"/>
        <w:gridCol w:w="195"/>
        <w:gridCol w:w="885"/>
        <w:gridCol w:w="222"/>
        <w:gridCol w:w="195"/>
        <w:gridCol w:w="195"/>
        <w:gridCol w:w="885"/>
        <w:gridCol w:w="166"/>
        <w:gridCol w:w="146"/>
        <w:gridCol w:w="146"/>
        <w:gridCol w:w="661"/>
        <w:gridCol w:w="166"/>
        <w:gridCol w:w="146"/>
        <w:gridCol w:w="177"/>
        <w:gridCol w:w="694"/>
        <w:gridCol w:w="376"/>
      </w:tblGrid>
      <w:tr>
        <w:trPr/>
        <w:tc>
          <w:tcPr>
            <w:tcW w:w="30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Grant income</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income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1,199</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 expenses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(57,085</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(82,871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(73,890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loss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(81,672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income</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Finance expense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adjustment on warrant liabilities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exchange gain (loss)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Finance result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(17,471</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before tax for the period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(99,143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benefit (expense)</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for the period</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(98,957</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(85,777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Years Ended December 31, 2025 and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Grant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Grant income for the years ended December 31, 2025 and 2024 were CHF 1.2 million and CHF 0.7 million, respectively. The grant income is dependent upon the Icelandic government making such reimbursement available for qualified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both"/>
        <w:rPr/>
      </w:pPr>
      <w:r>
        <w:rPr/>
        <w:t> </w:t>
      </w:r>
    </w:p>
    <w:tbl>
      <w:tblPr>
        <w:tblW w:w="8640" w:type="dxa"/>
        <w:jc w:val="left"/>
        <w:tblInd w:w="0" w:type="dxa"/>
        <w:tblLayout w:type="fixed"/>
        <w:tblCellMar>
          <w:top w:w="28" w:type="dxa"/>
          <w:left w:w="28" w:type="dxa"/>
          <w:bottom w:w="28" w:type="dxa"/>
          <w:right w:w="28" w:type="dxa"/>
        </w:tblCellMar>
      </w:tblPr>
      <w:tblGrid>
        <w:gridCol w:w="3301"/>
        <w:gridCol w:w="220"/>
        <w:gridCol w:w="908"/>
        <w:gridCol w:w="220"/>
        <w:gridCol w:w="220"/>
        <w:gridCol w:w="220"/>
        <w:gridCol w:w="908"/>
        <w:gridCol w:w="146"/>
        <w:gridCol w:w="146"/>
        <w:gridCol w:w="146"/>
        <w:gridCol w:w="571"/>
        <w:gridCol w:w="166"/>
        <w:gridCol w:w="146"/>
        <w:gridCol w:w="239"/>
        <w:gridCol w:w="692"/>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18,849</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Payroll and related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Share-based compensation</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38,236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External service providers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operating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expense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research and development expenses</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57,085</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5,002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were CHF 57.1 million for the year ended December 31, 2025 compared to CHF 52.1 million for the year ended December 31, 2024. The net increase of CHF 5.0 million, or 9.6%, was primarily due to advancements in our late-stage development portfolio, including Privosegtor development activities and the DIAMOND clinical program. The cost increases were partially offset by a decline in Licaminlimab development costs due to the completion of RELIEF Phase 2 trial in 2024 and commencement of PREDICT registrational trial in late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breakdown of research and development expenses by project:</w:t>
      </w:r>
    </w:p>
    <w:p>
      <w:pPr>
        <w:pStyle w:val="TextBody"/>
        <w:bidi w:val="0"/>
        <w:jc w:val="both"/>
        <w:rPr/>
      </w:pPr>
      <w:r>
        <w:rPr/>
        <w:t> </w:t>
      </w:r>
    </w:p>
    <w:tbl>
      <w:tblPr>
        <w:tblW w:w="8610" w:type="dxa"/>
        <w:jc w:val="left"/>
        <w:tblInd w:w="0" w:type="dxa"/>
        <w:tblLayout w:type="fixed"/>
        <w:tblCellMar>
          <w:top w:w="28" w:type="dxa"/>
          <w:left w:w="28" w:type="dxa"/>
          <w:bottom w:w="28" w:type="dxa"/>
          <w:right w:w="28" w:type="dxa"/>
        </w:tblCellMar>
      </w:tblPr>
      <w:tblGrid>
        <w:gridCol w:w="3301"/>
        <w:gridCol w:w="220"/>
        <w:gridCol w:w="908"/>
        <w:gridCol w:w="220"/>
        <w:gridCol w:w="220"/>
        <w:gridCol w:w="220"/>
        <w:gridCol w:w="908"/>
        <w:gridCol w:w="146"/>
        <w:gridCol w:w="146"/>
        <w:gridCol w:w="146"/>
        <w:gridCol w:w="571"/>
        <w:gridCol w:w="166"/>
        <w:gridCol w:w="146"/>
        <w:gridCol w:w="206"/>
        <w:gridCol w:w="725"/>
        <w:gridCol w:w="361"/>
      </w:tblGrid>
      <w:tr>
        <w:trPr/>
        <w:tc>
          <w:tcPr>
            <w:tcW w:w="33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OCS-01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35,497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Licaminlimab</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Privosegtor</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development projects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research and development expenses</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57,085</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research and development expenses were driven by increased development costs related to the advancement of Privosegtor, as well as the OCS-01 Phase 3 DIAMOND-1 and DIAMOND-2 clinical trials in DME which completed enrollment in April 2025 and for which we expect topline results in Q2 2026.</w:t>
      </w:r>
    </w:p>
    <w:p>
      <w:pPr>
        <w:pStyle w:val="TextBody"/>
        <w:bidi w:val="0"/>
        <w:spacing w:before="20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tbl>
      <w:tblPr>
        <w:tblW w:w="8644" w:type="dxa"/>
        <w:jc w:val="left"/>
        <w:tblInd w:w="0" w:type="dxa"/>
        <w:tblLayout w:type="fixed"/>
        <w:tblCellMar>
          <w:top w:w="28" w:type="dxa"/>
          <w:left w:w="28" w:type="dxa"/>
          <w:bottom w:w="28" w:type="dxa"/>
          <w:right w:w="28" w:type="dxa"/>
        </w:tblCellMar>
      </w:tblPr>
      <w:tblGrid>
        <w:gridCol w:w="3346"/>
        <w:gridCol w:w="220"/>
        <w:gridCol w:w="908"/>
        <w:gridCol w:w="220"/>
        <w:gridCol w:w="220"/>
        <w:gridCol w:w="220"/>
        <w:gridCol w:w="908"/>
        <w:gridCol w:w="146"/>
        <w:gridCol w:w="146"/>
        <w:gridCol w:w="156"/>
        <w:gridCol w:w="550"/>
        <w:gridCol w:w="166"/>
        <w:gridCol w:w="146"/>
        <w:gridCol w:w="216"/>
        <w:gridCol w:w="715"/>
        <w:gridCol w:w="361"/>
      </w:tblGrid>
      <w:tr>
        <w:trPr/>
        <w:tc>
          <w:tcPr>
            <w:tcW w:w="3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14,997</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Payroll and related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Share-based compensation</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7,046</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10,789</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External service providers</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operating expenses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expense</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general and administrative expenses</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25,786</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21,807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3,979</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1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w:t>
            </w:r>
          </w:p>
        </w:tc>
        <w:tc>
          <w:tcPr>
            <w:tcW w:w="3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were CHF 25.8 million for the year ended December 31, 2025, compared to CHF 21.8 million for the year ended December 31, 2024. The increase of CHF 4.0 million, or 18.2%, was primarily driven by an increase in share-based compensation expense due to new equity grants and increased grant value for equity awards granted in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Finance Income and Finance Expense</w:t>
      </w:r>
    </w:p>
    <w:tbl>
      <w:tblPr>
        <w:tblW w:w="7060" w:type="dxa"/>
        <w:jc w:val="left"/>
        <w:tblInd w:w="0" w:type="dxa"/>
        <w:tblLayout w:type="fixed"/>
        <w:tblCellMar>
          <w:top w:w="28" w:type="dxa"/>
          <w:left w:w="28" w:type="dxa"/>
          <w:bottom w:w="28" w:type="dxa"/>
          <w:right w:w="28" w:type="dxa"/>
        </w:tblCellMar>
      </w:tblPr>
      <w:tblGrid>
        <w:gridCol w:w="1711"/>
        <w:gridCol w:w="242"/>
        <w:gridCol w:w="848"/>
        <w:gridCol w:w="275"/>
        <w:gridCol w:w="242"/>
        <w:gridCol w:w="242"/>
        <w:gridCol w:w="848"/>
        <w:gridCol w:w="166"/>
        <w:gridCol w:w="146"/>
        <w:gridCol w:w="177"/>
        <w:gridCol w:w="529"/>
        <w:gridCol w:w="166"/>
        <w:gridCol w:w="146"/>
        <w:gridCol w:w="216"/>
        <w:gridCol w:w="715"/>
        <w:gridCol w:w="391"/>
      </w:tblGrid>
      <w:tr>
        <w:trPr/>
        <w:tc>
          <w:tcPr>
            <w:tcW w:w="17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finance income</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937</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realized net finance income of CHF 0.9 million for the year ended December 31, 2025 compared to CHF 1.5 million for the year ended December 31, 2024. Finance income decreased CHF 0.4 million due to lower interest income from our short-term bank deposits in 2025 compared to 2024. Finance expense increased CHF 0.2 million due to the amortization of transaction costs related to the July 2025 Amended Loan Agreement.</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Adjustment on Warrant Liabilities</w:t>
      </w:r>
    </w:p>
    <w:p>
      <w:pPr>
        <w:pStyle w:val="TextBody"/>
        <w:bidi w:val="0"/>
        <w:jc w:val="both"/>
        <w:rPr/>
      </w:pPr>
      <w:r>
        <w:rPr/>
        <w:t> </w:t>
      </w:r>
    </w:p>
    <w:tbl>
      <w:tblPr>
        <w:tblW w:w="8419" w:type="dxa"/>
        <w:jc w:val="left"/>
        <w:tblInd w:w="0" w:type="dxa"/>
        <w:tblLayout w:type="fixed"/>
        <w:tblCellMar>
          <w:top w:w="28" w:type="dxa"/>
          <w:left w:w="28" w:type="dxa"/>
          <w:bottom w:w="28" w:type="dxa"/>
          <w:right w:w="28" w:type="dxa"/>
        </w:tblCellMar>
      </w:tblPr>
      <w:tblGrid>
        <w:gridCol w:w="3121"/>
        <w:gridCol w:w="204"/>
        <w:gridCol w:w="926"/>
        <w:gridCol w:w="232"/>
        <w:gridCol w:w="204"/>
        <w:gridCol w:w="204"/>
        <w:gridCol w:w="926"/>
        <w:gridCol w:w="166"/>
        <w:gridCol w:w="146"/>
        <w:gridCol w:w="156"/>
        <w:gridCol w:w="550"/>
        <w:gridCol w:w="146"/>
        <w:gridCol w:w="146"/>
        <w:gridCol w:w="216"/>
        <w:gridCol w:w="715"/>
        <w:gridCol w:w="361"/>
      </w:tblGrid>
      <w:tr>
        <w:trPr/>
        <w:tc>
          <w:tcPr>
            <w:tcW w:w="312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recorded fair value adjustment losses on warrant liabilities of CHF 12.3 million and CHF 15.5 million, respectively, for the years ended December 31, 2025 and 2024, primarily due to increases in the market price of the BCA Warrants during the periods.</w:t>
      </w:r>
    </w:p>
    <w:p>
      <w:pPr>
        <w:pStyle w:val="TextBody"/>
        <w:bidi w:val="0"/>
        <w:spacing w:before="200" w:after="283"/>
        <w:jc w:val="both"/>
        <w:rPr>
          <w:rFonts w:ascii="Times New Roman" w:hAnsi="Times New Roman"/>
          <w:sz w:val="20"/>
        </w:rPr>
      </w:pPr>
      <w:r>
        <w:rPr>
          <w:rFonts w:ascii="Times New Roman" w:hAnsi="Times New Roman"/>
          <w:b/>
          <w:i/>
          <w:color w:val="000000"/>
          <w:sz w:val="20"/>
        </w:rPr>
        <w:t>Foreign Currency Exchange Gain (Loss)</w:t>
      </w:r>
      <w:r>
        <w:rPr>
          <w:rFonts w:ascii="Times New Roman" w:hAnsi="Times New Roman"/>
          <w:color w:val="000000"/>
          <w:sz w:val="20"/>
        </w:rPr>
        <w:t xml:space="preserve"> </w:t>
      </w:r>
    </w:p>
    <w:p>
      <w:pPr>
        <w:pStyle w:val="TextBody"/>
        <w:bidi w:val="0"/>
        <w:jc w:val="both"/>
        <w:rPr/>
      </w:pPr>
      <w:r>
        <w:rPr/>
        <w:t> </w:t>
      </w:r>
    </w:p>
    <w:tbl>
      <w:tblPr>
        <w:tblW w:w="8145" w:type="dxa"/>
        <w:jc w:val="left"/>
        <w:tblInd w:w="0" w:type="dxa"/>
        <w:tblLayout w:type="fixed"/>
        <w:tblCellMar>
          <w:top w:w="28" w:type="dxa"/>
          <w:left w:w="28" w:type="dxa"/>
          <w:bottom w:w="28" w:type="dxa"/>
          <w:right w:w="28" w:type="dxa"/>
        </w:tblCellMar>
      </w:tblPr>
      <w:tblGrid>
        <w:gridCol w:w="2836"/>
        <w:gridCol w:w="233"/>
        <w:gridCol w:w="914"/>
        <w:gridCol w:w="265"/>
        <w:gridCol w:w="233"/>
        <w:gridCol w:w="233"/>
        <w:gridCol w:w="818"/>
        <w:gridCol w:w="146"/>
        <w:gridCol w:w="146"/>
        <w:gridCol w:w="146"/>
        <w:gridCol w:w="571"/>
        <w:gridCol w:w="166"/>
        <w:gridCol w:w="146"/>
        <w:gridCol w:w="189"/>
        <w:gridCol w:w="742"/>
        <w:gridCol w:w="361"/>
      </w:tblGrid>
      <w:tr>
        <w:trPr/>
        <w:tc>
          <w:tcPr>
            <w:tcW w:w="28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(581.8</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recorded a foreign currency exchange loss of CHF 6.1 million for the year ended December 31, 2025, compared to a gain of CHF 1.3 million for the year ended December 31, 2024. The foreign currency exchange activity reflects fluctuations of the U.S. dollar against the Swiss Franc impacting our cash and short-term financial assets balances, which were net unfavorable in 2025 and favorable in 2024.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Comparison of Years Ended December 31, 2024 and 2023</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a discussion of the financial results and condition for the fiscal year ended December 31, 2023, please refer to our Annual Report on Form 20-F for the year ended December 31, 2023 filed on March 19, 2024. For a comparison of years ended December 31, 2024 and 2023 please refer to our Annual Report on Form 20-F for the year ended December 31, 2024 filed on March 11,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 Liquidity and Capital Resources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incurred significant operating losses. We have not yet commercialized any products and we do not expect to generate revenue from sales of products in the near future. We incurred a loss of CHF 99.0 million and a cash outflow from operations of CHF 66.3 million for the year ended December 31, 2025. As of December 31, 2025 and 2024, we had cash, cash equivalents and short-term investments of CHF 213.0 million and CHF 98.7 million, respectively. We had accumulated losses of CHF 384.5 million and CHF 285.6 million as of December 31, 2025 and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22, 2024, we closed a registered direct offering with gross proceeds of CHF 53.5 million or $58.8 million through the issuance of 5,000,000 ordinary shares, nominal value CHF 0.01 per share, at a purchase price of CHF 10.70 or $11.75 per share, and commenced trading of our ordinary shares on the Nasdaq Iceland Main Market under the ticker symbol “OCS” on April 23,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8, 2024, we entered into a sales agreement with Leerink Partners with respect to an ATM Offering Program under which we may offer and sell, from time to time at our sole discretion, ordinary shares having an aggregate offering price of up to $100.0 million (CHF 79.3 million) through Leerink Partners as our sales agent. On October 29, 2025, in conjunction with the November 2025 Underwritten Offering, the Company suspended and terminated the ATM Offering Program. As of the date hereof, we have not sold any ordinary shares under the ATM Offering Program. We will not make any sales of our ordinary shares pursuant to the sales agreement unless and until a new prospectus, prospectus supplement or registration statement is filed. Other than the termination of the ATM Offering Program, the sales agreement remains in full force and effect.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18, 2025, we closed an underwritten offering for the issuance and sale of 5,000,000 ordinary shares, CHF 0.01 nominal value per share, at a price of $20.00 or CHF 18.05 per share, for total gross proceeds of CHF 90.2 million or $100.0 million. </w:t>
      </w:r>
    </w:p>
    <w:p>
      <w:pPr>
        <w:pStyle w:val="TextBody"/>
        <w:bidi w:val="0"/>
        <w:jc w:val="both"/>
        <w:rPr>
          <w:rFonts w:ascii="Times New Roman" w:hAnsi="Times New Roman"/>
          <w:sz w:val="20"/>
        </w:rPr>
      </w:pPr>
      <w:r>
        <w:rPr>
          <w:rFonts w:ascii="Times New Roman" w:hAnsi="Times New Roman"/>
          <w:color w:val="000000"/>
          <w:sz w:val="20"/>
        </w:rPr>
        <w:t>On July 31, 2025, we amended our existing loan facility with Kreos Capital VII (UK) Limited (the “</w:t>
      </w:r>
      <w:r>
        <w:rPr>
          <w:rFonts w:ascii="Times New Roman" w:hAnsi="Times New Roman"/>
          <w:i/>
          <w:color w:val="000000"/>
          <w:sz w:val="20"/>
        </w:rPr>
        <w:t>Lender</w:t>
      </w:r>
      <w:r>
        <w:rPr>
          <w:rFonts w:ascii="Times New Roman" w:hAnsi="Times New Roman"/>
          <w:color w:val="000000"/>
          <w:sz w:val="20"/>
        </w:rPr>
        <w:t>”), which are funds and accounts managed by BlackRock, Inc. (the “</w:t>
      </w:r>
      <w:r>
        <w:rPr>
          <w:rFonts w:ascii="Times New Roman" w:hAnsi="Times New Roman"/>
          <w:i/>
          <w:color w:val="000000"/>
          <w:sz w:val="20"/>
        </w:rPr>
        <w:t>Amended Loan Agreement</w:t>
      </w:r>
      <w:r>
        <w:rPr>
          <w:rFonts w:ascii="Times New Roman" w:hAnsi="Times New Roman"/>
          <w:color w:val="000000"/>
          <w:sz w:val="20"/>
        </w:rPr>
        <w:t>”). The Amended Loan Agreement is structured to provide the EUR equivalent of up to CHF 75.0 million in borrowing capacity (which may be increased to up to CHF 100.0 million), comprising tranches 1, 2 and 3, in the amounts of the EUR equivalents of CHF 25.0 million each, as well as an additional loan of the EUR equivalent of up to CHF 25.0 million, which may be made available by the Lender to us if mutually agreed in writing between us and the Lender.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3, 2025, we closed concurrent underwritten and registered direct offerings of an aggregate of 5,432,098 ordinary shares, CHF 0.01 nominal value per share, at a price per share of $20.25 (CHF 16.33) for total gross proceeds of $110.0 million (CHF 88.7 million) before deducting underwriting discounts and commissions and offering expenses. </w:t>
      </w:r>
    </w:p>
    <w:p>
      <w:pPr>
        <w:pStyle w:val="TextBody"/>
        <w:bidi w:val="0"/>
        <w:spacing w:before="200" w:after="283"/>
        <w:jc w:val="both"/>
        <w:rPr>
          <w:rFonts w:ascii="Times New Roman" w:hAnsi="Times New Roman"/>
          <w:sz w:val="20"/>
        </w:rPr>
      </w:pPr>
      <w:r>
        <w:rPr>
          <w:rFonts w:ascii="Times New Roman" w:hAnsi="Times New Roman"/>
          <w:color w:val="000000"/>
          <w:sz w:val="20"/>
        </w:rPr>
        <w:t>We expect to incur additional operating losses in the near future and our operating expenses will increase as we continue invest in the development of our product candidates through additional research and development activities, including clinical trials. See “</w:t>
      </w:r>
      <w:r>
        <w:rPr>
          <w:rFonts w:ascii="Times New Roman" w:hAnsi="Times New Roman"/>
          <w:i/>
          <w:color w:val="000000"/>
          <w:sz w:val="20"/>
        </w:rPr>
        <w:t>Risk Factors—Risks related to development and regulatory approval of our investigational therapies</w:t>
      </w:r>
      <w:r>
        <w:rPr>
          <w:rFonts w:ascii="Times New Roman" w:hAnsi="Times New Roman"/>
          <w:color w:val="000000"/>
          <w:sz w:val="20"/>
        </w:rPr>
        <w:t>.” We will continue to incur additional costs associated with operating as a public company, including expenses related to legal, accounting, financial reporting and regulatory matters, maintaining compliance with exchange listing and SEC requirements, director and officer insurance premiums and investor relations.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short-term financial assets will be sufficient to fund our operations and capital expenses through at least the next twelve months from the date that this Annual Report is filed with the SEC without additional capital or drawdown from our loan facility.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risks and factors that could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influence our future capital requirements and the timing thereof, please see the section entitled “</w:t>
      </w:r>
      <w:r>
        <w:rPr>
          <w:rFonts w:ascii="Times New Roman" w:hAnsi="Times New Roman"/>
          <w:i/>
          <w:color w:val="000000"/>
          <w:sz w:val="20"/>
        </w:rPr>
        <w:t>Risk Factors,</w:t>
      </w:r>
      <w:r>
        <w:rPr>
          <w:rFonts w:ascii="Times New Roman" w:hAnsi="Times New Roman"/>
          <w:color w:val="000000"/>
          <w:sz w:val="20"/>
        </w:rPr>
        <w:t>” included in Item 3.D. of the Annual Report on Form 20-F for the year ended December 31, 2025 filed with the SEC on March 4,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Future 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development is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candidates, currently under development or that we may develop, will require significant additional research and development efforts, including extensive clinical testing and regulatory approval prior to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obtain regulatory approval for one or more of our product candidates, we have the options of seeking strategic partnerships or commercializing such products ourselves. If we decide to pursue direct commercialization, we expect to incur significant expenses to develop our commercialization capabilities to support product sales, medical affairs, market access, and marketing and distribution activities, either alone or in collaboration with others. As a result, we may need substantial additional funding to support our continuing operations and pursue our growth strategy.</w:t>
      </w:r>
    </w:p>
    <w:p>
      <w:pPr>
        <w:pStyle w:val="TextBody"/>
        <w:bidi w:val="0"/>
        <w:spacing w:before="200" w:after="283"/>
        <w:jc w:val="both"/>
        <w:rPr>
          <w:rFonts w:ascii="Times New Roman" w:hAnsi="Times New Roman"/>
          <w:sz w:val="20"/>
        </w:rPr>
      </w:pPr>
      <w:r>
        <w:rPr>
          <w:rFonts w:ascii="Times New Roman" w:hAnsi="Times New Roman"/>
          <w:color w:val="000000"/>
          <w:sz w:val="20"/>
        </w:rPr>
        <w:t>Until such time, if ever, when we can generate substantial product revenue, we may finance our operations through a combination of private or public equity offerings, debt financings, collaborations, strategic alliances, marketing, distribution or licensing arrangements or through other sources of funding. Adequate capital may not be available to us when needed or on acceptable terms. To the extent that we raise additional capital through the sale of equity or convertible debt securities, your ownership interest will be diluted, and the terms of these securities may include liquidation or other preferences that adversely affect your rights as a holder of ordinary shares. Debt financing, such as the Amended Loan Agreement, may involve agreements that include covenants limiting or restricting our ability to take specific actions, such as incurring additional debt, making acquisitions or capital expenditures. 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third parties rights to develop and market product candidates that we would otherwise prefer to develop and market ourselves, obtain funds through arrangements with collaborators on terms unfavorable to us or pursue merger or acquisition strategies, all of which could adversely affect the holdings or the rights of our shareholders. Please see the section entitled “</w:t>
      </w:r>
      <w:r>
        <w:rPr>
          <w:rFonts w:ascii="Times New Roman" w:hAnsi="Times New Roman"/>
          <w:i/>
          <w:color w:val="000000"/>
          <w:sz w:val="20"/>
        </w:rPr>
        <w:t xml:space="preserve">Risk Factors—Risks related to our business, financial condition, capital requirements, or financial operations” </w:t>
      </w:r>
      <w:r>
        <w:rPr>
          <w:rFonts w:ascii="Times New Roman" w:hAnsi="Times New Roman"/>
          <w:color w:val="000000"/>
          <w:sz w:val="20"/>
        </w:rPr>
        <w:t>included in Item 3.D. of the Annual Report on Form 20-F for the year ended December 31, 2025 filed with the SEC on March 4, 2026 for additional risks associated with our substantial capital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our expenses to increase substantially in connection with our ongoing activities, particularly as we advance the preclinical activities, manufacturing and clinical development of our product candidates. In addition, we will continue to incur additional costs associated with operating as a dual-listed public company, including significant legal, accounting, investor relations and other expenses. Our expenses will also increase as we:</w:t>
      </w:r>
    </w:p>
    <w:p>
      <w:pPr>
        <w:pStyle w:val="TextBody"/>
        <w:bidi w:val="0"/>
        <w:jc w:val="both"/>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progress our Phase 3 clinical trials for OCS-01 for DME;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advance our Licaminlimab program into the PREDICT-1 clinical trial for DED and related manufacturing development activities;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advance Privosegtor in ON and NAION into the PIONEER registrational program;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advance our preclinical stage product candidates into clinical development;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seek to identify, acquire and develop additional product candidates, including through business development efforts to invest in or in-license other technologies or product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hire additional clinical, regulatory, technical development, quality assurance and control, medical, scientific and other technical personnel to support our product development operations;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to support our operations;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meet the requirements and demands of being a dual-listed public company, including compliance with regulatory regimes and stock exchange rules in both the U.S. and Iceland;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maintain, expand, protect and enforce our intellectual property portfolio;</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make milestone, royalty or other payments due under the license agreements with Novartis Technology LLC (“</w:t>
      </w:r>
      <w:r>
        <w:rPr>
          <w:rFonts w:ascii="Times New Roman" w:hAnsi="Times New Roman"/>
          <w:i/>
          <w:color w:val="000000"/>
          <w:sz w:val="20"/>
        </w:rPr>
        <w:t>Novartis</w:t>
      </w:r>
      <w:r>
        <w:rPr>
          <w:color w:val="000000"/>
        </w:rPr>
        <w:t>”</w:t>
      </w:r>
      <w:r>
        <w:rPr>
          <w:rFonts w:ascii="Times New Roman" w:hAnsi="Times New Roman"/>
          <w:color w:val="000000"/>
          <w:sz w:val="20"/>
        </w:rPr>
        <w:t>) and Accure Therapeutics SL (“</w:t>
      </w:r>
      <w:r>
        <w:rPr>
          <w:rFonts w:ascii="Times New Roman" w:hAnsi="Times New Roman"/>
          <w:i/>
          <w:color w:val="000000"/>
          <w:sz w:val="20"/>
        </w:rPr>
        <w:t>Accure</w:t>
      </w:r>
      <w:r>
        <w:rPr>
          <w:color w:val="000000"/>
        </w:rPr>
        <w:t>”</w:t>
      </w:r>
      <w:r>
        <w:rPr>
          <w:rFonts w:ascii="Times New Roman" w:hAnsi="Times New Roman"/>
          <w:color w:val="000000"/>
          <w:sz w:val="20"/>
        </w:rPr>
        <w:t>), described below, and any future in-license or collaboration agreements;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seek regulatory approvals for any product candidates that successfully complete clinical trials;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undertake any pre-commercialization activities to establish sales, medical affairs, market access, marketing and distribution capabilities for any product candidates for which we may receive regulatory approval in regions where we choose to commercialize our products on our own or jointly with third parties.</w:t>
      </w:r>
    </w:p>
    <w:p>
      <w:pPr>
        <w:pStyle w:val="TextBody"/>
        <w:bidi w:val="0"/>
        <w:spacing w:before="200" w:after="283"/>
        <w:jc w:val="both"/>
        <w:rPr>
          <w:rFonts w:ascii="Times New Roman" w:hAnsi="Times New Roman"/>
          <w:sz w:val="20"/>
        </w:rPr>
      </w:pPr>
      <w:r>
        <w:rPr>
          <w:rFonts w:ascii="Times New Roman" w:hAnsi="Times New Roman"/>
          <w:color w:val="000000"/>
          <w:sz w:val="20"/>
        </w:rPr>
        <w:t>See the section of this Annual Report titled “</w:t>
      </w:r>
      <w:r>
        <w:rPr>
          <w:rFonts w:ascii="Times New Roman" w:hAnsi="Times New Roman"/>
          <w:i/>
          <w:color w:val="000000"/>
          <w:sz w:val="20"/>
        </w:rPr>
        <w:t>Risk Factors</w:t>
      </w:r>
      <w:r>
        <w:rPr>
          <w:rFonts w:ascii="Times New Roman" w:hAnsi="Times New Roman"/>
          <w:color w:val="000000"/>
          <w:sz w:val="20"/>
        </w:rPr>
        <w:t>” for additional risks associated with our substantial capital requirements.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Material Cash Requirements for Known Contractual Obligations and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certain payment obligations under existing license and collaboration agreements. Under these agreements, we are required to pay non-refundable, upfront license fees, predefined development and commercial milestone payments and royalties on net sales of licensed products.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License Agreement with Accure for Privosegtor</w:t>
      </w:r>
    </w:p>
    <w:p>
      <w:pPr>
        <w:pStyle w:val="TextBody"/>
        <w:bidi w:val="0"/>
        <w:spacing w:before="200" w:after="283"/>
        <w:jc w:val="both"/>
        <w:rPr>
          <w:rFonts w:ascii="Times New Roman" w:hAnsi="Times New Roman"/>
          <w:sz w:val="20"/>
        </w:rPr>
      </w:pPr>
      <w:r>
        <w:rPr>
          <w:rFonts w:ascii="Times New Roman" w:hAnsi="Times New Roman"/>
          <w:color w:val="000000"/>
          <w:sz w:val="20"/>
        </w:rPr>
        <w:t>Pursuant to a license agreement, dated as of January 29, 2022, by and between us and Accure (the “</w:t>
      </w:r>
      <w:r>
        <w:rPr>
          <w:rFonts w:ascii="Times New Roman" w:hAnsi="Times New Roman"/>
          <w:i/>
          <w:color w:val="000000"/>
          <w:sz w:val="20"/>
        </w:rPr>
        <w:t>Accure Agreement</w:t>
      </w:r>
      <w:r>
        <w:rPr>
          <w:rFonts w:ascii="Times New Roman" w:hAnsi="Times New Roman"/>
          <w:color w:val="000000"/>
          <w:sz w:val="20"/>
        </w:rPr>
        <w:t>”),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w:t>
      </w:r>
    </w:p>
    <w:p>
      <w:pPr>
        <w:pStyle w:val="TextBody"/>
        <w:bidi w:val="0"/>
        <w:spacing w:before="200" w:after="283"/>
        <w:jc w:val="both"/>
        <w:rPr>
          <w:rFonts w:ascii="Times New Roman" w:hAnsi="Times New Roman"/>
          <w:sz w:val="20"/>
        </w:rPr>
      </w:pPr>
      <w:r>
        <w:rPr>
          <w:rFonts w:ascii="Times New Roman" w:hAnsi="Times New Roman"/>
          <w:color w:val="000000"/>
          <w:sz w:val="20"/>
        </w:rPr>
        <w:t>As of December 31, 2025, we had paid the full contractual non-refundable upfront fee of CHF 3.0 million and reimbursed costs in the amount of CHF 0.5 million. In December 2024, we achieved two milestones under the agreement for the IND approval and positive topline data readout from the ACUITY trial and recorded a liability of CHF 1.1 million ($1.2 million) in connection with those milestones, which was paid in 2025. The next clinical and regulatory milestone under the Accure Agreement will trigger a payment of CHF 2.1 million ($2.6 million) that the Company expects to pay in 2026. As of December 31, 2025, we could be further obligated to pay Accure (a) up to CHF 87.9 million ($110.9 million at the December 31, 2025 exchange rate) in the aggregate upon the achievement of additional future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amounts that were previously paid or are concurrently or later paid by us to Accure pursuant to our milestone payment obligations and such amounts received from a sublicensee will be deduced from amounts owed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hAnsi="Times New Roman"/>
          <w:i/>
          <w:color w:val="000000"/>
          <w:sz w:val="20"/>
        </w:rPr>
        <w:t>Payment Period</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Accure Agreement, we are obligated to use commercially reasonable efforts to develop and seek regulatory approval for a licensed product in major countries of the territory as defined in the Accure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License Agreement with Novartis for Licaminlimab</w:t>
      </w:r>
    </w:p>
    <w:p>
      <w:pPr>
        <w:pStyle w:val="TextBody"/>
        <w:bidi w:val="0"/>
        <w:spacing w:before="200" w:after="283"/>
        <w:jc w:val="both"/>
        <w:rPr>
          <w:rFonts w:ascii="Times New Roman" w:hAnsi="Times New Roman"/>
          <w:sz w:val="20"/>
        </w:rPr>
      </w:pPr>
      <w:r>
        <w:rPr>
          <w:rFonts w:ascii="Times New Roman" w:hAnsi="Times New Roman"/>
          <w:color w:val="000000"/>
          <w:sz w:val="20"/>
        </w:rPr>
        <w:t>Pursuant to a license agreement, dated as of December 19, 2018, as amended, by and between us and Novartis (the “</w:t>
      </w:r>
      <w:r>
        <w:rPr>
          <w:rFonts w:ascii="Times New Roman" w:hAnsi="Times New Roman"/>
          <w:i/>
          <w:color w:val="000000"/>
          <w:sz w:val="20"/>
        </w:rPr>
        <w:t>Novartis Agreement</w:t>
      </w:r>
      <w:r>
        <w:rPr>
          <w:rFonts w:ascii="Times New Roman" w:hAnsi="Times New Roman"/>
          <w:color w:val="000000"/>
          <w:sz w:val="20"/>
        </w:rPr>
        <w:t>”),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w:t>
      </w:r>
    </w:p>
    <w:p>
      <w:pPr>
        <w:pStyle w:val="TextBody"/>
        <w:bidi w:val="0"/>
        <w:spacing w:before="200" w:after="283"/>
        <w:jc w:val="both"/>
        <w:rPr>
          <w:rFonts w:ascii="Times New Roman" w:hAnsi="Times New Roman"/>
          <w:sz w:val="20"/>
        </w:rPr>
      </w:pPr>
      <w:r>
        <w:rPr>
          <w:rFonts w:ascii="Times New Roman" w:hAnsi="Times New Roman"/>
          <w:color w:val="000000"/>
          <w:sz w:val="20"/>
        </w:rPr>
        <w:t>We originally entered into the Novartis Agreement with Alcon Research, Ltd. (“</w:t>
      </w:r>
      <w:r>
        <w:rPr>
          <w:rFonts w:ascii="Times New Roman" w:hAnsi="Times New Roman"/>
          <w:i/>
          <w:color w:val="000000"/>
          <w:sz w:val="20"/>
        </w:rPr>
        <w:t>Alcon</w:t>
      </w:r>
      <w:r>
        <w:rPr>
          <w:rFonts w:ascii="Times New Roman" w:hAnsi="Times New Roman"/>
          <w:color w:val="000000"/>
          <w:sz w:val="20"/>
        </w:rPr>
        <w:t>”), which subsequently assigned its rights and obligations under the Novartis Agreement to Novartis in connection with its spin-off from Novartis.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w:t>
      </w:r>
    </w:p>
    <w:p>
      <w:pPr>
        <w:pStyle w:val="TextBody"/>
        <w:bidi w:val="0"/>
        <w:spacing w:before="200" w:after="283"/>
        <w:jc w:val="both"/>
        <w:rPr>
          <w:rFonts w:ascii="Times New Roman" w:hAnsi="Times New Roman"/>
          <w:sz w:val="20"/>
        </w:rPr>
      </w:pPr>
      <w:r>
        <w:rPr>
          <w:rFonts w:ascii="Times New Roman" w:hAnsi="Times New Roman"/>
          <w:color w:val="000000"/>
          <w:sz w:val="20"/>
        </w:rPr>
        <w:t>We paid in full the contractual non-refundable upfront payment to Alcon of CHF 4.7 million ($4.7 million at the exchange rate at the time of payment) in cash and issued 401,709 ordinary shares (recast subsequent to the BCA) for the residual between the fair value and the upfront payment. This was accounted for as a share-based payment transaction under IFRS 2. As of December 31, 2025, we could be obligated to pay Novartis up to an additional CHF 76.9 million ($97.0 million at the December 31, 2025 exchange rate)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hAnsi="Times New Roman"/>
          <w:i/>
          <w:color w:val="000000"/>
          <w:sz w:val="20"/>
        </w:rPr>
        <w:t>Royalty Term</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majority of our near term cash needs relate to our clinical and Chemistry, Manufacturing and Controls projects. We have conducted research and development programs through collaborative arrangements that include, among others, arrangements with universities, CROs and clinical research sites. As of December 31, 2025, commitments for external research and development projects totaled CHF 42.0 million, with CHF 31.4 million due within one year and CHF 10.5 million due between one and five years.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enter into agreements in the normal course of business with CROs for clinical trials and with vendors for preclinical studies, manufacturing services, and other services and products for operating purposes, which are generally cancelable upon written notice.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entered into three real estate lease agreements for lab and office facilities. At December 31, 2025, these lease agreements have aggregate lease liabilities of CHF 0.6 million due within one year and CHF 2.4 million due in more than one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Refer to Notes 10, 18 and 20 to our audited consolidated financial statements included elsewhere in this Annual Report for further details on our obligations and timing of expected future payments.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sources and uses of cash and cash equivalents for each of the periods presented:</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3571"/>
        <w:gridCol w:w="1171"/>
        <w:gridCol w:w="237"/>
        <w:gridCol w:w="1171"/>
        <w:gridCol w:w="146"/>
        <w:gridCol w:w="721"/>
        <w:gridCol w:w="146"/>
        <w:gridCol w:w="916"/>
      </w:tblGrid>
      <w:tr>
        <w:trPr/>
        <w:tc>
          <w:tcPr>
            <w:tcW w:w="35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outflow for operating activities</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(66,304)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outflow for investing activities</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278.9%</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inflow for financing activities</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186,918</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246.3%</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Increase (decrease) in cash and cash equivalents</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59,680</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(641.3%)</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cash, cash equivalents and short-term investments were CHF 213.0 million as of December 31, 2025, which represents an increase of CHF 114.3 million from CHF 98.7 million at December 31, 2024. The increase was primarily due to the February 2025 and November 2025 offerings, partially offset by ongoing operations of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operating activities used CHF 66.3 million of cash, primarily consisting of a loss before tax of CHF 99.1 million, partially offset by non-cash adjustments of CHF 33.0 million and working capital adjustments. Non-cash adjustments primarily consisted of CHF 16.0 million of share-based compensation expense, CHF 12.3 million fair value adjustment loss on warrant liabilities, and CHF 4.0 million of financial result comprised primarily of foreign exchange losses on U.S. dollar liquid asset balances during the period and interest income. Working capital adjustments consisted of a CHF 2.3 million decrease in other current assets, driven by a decrease in prepaid clinical and technical development expenses due to the advancements of clinical trials, primarily the OCS-01 DIAMOND-1 and DIAMOND-2 trials in DME which started in December 2023 and February 2024, respectively, and completed enrollment in April 2025, partially offset by a CHF 1.9 million timing related decrease in payables and accrued liabilities, and a CHF 0.4 million increase in accrued income related to Icelandic government research and development cost reimbursements.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2024, operating activities used CHF 48.9 million of cash, primarily consisting of a loss before tax of CHF 85.9 million, partially offset by non-cash adjustments of CHF 23.0 million and working capital adjustments of CHF 14.3 million. The decrease in net working capital was driven by an increase of CHF 9.4 million in accrued expenses and other payables, a decrease in other current assets of CHF 5.0 million due to advancements of clinical trials in 2024 that commenced during the fourth quarter of 2023 which resulted in recording of expenses and lowering of prepaid balances and a CHF 0.2 million decrease in accrued income. Non-cash adjustments primarily consisted of CHF 9.8 million of share-based compensation expense, CHF 15.5 million fair value adjustment loss on warrant liabilities, partially offset by CHF 2.7 million of financial result composed of foreign exchange transactions and interest income.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year ended December 31, 2025, investing activities used CHF 60.9 million in cash, primarily driven by CHF 60.8 million for investments in current fixed term bank deposits, net of maturities, as well as a CHF 1.1 million milestone payment to Accure. These outflows were partially offset by CHF 1.2 million of interest received on short term financial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2024, investing activities used CHF 16.1 million in cash, primarily consisting of CHF 17.3 million for investments in current fixed term bank deposits, net of maturities, partially offset by CHF 1.5 million of interest received on short term financial assets.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net cash provided by financing activities was CHF 186.9 million, which primarily consisted of CHF 178.9 million of net proceeds received from the issuance and sale of shares in the February 2025 and November 2025 underwritten offerings, CHF 19.8 million received from the exercise of warrants and CHF 1.9 million of proceeds from the exercise of stock options, partially offset by CHF 13.2 million of transaction costs related to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2024, net cash provided by financing activities was CHF 54.0 million, which primarily consisted of proceeds received from the issuance and sale of shares in a registered direct offering.</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a discussion of our cash flows for the year ended December 31, 2023, see Item 5. </w:t>
      </w:r>
      <w:r>
        <w:rPr>
          <w:rFonts w:ascii="Times New Roman" w:hAnsi="Times New Roman"/>
          <w:i/>
          <w:color w:val="000000"/>
          <w:sz w:val="20"/>
        </w:rPr>
        <w:t>"Operating and Financial Review and Prospects—B. Liquidity and Capital Resources”</w:t>
      </w:r>
      <w:r>
        <w:rPr>
          <w:rFonts w:ascii="Times New Roman" w:hAnsi="Times New Roman"/>
          <w:color w:val="000000"/>
          <w:sz w:val="20"/>
        </w:rPr>
        <w:t xml:space="preserve"> in our Annual Report on Form 20-F filed with the SEC on March 11,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 Research and Development, Patents and Licenses, etc.</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Full details of our research and development activities and expenditures are given in the section titled </w:t>
      </w:r>
      <w:r>
        <w:rPr>
          <w:rFonts w:ascii="Times New Roman" w:hAnsi="Times New Roman"/>
          <w:i/>
          <w:color w:val="000000"/>
          <w:sz w:val="20"/>
        </w:rPr>
        <w:t>"Information on the Company—Business Overview”</w:t>
      </w:r>
      <w:r>
        <w:rPr>
          <w:rFonts w:ascii="Times New Roman" w:hAnsi="Times New Roman"/>
          <w:color w:val="000000"/>
          <w:sz w:val="20"/>
        </w:rPr>
        <w:t xml:space="preserve"> of the section </w:t>
      </w:r>
      <w:r>
        <w:rPr>
          <w:rFonts w:ascii="Times New Roman" w:hAnsi="Times New Roman"/>
          <w:i/>
          <w:color w:val="000000"/>
          <w:sz w:val="20"/>
        </w:rPr>
        <w:t xml:space="preserve">"Business Update" </w:t>
      </w:r>
      <w:r>
        <w:rPr>
          <w:rFonts w:ascii="Times New Roman" w:hAnsi="Times New Roman"/>
          <w:color w:val="000000"/>
          <w:sz w:val="20"/>
        </w:rPr>
        <w:t xml:space="preserve">and in the section titled </w:t>
      </w:r>
      <w:r>
        <w:rPr>
          <w:rFonts w:ascii="Times New Roman" w:hAnsi="Times New Roman"/>
          <w:i/>
          <w:color w:val="000000"/>
          <w:sz w:val="20"/>
        </w:rPr>
        <w:t>"Operating and Financial Review and Prospects”</w:t>
      </w:r>
      <w:r>
        <w:rPr>
          <w:rFonts w:ascii="Times New Roman" w:hAnsi="Times New Roman"/>
          <w:color w:val="000000"/>
          <w:sz w:val="20"/>
        </w:rPr>
        <w:t xml:space="preserve"> of this section </w:t>
      </w:r>
      <w:r>
        <w:rPr>
          <w:rFonts w:ascii="Times New Roman" w:hAnsi="Times New Roman"/>
          <w:i/>
          <w:color w:val="000000"/>
          <w:sz w:val="20"/>
        </w:rPr>
        <w:t>"Financial Review."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 Trend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pStyle w:val="Heading2"/>
        <w:bidi w:val="0"/>
        <w:spacing w:before="200" w:after="283"/>
        <w:jc w:val="both"/>
        <w:rPr>
          <w:rFonts w:ascii="Times New Roman" w:hAnsi="Times New Roman"/>
          <w:i/>
          <w:color w:val="000000"/>
          <w:sz w:val="20"/>
        </w:rPr>
      </w:pPr>
      <w:r>
        <w:rPr>
          <w:rFonts w:ascii="Times New Roman" w:hAnsi="Times New Roman"/>
          <w:i/>
          <w:color w:val="000000"/>
          <w:sz w:val="20"/>
        </w:rPr>
        <w:t>E. 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prepared our consolidated financial statements in accordance with IFRS Accounting Standards as issued by the IASB. Refer to Note 3 and 4 to our audited consolidated financial statements included elsewhere in this Annual Report for further details on the most significant accounting policies applied in the preparation of our consolidated financial statements and our critical accounting estimates and judgments.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Heading2"/>
        <w:bidi w:val="0"/>
        <w:spacing w:before="200" w:after="283"/>
        <w:jc w:val="left"/>
        <w:rPr/>
      </w:pPr>
      <w:r>
        <w:rPr/>
        <w:drawing>
          <wp:inline distT="0" distB="0" distL="0" distR="0">
            <wp:extent cx="1476375" cy="400050"/>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31"/>
                    <a:stretch>
                      <a:fillRect/>
                    </a:stretch>
                  </pic:blipFill>
                  <pic:spPr bwMode="auto">
                    <a:xfrm>
                      <a:off x="0" y="0"/>
                      <a:ext cx="1476375" cy="400050"/>
                    </a:xfrm>
                    <a:prstGeom prst="rect">
                      <a:avLst/>
                    </a:prstGeom>
                  </pic:spPr>
                </pic:pic>
              </a:graphicData>
            </a:graphic>
          </wp:inline>
        </w:drawing>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32"/>
        </w:rPr>
      </w:pPr>
      <w:bookmarkStart w:id="13" w:name="corporate_governance"/>
      <w:bookmarkEnd w:id="13"/>
      <w:r>
        <w:rPr>
          <w:rFonts w:ascii="Times New Roman" w:hAnsi="Times New Roman"/>
          <w:color w:val="000000"/>
          <w:sz w:val="32"/>
        </w:rPr>
        <w:t>Corporate Governance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1. Directors, Senior Management and Employees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Directors and senior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current executive committee members and directors of Oculis as of the filing date. Unless otherwise noted, the business address of each of our directors and executive committee members is Bahnhofstrasse 20, 6300 Zug, Switzerland.</w:t>
      </w:r>
    </w:p>
    <w:p>
      <w:pPr>
        <w:pStyle w:val="TextBody"/>
        <w:bidi w:val="0"/>
        <w:spacing w:before="200" w:after="283"/>
        <w:jc w:val="both"/>
        <w:rPr/>
      </w:pPr>
      <w:r>
        <w:rPr/>
        <w:t> </w:t>
      </w:r>
    </w:p>
    <w:tbl>
      <w:tblPr>
        <w:tblW w:w="5582" w:type="dxa"/>
        <w:jc w:val="left"/>
        <w:tblInd w:w="0" w:type="dxa"/>
        <w:tblLayout w:type="fixed"/>
        <w:tblCellMar>
          <w:top w:w="28" w:type="dxa"/>
          <w:left w:w="28" w:type="dxa"/>
          <w:bottom w:w="28" w:type="dxa"/>
          <w:right w:w="28" w:type="dxa"/>
        </w:tblCellMar>
      </w:tblPr>
      <w:tblGrid>
        <w:gridCol w:w="1951"/>
        <w:gridCol w:w="146"/>
        <w:gridCol w:w="146"/>
        <w:gridCol w:w="286"/>
        <w:gridCol w:w="146"/>
        <w:gridCol w:w="146"/>
        <w:gridCol w:w="27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Non-Employee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Rosenberg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 of Directors</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Christina Ackermann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Lionel Carnot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Arshad M. Khanani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Martijn Kleijwegt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Geraldine O’Keeffe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K. Warner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Executive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Riad Sherif,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and Director</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Sylvia Cheung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Páll Ragnar Jóhannesson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Business Officer</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Non-Employee Directors</w:t>
      </w:r>
    </w:p>
    <w:p>
      <w:pPr>
        <w:pStyle w:val="TextBody"/>
        <w:bidi w:val="0"/>
        <w:spacing w:before="200" w:after="283"/>
        <w:jc w:val="both"/>
        <w:rPr>
          <w:rFonts w:ascii="Times New Roman" w:hAnsi="Times New Roman"/>
          <w:sz w:val="20"/>
        </w:rPr>
      </w:pPr>
      <w:r>
        <w:rPr>
          <w:rFonts w:ascii="Times New Roman" w:hAnsi="Times New Roman"/>
          <w:i/>
          <w:color w:val="000000"/>
          <w:sz w:val="20"/>
        </w:rPr>
        <w:t>Anthony Rosenberg,</w:t>
      </w:r>
      <w:r>
        <w:rPr>
          <w:rFonts w:ascii="Times New Roman" w:hAnsi="Times New Roman"/>
          <w:color w:val="000000"/>
          <w:sz w:val="20"/>
        </w:rPr>
        <w:t xml:space="preserve"> 73, has served as Chairman of the board of directors of Oculis since April 2018. Since April 2015, Mr. Rosenberg has served as the 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Cullinan Therapeutics Inc. (previously Cullinan Oncology) and Nuclidium AG. Mr. Rosenberg previously served on the boards of directors of </w:t>
      </w:r>
      <w:r>
        <w:rPr>
          <w:rFonts w:ascii="Times New Roman" w:hAnsi="Times New Roman"/>
          <w:color w:val="212529"/>
          <w:sz w:val="20"/>
        </w:rPr>
        <w:t xml:space="preserve">SiO2 Materials Science, </w:t>
      </w:r>
      <w:r>
        <w:rPr>
          <w:rFonts w:ascii="Times New Roman" w:hAnsi="Times New Roman"/>
          <w:color w:val="000000"/>
          <w:sz w:val="20"/>
        </w:rPr>
        <w:t xml:space="preserve">TriNetX and Radius Health, Inc. Mr. Rosenberg holds a B.Sc. (Hons) from the University of Leicester and a M.Sc. in Physiology from the University of London. </w:t>
      </w:r>
    </w:p>
    <w:p>
      <w:pPr>
        <w:pStyle w:val="TextBody"/>
        <w:bidi w:val="0"/>
        <w:spacing w:before="200" w:after="283"/>
        <w:jc w:val="both"/>
        <w:rPr>
          <w:rFonts w:ascii="Times New Roman" w:hAnsi="Times New Roman"/>
          <w:sz w:val="20"/>
        </w:rPr>
      </w:pPr>
      <w:r>
        <w:rPr>
          <w:rFonts w:ascii="Times New Roman" w:hAnsi="Times New Roman"/>
          <w:i/>
          <w:color w:val="000000"/>
          <w:sz w:val="20"/>
        </w:rPr>
        <w:t>Christina Ackermann,</w:t>
      </w:r>
      <w:r>
        <w:rPr>
          <w:rFonts w:ascii="Times New Roman" w:hAnsi="Times New Roman"/>
          <w:color w:val="000000"/>
          <w:sz w:val="20"/>
        </w:rPr>
        <w:t xml:space="preserve"> 61, has served as a member of the board of directors of Oculis since March 2023. Ms. Ackermann serves as the Chair of the board of directors of Virometix, and sits on the Audit Committee and Chairs the Remuneration Committee at Virometix. From January 2022 to May 2023, Ms. Ackermann served as Executive Vice President, General Counsel &amp; President of Ophthalmic Pharmaceuticals at Bausch + Lomb. Ms. Ackermann joined Bausch Health as Executive Vice President, General Counsel, in August 2016. Prior to Bausch Health, Ms. Ackermann was part of the Novartis group of companies for 14 years, most recently serving as Senior Vice President, General Counsel for Alcon, where she was responsible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From August 2021 to March 2023, Ms. Ackermann served on the board of directors of Graybug Vision, where she was Chair of the Nominating and Corporate Governance Committee and a member of the Compensation Committee. Between March 2022 and January 2024, Ms. Ackermann served on the American Glaucoma Society Foundation Advisory Board. From September 2023 to October 2025, Ms. Ackermann served on the board of directors of Verona Pharma, where she was a member of the Commercial Committee and the Audit Committee. Ms. Ackermann holds an LL.B in law from Queen’s University in Ontario, Canada and a post graduate degree in EU competition law from King’s College in London, England.</w:t>
      </w:r>
    </w:p>
    <w:p>
      <w:pPr>
        <w:pStyle w:val="TextBody"/>
        <w:bidi w:val="0"/>
        <w:spacing w:before="200" w:after="283"/>
        <w:jc w:val="both"/>
        <w:rPr>
          <w:rFonts w:ascii="Times New Roman" w:hAnsi="Times New Roman"/>
          <w:sz w:val="20"/>
        </w:rPr>
      </w:pPr>
      <w:r>
        <w:rPr>
          <w:rFonts w:ascii="Times New Roman" w:hAnsi="Times New Roman"/>
          <w:i/>
          <w:color w:val="000000"/>
          <w:sz w:val="20"/>
        </w:rPr>
        <w:t>Lionel Carnot,</w:t>
      </w:r>
      <w:r>
        <w:rPr>
          <w:rFonts w:ascii="Times New Roman" w:hAnsi="Times New Roman"/>
          <w:color w:val="000000"/>
          <w:sz w:val="20"/>
        </w:rPr>
        <w:t xml:space="preserve"> 58, has served as a member of the board of directors of Oculis since December 2017. Since March 2012, Mr. Carnot has served as Partner of Earlybird Venture Capital. Additionally, from 2005, Mr. Carnot served as a Managing Director of Bay City Capital LLC until 2020.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Senior Consultant of Accenture. Before that, from 1989 to 1991, Mr. Carnot served as a sales and marketing professional at Rhone-Poulenc. Mr. Carnot currently serves on the board of directors of Priothera. Mr. Carnot previously served on the board of directors of Atlantic Therapeutics, Merus, Interleukin Genetics, Madrigal Pharmaceuticals Inc., Nabsys, Bioseek, Pathway Diagnostics, Reliant Pharmaceuticals, IQONE Healthcare, and iSTAR Medical. Mr. Carnot holds an MBA with Distinction from INSEAD and a M.Sc. in Molecular Biology from the University of Geneva. </w:t>
      </w:r>
    </w:p>
    <w:p>
      <w:pPr>
        <w:pStyle w:val="TextBody"/>
        <w:bidi w:val="0"/>
        <w:spacing w:before="200" w:after="283"/>
        <w:jc w:val="both"/>
        <w:rPr>
          <w:rFonts w:ascii="Times New Roman" w:hAnsi="Times New Roman"/>
          <w:sz w:val="20"/>
        </w:rPr>
      </w:pPr>
      <w:r>
        <w:rPr>
          <w:rFonts w:ascii="Times New Roman" w:hAnsi="Times New Roman"/>
          <w:i/>
          <w:color w:val="000000"/>
          <w:sz w:val="20"/>
        </w:rPr>
        <w:t>Arshad M. Khanani, M.D.</w:t>
      </w:r>
      <w:r>
        <w:rPr>
          <w:rFonts w:ascii="Times New Roman" w:hAnsi="Times New Roman"/>
          <w:color w:val="000000"/>
          <w:sz w:val="20"/>
        </w:rPr>
        <w:t>, 47, has served as a member of the board of directors of Oculis since May 2024. Dr. Khanani founded the clinical research section at Sierra Eye Associates, and currently serves as its Managing Partner, Director of Clinical Research, and Director of Fellowship. He has been a principal investigator for more than 120 clinical trials and a top enroller in the United States for multiple Phase 1-3 trials. He is also a Clinical Professor at the University of Nevada, Reno School of Medicine and is an elected member of the Retina Society, Macula Society. Dr. Khanani completed his Fellowship in Vitreo-Retinal Diseases and Surgery at the UT Southwestern Medical Center, his Chief Resident in Ophthalmology and his Ophthalmology Residency Program at Texas Tech University Health Sciences Center, where he also received his Doctor of Medicine (M.D.) degree. Dr. Khanani completed an Internship in Internal Medicine at Baylor College and received a Master and Bachelor of Arts (M.A. and B.A.) in Chemistry from Washington University in St. Louis.</w:t>
      </w:r>
    </w:p>
    <w:p>
      <w:pPr>
        <w:pStyle w:val="TextBody"/>
        <w:bidi w:val="0"/>
        <w:spacing w:before="200" w:after="283"/>
        <w:jc w:val="both"/>
        <w:rPr>
          <w:rFonts w:ascii="Times New Roman" w:hAnsi="Times New Roman"/>
          <w:sz w:val="20"/>
        </w:rPr>
      </w:pPr>
      <w:r>
        <w:rPr>
          <w:rFonts w:ascii="Times New Roman" w:hAnsi="Times New Roman"/>
          <w:i/>
          <w:color w:val="000000"/>
          <w:sz w:val="20"/>
        </w:rPr>
        <w:t>Martijn Kleijwegt,</w:t>
      </w:r>
      <w:r>
        <w:rPr>
          <w:rFonts w:ascii="Times New Roman" w:hAnsi="Times New Roman"/>
          <w:color w:val="000000"/>
          <w:sz w:val="20"/>
        </w:rPr>
        <w:t xml:space="preserve"> 71, has served as a member of the board of directors of Oculis since March 2023. Previously, he served as a member and the Chairman of the EBAC Board from EBAC’s inception in January 2021 to March 2023. Mr. Kleijwegt founded LSP in 1998 and is currently a partner at EQT Life Sciences (f/k/a Life Science Partners). Mr. Kleijwegt has over 30 years of hands-on finance and investment experience. Mr. Kleijwegt currently serves on the boards of Vico Therapeutics International BV, AM-Pharma Holding BV, Avidicure Holding BV, Pantera NV and LSP Advisory BV. Mr. Kleijwegt previously served on the board of directors of OxThera AB and Vicentra BV. Mr. Kleijwegt has a master’s degree in Economics from Amsterdam University. </w:t>
      </w:r>
    </w:p>
    <w:p>
      <w:pPr>
        <w:pStyle w:val="TextBody"/>
        <w:bidi w:val="0"/>
        <w:spacing w:before="200" w:after="283"/>
        <w:jc w:val="both"/>
        <w:rPr>
          <w:rFonts w:ascii="Times New Roman" w:hAnsi="Times New Roman"/>
          <w:sz w:val="20"/>
        </w:rPr>
      </w:pPr>
      <w:r>
        <w:rPr>
          <w:rFonts w:ascii="Times New Roman" w:hAnsi="Times New Roman"/>
          <w:i/>
          <w:color w:val="000000"/>
          <w:sz w:val="20"/>
        </w:rPr>
        <w:t>Geraldine O’Keeffe, 59</w:t>
      </w:r>
      <w:r>
        <w:rPr>
          <w:rFonts w:ascii="Times New Roman" w:hAnsi="Times New Roman"/>
          <w:color w:val="000000"/>
          <w:sz w:val="20"/>
        </w:rPr>
        <w:t xml:space="preserve">, has served as a member of the board of directors of Oculis since March 2023. Ms. O’Keeffe joined LSP in 2008. She became a Partner of the firm in 2010. Ms. O’Keeffe’s prime focus and responsibility within LSP is to invest in listed securities. Prior to joining LSP, she held the position of Senior Healthcare Analyst at Fortis Investment Banking. In that position, she researched a wide range of innovative life sciences companies, both in Europe and the US.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From July 2022 to July 2025, Ms. O’Keeffe served on the board of directors of T-Knife Therapeutics, where she was a member of the Audit Committee.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 </w:t>
      </w:r>
    </w:p>
    <w:p>
      <w:pPr>
        <w:pStyle w:val="TextBody"/>
        <w:bidi w:val="0"/>
        <w:spacing w:before="200" w:after="283"/>
        <w:jc w:val="both"/>
        <w:rPr>
          <w:rFonts w:ascii="Times New Roman" w:hAnsi="Times New Roman"/>
          <w:sz w:val="20"/>
        </w:rPr>
      </w:pPr>
      <w:r>
        <w:rPr>
          <w:rFonts w:ascii="Times New Roman" w:hAnsi="Times New Roman"/>
          <w:i/>
          <w:color w:val="000000"/>
          <w:sz w:val="20"/>
        </w:rPr>
        <w:t>Robert K. Warner</w:t>
      </w:r>
      <w:r>
        <w:rPr>
          <w:rFonts w:ascii="Times New Roman" w:hAnsi="Times New Roman"/>
          <w:color w:val="000000"/>
          <w:sz w:val="20"/>
        </w:rPr>
        <w:t>, 59, has served as a member of the board of directors of Oculis since May 2024. Mr. Warner serves on the board of another public company, RXSight, Inc., where he also serves as chair of the nominating and corporate governance committee. In addition, Mr. Warner serves on the board of three private medical device companies, i-Lumen Scientific, where he is also a member of the compensation committee, EyeYon Medical, where he also serves as chairman of the board, and Qlaris Bio. From March 2022 to February 2025, Mr. Warner served on the board of INARI Medical Inc., where he also served as a member of the audit committee. Mr. Warner served as President and General Manager of Alcon Vision Care Franchise Alcon Laboratories from August 2015 until February 2018. Prior to that, Mr. Warner served as President, U.S. and Canada, for Alcon from January 2012 to July 2015 and as President, Canada and Latin America, for Alcon from November 2010 to January 2012. From January 2005 to October 2010, Mr. Warner served in increasing positions of responsibility for Alcon. Mr. Warner was a member of the Alcon Executive Leadership Team for over 10 years and led the Alcon transition from Nestle to Novartis majority ownership. Mr. Warner holds a B.S. in Chemistry from Pace University and an MBA from Rutgers University.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Executive Committee Members</w:t>
      </w:r>
    </w:p>
    <w:p>
      <w:pPr>
        <w:pStyle w:val="TextBody"/>
        <w:bidi w:val="0"/>
        <w:spacing w:before="200" w:after="283"/>
        <w:jc w:val="both"/>
        <w:rPr>
          <w:rFonts w:ascii="Times New Roman" w:hAnsi="Times New Roman"/>
          <w:sz w:val="20"/>
        </w:rPr>
      </w:pPr>
      <w:r>
        <w:rPr>
          <w:rFonts w:ascii="Times New Roman" w:hAnsi="Times New Roman"/>
          <w:i/>
          <w:color w:val="000000"/>
          <w:sz w:val="20"/>
        </w:rPr>
        <w:t>Riad Sherif, M.D.,</w:t>
      </w:r>
      <w:r>
        <w:rPr>
          <w:rFonts w:ascii="Times New Roman" w:hAnsi="Times New Roman"/>
          <w:color w:val="000000"/>
          <w:sz w:val="20"/>
        </w:rPr>
        <w:t xml:space="preserve"> 58, has served as the Chief Executive Officer and member of the board of directors of Oculis since December 2017. Previously, from June 2016 to September 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and Novartis Country President. Prior to Novartis, Dr. Sherif worked for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several pharmaceutical companies, holding positions of increasing seniority, mainly in marketing and general management with international scope. Dr. Sherif currently serves as a member of the board of directors of Revenio Group Oyi.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w:t>
      </w:r>
    </w:p>
    <w:p>
      <w:pPr>
        <w:pStyle w:val="TextBody"/>
        <w:bidi w:val="0"/>
        <w:spacing w:before="200" w:after="283"/>
        <w:jc w:val="both"/>
        <w:rPr>
          <w:rFonts w:ascii="Times New Roman" w:hAnsi="Times New Roman"/>
          <w:sz w:val="20"/>
        </w:rPr>
      </w:pPr>
      <w:r>
        <w:rPr>
          <w:rFonts w:ascii="Times New Roman" w:hAnsi="Times New Roman"/>
          <w:i/>
          <w:color w:val="000000"/>
          <w:sz w:val="20"/>
        </w:rPr>
        <w:t>Sylvia Cheung, 51</w:t>
      </w:r>
      <w:r>
        <w:rPr>
          <w:rFonts w:ascii="Times New Roman" w:hAnsi="Times New Roman"/>
          <w:color w:val="000000"/>
          <w:sz w:val="20"/>
        </w:rPr>
        <w:t>, has served as the Chief Financial Officer of Oculis since September 2020. Prior to that, from October 2005 to August 2020, Ms. Cheung held executive positions at Anika Therapeutics, Inc., a publicly-traded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w:t>
      </w:r>
    </w:p>
    <w:p>
      <w:pPr>
        <w:pStyle w:val="TextBody"/>
        <w:bidi w:val="0"/>
        <w:spacing w:before="200" w:after="283"/>
        <w:jc w:val="both"/>
        <w:rPr>
          <w:rFonts w:ascii="Times New Roman" w:hAnsi="Times New Roman"/>
          <w:sz w:val="20"/>
        </w:rPr>
      </w:pPr>
      <w:r>
        <w:rPr>
          <w:rFonts w:ascii="Times New Roman" w:hAnsi="Times New Roman"/>
          <w:i/>
          <w:color w:val="000000"/>
          <w:sz w:val="20"/>
        </w:rPr>
        <w:t>Páll Ragnar Jóhannesson,</w:t>
      </w:r>
      <w:r>
        <w:rPr>
          <w:rFonts w:ascii="Times New Roman" w:hAnsi="Times New Roman"/>
          <w:color w:val="000000"/>
          <w:sz w:val="20"/>
        </w:rPr>
        <w:t xml:space="preserve"> 45, has served as the Chief Business Officer of Oculis since January 2024. Previously, from September 2020 to January 2024, Mr. Jóhannesson served as the Chief Strategy Officer of Oculis, and from January 2018 to September 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currently serves as a director of Tæknisetur ehf. Mr. Jóhannesson holds a B.Sc. in Industrial Engineering from the University of Iceland, an M.Phil in Management Science from the University of Cambridge, and was certified as securities broker in Iceland.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are no family relationships among any of our executive committee members or directors. </w:t>
      </w:r>
    </w:p>
    <w:p>
      <w:pPr>
        <w:pStyle w:val="TextBody"/>
        <w:bidi w:val="0"/>
        <w:spacing w:before="200" w:after="283"/>
        <w:jc w:val="both"/>
        <w:rPr>
          <w:rFonts w:ascii="Times New Roman" w:hAnsi="Times New Roman"/>
          <w:sz w:val="20"/>
        </w:rPr>
      </w:pPr>
      <w:r>
        <w:rPr>
          <w:rFonts w:ascii="Times New Roman" w:hAnsi="Times New Roman"/>
          <w:b/>
          <w:color w:val="000000"/>
          <w:sz w:val="20"/>
        </w:rPr>
        <w:t>Corporate Governance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structured our corporate governance in a manner we believe closely aligns our interests with those of our shareholders. Notable features of this corporate governance include: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seven independent directors and our audit, remuneration, and nomination and governance committees are composed entirely of independent directors. Our independent directors meet regularly without the presence of our corporate officers or non-independent directors;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least one of our independent directors qualifies as an “audit committee financial expert” as defined by the SEC;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implemented a range of other corporate governance practices.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Compensation of Members of the Executive Committee</w:t>
      </w:r>
    </w:p>
    <w:p>
      <w:pPr>
        <w:pStyle w:val="TextBody"/>
        <w:bidi w:val="0"/>
        <w:spacing w:before="200" w:after="283"/>
        <w:jc w:val="both"/>
        <w:rPr>
          <w:rFonts w:ascii="Times New Roman" w:hAnsi="Times New Roman"/>
          <w:sz w:val="20"/>
        </w:rPr>
      </w:pPr>
      <w:r>
        <w:rPr>
          <w:rFonts w:ascii="Times New Roman" w:hAnsi="Times New Roman"/>
          <w:color w:val="000000"/>
          <w:sz w:val="20"/>
        </w:rPr>
        <w:t>Historically, our executive compensation program has reflected our innovative growth and development-oriented corporate culture. To date, the compensation of our Chief Executive Officer and our other executive committee members has consisted of a combination of base salary, bonus and long-term equity incentive compensation in the form of restricted stock units (“</w:t>
      </w:r>
      <w:r>
        <w:rPr>
          <w:rFonts w:ascii="Times New Roman" w:hAnsi="Times New Roman"/>
          <w:i/>
          <w:color w:val="000000"/>
          <w:sz w:val="20"/>
        </w:rPr>
        <w:t>RSUs</w:t>
      </w:r>
      <w:r>
        <w:rPr>
          <w:rFonts w:ascii="Times New Roman" w:hAnsi="Times New Roman"/>
          <w:color w:val="000000"/>
          <w:sz w:val="20"/>
        </w:rPr>
        <w:t>”) and/or stock options. Our executive committee members who are full-time employees, like all other full-time employees, are participants in applicable retirement plans in the jurisdiction in which they reside. We evaluate our compensation values and philosophy and compensation plans and arrangements as circumstances merit. We review executive committee compensation periodically with input from a third-party compensation consultant. As part of this review process, the board of directors and the remuneration committee apply our values and philosophy, while considering the compensation levels needed to ensure our executive compensation program remains competitive with our peers. In connection with our executive compensation program, we also review whether we are meeting our retention objectives and the potential cost of replacing a key employee.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use base salaries to recognize the experience, skills, knowledge and responsibilities required of all our executive committee members. Base salaries are reviewed annually by the remuneration committee, typically in connection with our annual performance review process, and adjusted from time to time to align salaries with market levels after taking into account individual responsibilities, performance and experience, as well as the results of external benchmarking. In addition, our executive committee members are entitled to annual cash bonuses for their performance over the fiscal year, based on goals established by our board of directors. Furthermore, we have a formal process with respect to the grant of equity incentive awards to our employees, including members of our executive committee. We believe that equity incentive awards provide our employees with a strong link to our long-term performance, create an ownership culture and help to align the interests of our employees, including our executive committee members, and our stockholders. In addition, we believe that equity incentive awards with time-based vesting features promote employee retention because this feature incentivizes our employees, including our executive committee members, to remain in our employment during the vesting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Swiss law, we are required to submit the aggregate amount of compensation of our executive officers to a binding say-on-pay vote by our shareholders.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Adoption of Clawback Policy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in accordance with Rule 10D-1 promulgated under the Exchange Act and Nasdaq Listing Rule 5608, we adopted an Incentive Compensation Recoupment Policy which is incorporated by reference herewith at Exhibit 97.1.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Compensation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adopted a board of directors’ compensation policy that is designed to enable us to attract and retain, on a long-term basis, highly qualified non-employee directors. As of December 31, 2025, we pay each eligible director who is not an employee of the Company annual cash retainers, as set forth below. Lionel Carnot, Martijn Kleijwegt and Geraldine O’Keeffe did not receive any compensation for their services on the Board of Directors during the year ended December 31, 2025 due to policy requirements of their employers which are investors in the Company.</w:t>
      </w:r>
    </w:p>
    <w:p>
      <w:pPr>
        <w:pStyle w:val="TextBody"/>
        <w:bidi w:val="0"/>
        <w:jc w:val="both"/>
        <w:rPr/>
      </w:pPr>
      <w:r>
        <w:rPr/>
        <w:t> </w:t>
      </w:r>
    </w:p>
    <w:tbl>
      <w:tblPr>
        <w:tblW w:w="5978" w:type="dxa"/>
        <w:jc w:val="left"/>
        <w:tblInd w:w="0" w:type="dxa"/>
        <w:tblLayout w:type="fixed"/>
        <w:tblCellMar>
          <w:top w:w="28" w:type="dxa"/>
          <w:left w:w="28" w:type="dxa"/>
          <w:bottom w:w="28" w:type="dxa"/>
          <w:right w:w="28" w:type="dxa"/>
        </w:tblCellMar>
      </w:tblPr>
      <w:tblGrid>
        <w:gridCol w:w="3676"/>
        <w:gridCol w:w="146"/>
        <w:gridCol w:w="481"/>
        <w:gridCol w:w="1484"/>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Annual Cash Retainer</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Board of Directors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Board of Directors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Audit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Audit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Remuneration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Remuneration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Nomination and Governance Committee 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Nomination and Governance Committee 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In addition, each eligible director elected or appointed to our board of directors is eligible to participate in the Stock Option and Incentive Plan Regulation 2023 of the Company (the “</w:t>
      </w:r>
      <w:r>
        <w:rPr>
          <w:rFonts w:ascii="Times New Roman" w:hAnsi="Times New Roman"/>
          <w:i/>
          <w:color w:val="000000"/>
          <w:sz w:val="20"/>
        </w:rPr>
        <w:t>2023 Plan</w:t>
      </w:r>
      <w:r>
        <w:rPr>
          <w:rFonts w:ascii="Times New Roman" w:hAnsi="Times New Roman"/>
          <w:color w:val="000000"/>
          <w:sz w:val="20"/>
        </w:rPr>
        <w:t xml:space="preserve">”), subject to its terms and conditions as approved and amended by our board of directors from time to time. Upon joining Oculis, we issue to eligible directors a one-time equity incentive award in the form of RSUs, stock options or similar awards under the 2023 Plan or other equity incentive plans then in effect, at an estimated equity value of $400,000. The exact number of options to be granted and the vesting schedule shall be determined by the Board in the grant notice in its free discretion and only such grant notice shall have legal effect. We will also issue to eligible directors an annual equity incentive award in the form of RSU’s, stock options or similar awards under the 2023 Plan or other equity incentive plans then in effect, at an estimated equity value of $250,000, generally granted on the date of our annual general meeting.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eligible directors are not eligible to any benefits other than those set out in the directors compensation policy, unless our board of directors decides otherwise. We reimburse all reasonable expenses in accordance with the terms and conditions of our travel and expense policy then in effect.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Swiss law, we are required to submit the aggregate amount of compensation of our board of directors to a binding say-on-pay vote by our shareholders.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Compensation of Directors and Executive Committee Members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the aggregate compensation earned by the members of our board of directors and our executive committee members for services in all capacities was CHF 14.3 million.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fees, salaries and other short-term employee benefits earned by the members of our board of directors and our executive committee members was CHF 2.5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contributed by us to provide post-employment benefits to executive committee members amounted to a total of CHF 0.2 million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293,210 options to purchase ordinary shares and 470,048 RSUs were granted to members of our board of directors and members of our executive committee for a total fair value of CHF 11.5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See Note 13 to our audited consolidated financial statements included elsewhere in this Annual Report for further details regarding the share options, stock appreciation rights and RSUs, including the exercise price and the expiration date. </w:t>
      </w:r>
    </w:p>
    <w:p>
      <w:pPr>
        <w:pStyle w:val="TextBody"/>
        <w:bidi w:val="0"/>
        <w:spacing w:before="200" w:after="283"/>
        <w:jc w:val="both"/>
        <w:rPr>
          <w:rFonts w:ascii="Times New Roman" w:hAnsi="Times New Roman"/>
          <w:sz w:val="20"/>
        </w:rPr>
      </w:pPr>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board of directors is responsible for overseeing our risk management process. The board of directors focuses on our general risk management strategy, the most significant risks, and oversees the implementation of risk mitigation strategies by management, including oversight of cybersecurity risk assessment and risk management. The audit committee is also responsible for discussing our policies with respect to risk assessment and risk management. The board of directors believes its administration of its risk oversight function has not negatively affected the board of directors’ leadership structure.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adopted a Code of Business Conduct and Ethics applicable to the directors, executive committee members and employees that complies with the rules and regulations of the United States Nasdaq Global Market, the Nasdaq Iceland Main Market and the SEC. The Code of Business Conduct and Ethics is available on our website. In addition, we posted on the Corporate Governance section of our website all disclosures that are required by law or United States Nasdaq Global Market listing standards concerning any amendments to, or waivers from, any provision of the Code of Business Conduct and Ethics. The reference to our website address in this Annual Report does not include or incorporate by reference the information on our website into this Annual Report.</w:t>
      </w:r>
    </w:p>
    <w:p>
      <w:pPr>
        <w:pStyle w:val="TextBody"/>
        <w:bidi w:val="0"/>
        <w:spacing w:before="200" w:after="283"/>
        <w:jc w:val="both"/>
        <w:rPr>
          <w:rFonts w:ascii="Times New Roman" w:hAnsi="Times New Roman"/>
          <w:sz w:val="20"/>
        </w:rPr>
      </w:pPr>
      <w:r>
        <w:rPr>
          <w:rFonts w:ascii="Times New Roman" w:hAnsi="Times New Roman"/>
          <w:b/>
          <w:color w:val="000000"/>
          <w:sz w:val="20"/>
        </w:rPr>
        <w:t>Stock Option and Incentive Plan Regulation 2023</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2023 Plan was approved by our board of directors on March 2, 2023 and amended in May 2024, and provides for the grant of options, restricted stock awards, restricted stock units and stock appreciation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purpose of the 2023 Plan is to attract and retain highly qualified personnel and to provide key employees, directors and consultants with additional incentive to increase their efforts on behalf of and in the best interest of us and our subsidiaries by giving them the opportunity to acquire a proprietary interest in us. The terms of the 2023 Plan are described in more detail below.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determine (i) which eligible persons are to receive awards under the 2023 Plan, (ii) the time or times when such award grants are to be made, (iii) the nature of the shares and the number of awards covered by each such grant, (iv) the time or times at which each option or stock appreciation right is to become exercisable, (v) the vesting conditions applicable to the awards, (vi) the maximum term for which the options or rights are to remain outstanding, and (vii) any terms and conditions of any restricted stock award, in each case, subject to the guidelines set and approved by our board of directors or a committee thereof. Persons eligible to participate in our 2023 Plan are employees, members of the board of directors and consultants of Oculis or a subsidiary.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2023 Plan provides for up to 12,480,000 registered shares to be reserved and available for grant or issuance. In the event registered shares that otherwise would have been issuable under the 2023 Plan are withheld by us in payment of the exercise price or withholding obligations, such shares shall remain available for issuance under the 2023 Plan. In the event that an outstanding award expires or is cancelled, forfeited or terminated for any reason, the shares allocable to the unexercised or unsettled portion shall remain available for issuance under the 2023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participant may only exercise an option or stock appreciation right to the extent that the option or stock appreciation right has vested and has not lapsed under the 2023 Plan. Unless otherwise determined by our board of directors at the grant date or as set forth in the grant notice, an option or an award in the form of a restricted stock unit or stock appreciation right granted under the 2023 Plan typically vests as to 25% of the award at the end of the first year following the vesting start date, with the remaining 75% of the award vesting either monthly or quarterly over the 3 years after the first year following the vesting start date, depending on award type. Any restricted stock may not be transferred or pledged. Such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restriction expires with vesting or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by the board of directors, upon the occurrence of a “Corporate Transaction” (as defined in the 2023 Plan ), all options and awards in the form of restricted stock units or stock appreciation rights (i) shall fully vest and (ii) in the case of options and stock appreciation rights must be immediately exercised, except if such options or stock appreciation rights are repurchased by Oculis or a third party designated by Oculis for a cash consideration equivalent to the economic value applicable to such option or stock appreciation right under the 2023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has complete and exclusive power and authority to amend or modify the 2023 Plan in any or all respects. Such amendment or modification shall be communicated in appropriate form as an amendment of the 2023 Plan. Unless such change is required to comply with applicable law, listing requirements, accounting rules or tax requirements, no such amendment or modification shall, without the consent of the concerned participant, adversely affect materially his/her rights and obligations under the 2023 Plan.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Board Practices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Composition of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board of directors is currently composed of eight members. In accordance with our articles of association, the board of directors is not divided into classes of directors. The directors were appointed until the end of the general meeting of shareholders called to approve our annual accounts for the 2025 financial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Seven of eight directors are independent as defined in United States Nasdaq Global Market listing standards and applicable SEC rules and our board of directors has an independent audit committee, a nomination and governance committee, and a remuneration committee.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Committees of our Board of Directors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board of directors has three standing committees: an audit committee, a remuneration committee, and a nomination and governance committee. The board has adopted written charters that are available to shareholders on our website at </w:t>
      </w:r>
      <w:r>
        <w:rPr>
          <w:rFonts w:ascii="Times New Roman" w:hAnsi="Times New Roman"/>
          <w:sz w:val="20"/>
        </w:rPr>
        <w:t>https://investors.oculis.com/corporate-governance</w:t>
      </w:r>
      <w:r>
        <w:rPr>
          <w:rFonts w:ascii="Times New Roman" w:hAnsi="Times New Roman"/>
          <w:color w:val="000000"/>
          <w:sz w:val="20"/>
        </w:rPr>
        <w:t>. The reference to our website address in this Annual Report on Form 20-F does not include or incorporate by reference the information on our website into this Annual Report on Form 20-F.</w:t>
      </w:r>
    </w:p>
    <w:p>
      <w:pPr>
        <w:pStyle w:val="TextBody"/>
        <w:bidi w:val="0"/>
        <w:spacing w:before="200" w:after="283"/>
        <w:jc w:val="both"/>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 committee consists of Lionel Carnot, Geraldine O’Keeffe and Christina Ackermann. The audit committee assists the board of directors in overseeing our accounting and financial reporting processes and the audits of our financial statements. Mr. Carnot serves as chairperson of the audit committee. In addition, the audit committee is responsible for the appointment, compensation, retention and oversight of the work of our independent registered public accounting firm. Our board of directors has determined that Mr. Carnot, Ms. O’Keeffe and Ms. Ackermann satisfy the “independence” requirements set forth in Rule 10A-3 under the Exchange Act and Mr. Carnot qualifies as an “audit committee financial expert,” as such term is defined in the rules of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members of our audit committee qualify as independent directors according to the rules and regulations of the SEC and United States Nasdaq Global Market with respect to audit committee membership. In addition, all of the audit committee members meet the requirements for financial literacy under applicable SEC and Nasdaq Global Market rules and at least one of the audit committee members qualifies as an “audit committee financial expert,” as such term is defined in Item 407(d) of Regulation S-K. The audit committee is governed by a charter that complies with applicable Nasdaq rules, which charter is posted on our website. We have adopted an audit committee charter, which details the principal functions of the audit committee,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discuss with management the annual and quarterly financial statements and reports, including earnings press releases and financial information and earnings guidance given to analysts and rating agencies;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propose to the board to approve the quarterly and annual reports;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inform the board on its assessment of the financial statements and decide whether to recommend the statutory and consolidated financial statements to the board for approval and presentation to the meeting of shareholders;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in cooperation with the auditor and the management whether the accounting principles applied by the company and any of its subsidiaries are appropriate;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assess the qualifications, independence, performance, and effectiveness of the auditor and recommend to the board the nomination of the auditor;</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the scope of the prospective audit by the auditor, the estimated fees and any other matters pertaining to such audit as the committee may deem appropriate;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approve any proposal of audit and non-audit services to be provided by the auditor to the company to ensure auditor independence;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assess the auditor’s report, management letters and take notice of all comments of the auditor on accounting procedures and systems of internal control;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with the auditor any audit problems or difficulties and management’s response, including any restrictions on the scope of the auditor’s activities or on access to requested information, and any significant disagreements with management;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least annually monitor, review and discuss with the auditor and with management the adequacy and effectiveness of the company’s policies and procedures regarding internal controls over financial reporting and risk assessment and the company’s compliance therewith;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monitor compliance with respect to our code of business conduct and ethics, as may be amended from time to time;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have oversight responsibility with respect to the Company’s cybersecurity and information security compliance activities in accordance with internal policies and applicable external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periodically review the company’s policies and procedures for risk management and assess the effectiveness thereof;</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periodically review the company’s policies and procedures designed to ensure compliance with laws, regulations and internal rules and policies;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establishing procedures for the receipt, retention and treatment of complaints received by the company regarding accounting, internal control or auditing matters, as well as the confidential, anonymous submission by officers, employees or directors of the company of concerns regarding questionable accounting or auditing matters;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monitor compliance with respect to our Related Person Transactions Policy, as may be amended from time to time, and review, approve and/or ratify proposed transactions that have been identified as related person transactions thereunder;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remuneration committee consists of Christina Ackermann, Robert K. Warner and Lionel Carnot. The remuneration committee assists the board of directors in determining compensation for members of our executive committee and other key leaders of the Company, and our directors. Ms. Ackermann serves as chairperson of the remuneration committee.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the Swiss provisions regarding compensations for listed companies under the Swiss Code of Obligations, which require Swiss corporations listed on a stock exchange to establish a remuneration committee. In accordance with the Swiss Code of Obligations, the members of our remuneration committee must be elected during our general meeting of shareholders and the aggregate amount of compensation of each of our directors and our executive committee members must also be approved during a general meeting of shareholders. On June 4, 2025 a general meeting was held during which the shareholders approved the compensation packages for the Board and the executive committee until the next general meeting of shareholders to be held in 2026. At the same meeting, shareholders reelected Ms. Ackermann as the chair of the remuneration committee until the next annual general meeting of shareholders.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members of our remuneration committee qualifies as an independent director according to the rules and regulations of the SEC and Nasdaq with respect to remuneration committee membership, including the heightened independence standards for members of a remuneration committee. The remuneration committee is governed by a charter that is posted on our website. We have adopted a remuneration committee charter, which details the principal functions of the remuneration committee,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prepare and recommend to the board for approval (i) a compensation policy for the board, (ii) a compensation policy for the executive committee, and (iii) a compensation policy for other key leaders of the Company; and thereafter, annually review such policy or policies and recommend changes, if any, for approval by the board;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periodically review the company’s compensation policies for its employees who are not members of the executive committee;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recommend to the board for approval any compensation and other payments to present and former non-employee directors of the company to the extent not already provided for in the compensation policy for the board;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propose to the board the resolution to be submitted to the general meeting for the maximum total compensation of the board and executive committee;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 annually the performance the CEO (as defined in the organizational rules) and submit such evaluation for review and discussion by the board, in each case in executive session without the presence of the CEO;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recommend for approval by the board the annual base salary, incentive compensation and equity compensation of the CEO and, in consultation with the CEO, of the other members of the executive committee, and the overall compensation of the CEO and executive committee;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approve any employment contracts, severance contracts, or other agreements that the company proposes to enter into with any present, future or former members of the executive committee or other key leaders of the Company;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 an incentive compensation plan providing for variable compensation of the members of the executive committee and other key leaders of the Company based on the achievement of the company’s corporate goals and the individuals’ performance, and approve any changes to such plan as may be proposed by the CEO from time to time;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approve any incentive compensation plans providing for variable compensation of employees of the company (excluding any member of the executive committee) and any changes thereto, as may be proposed by the CEO from time to time;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 and periodically review equity compensation plans, and submit such plans and any changes to such plans to the board for approval;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approve grants of equity compensation pursuant to the Company’s equity compensation plans (excluding grants to members of the executive committee);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and approve any perquisite benefits plans proposed by the CEO for the members of the executive committee or other key leaders of the Company;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the annual corporate goals proposed by the CEO, and recommend such goals as approved by the committee for approval by the board;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determine the level of achievement of the corporate goals as approved by the board upon completion of each calendar year, and apply such achievement level to the determination of the variable compensation of the members of the executive committee and other key leaders of the Company in accordance with the applicable incentive compensation plan;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 its own performance on a periodic basis as part of the board performance assessment process;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supervise the preparation of the annual compensation report and submit it to the board for approval;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the remuneration committee charter annually and submit any recommended changes to the board for approval.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Nomination and Governance Committee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nomination and governance committee consists of Robert K. Warner, Geraldine O’Keeffe and Martijn Kleijwegt. The nomination and governance committee assists our board of directors in identifying individuals qualified to become our directors consistent with criteria established by us and in developing our code of business conduct and ethics. Mr. Warner serves as chairperson of the nomination and governance committee. The nomination and governance committee is governed by a charter that is posted on our website. We have adopted a nomination and governance committee charter, which details the principal functions of the nomination and governance committee,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 and periodically review the qualification criteria for board candidates;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conduct the search for board candidates based on the qualification criteria established by the committee and any other criteria that the committee may consider appropriate, and recommend suitable candidates to the board to be nominated for election by the shareholders;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periodically review the policies and principles for corporate governance of the company, including the organizational rules, and recommend changes, if any, to the board for approval;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conduct the search for candidates for the position of CEO of the company, and recommend suitable candidates for evaluation and appointment by the board;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conduct the search for candidates for executive committee positions and recommend suitable candidates for evaluation and appointment by the board;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periodically review the Company’s policies and practices related to management of human capital resources and corporate culture;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identify candidates for the election to the board on its own as well as by considering recommendations from shareholders, other members of the board, officers and employees of the company, and other sources that the committee deems appropriate;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prepare and review, at least annually, a succession plan for the directors of the board, the CEO, and the members of the executive committee;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review the corporate governance report of the company for inclusion in the annual report for the approval of the board and approve any other written public disclosures on corporate governance matters including, but not limited to, environmental, social and governance-related matters.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w:t>
      </w:r>
    </w:p>
    <w:p>
      <w:pPr>
        <w:pStyle w:val="TextBody"/>
        <w:bidi w:val="0"/>
        <w:spacing w:before="200" w:after="283"/>
        <w:jc w:val="both"/>
        <w:rPr/>
      </w:pPr>
      <w:r>
        <w:rPr>
          <w:rFonts w:ascii="Times New Roman" w:hAnsi="Times New Roman"/>
          <w:b/>
          <w:i/>
          <w:color w:val="000000"/>
          <w:sz w:val="20"/>
        </w:rPr>
        <w:t>Employ</w:t>
      </w:r>
      <w:r>
        <w:rPr>
          <w:rFonts w:ascii="Times New Roman" w:hAnsi="Times New Roman"/>
          <w:b/>
          <w:color w:val="000000"/>
          <w:sz w:val="20"/>
        </w:rPr>
        <w: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we had 60 employees. Our headcount for R&amp;D was 32, and our headcount for G&amp;A was 28. Our employees include 30 executive leadership, administrative, and development personnel based in Switzerland; 10 executive leadership, administrative, and research personnel based in Iceland; 17 executive leadership, administrative, and development personnel based in the United States; and 3 research and development personnel based in France and UK. Pursuant to local laws, our employees in Iceland and France are represented by a labor union or covered under a collective bargaining agreement. We consider our relationship with our employees to be good.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Share Ownership</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For information regarding the share ownership of our directors and executive committee members, see Item 2.A. </w:t>
      </w:r>
      <w:r>
        <w:rPr>
          <w:rFonts w:ascii="Times New Roman" w:hAnsi="Times New Roman"/>
          <w:i/>
          <w:color w:val="000000"/>
          <w:sz w:val="20"/>
        </w:rPr>
        <w:t>"Major Shareholders</w:t>
      </w:r>
      <w:r>
        <w:rPr>
          <w:rFonts w:ascii="Times New Roman" w:hAnsi="Times New Roman"/>
          <w:color w:val="000000"/>
          <w:sz w:val="20"/>
        </w:rPr>
        <w:t xml:space="preserve">” of this section </w:t>
      </w:r>
      <w:r>
        <w:rPr>
          <w:rFonts w:ascii="Times New Roman" w:hAnsi="Times New Roman"/>
          <w:i/>
          <w:color w:val="000000"/>
          <w:sz w:val="20"/>
        </w:rPr>
        <w:t>"Corporate Governance"</w:t>
      </w:r>
      <w:r>
        <w:rPr>
          <w:rFonts w:ascii="Times New Roman" w:hAnsi="Times New Roman"/>
          <w:color w:val="000000"/>
          <w:sz w:val="20"/>
        </w:rPr>
        <w:t xml:space="preserve"> and Item 1.B. </w:t>
      </w:r>
      <w:r>
        <w:rPr>
          <w:rFonts w:ascii="Times New Roman" w:hAnsi="Times New Roman"/>
          <w:i/>
          <w:color w:val="000000"/>
          <w:sz w:val="20"/>
        </w:rPr>
        <w:t>"Compensation</w:t>
      </w:r>
      <w:r>
        <w:rPr>
          <w:rFonts w:ascii="Times New Roman" w:hAnsi="Times New Roman"/>
          <w:color w:val="000000"/>
          <w:sz w:val="20"/>
        </w:rPr>
        <w:t xml:space="preserve">” of this section </w:t>
      </w:r>
      <w:r>
        <w:rPr>
          <w:rFonts w:ascii="Times New Roman" w:hAnsi="Times New Roman"/>
          <w:i/>
          <w:color w:val="000000"/>
          <w:sz w:val="20"/>
        </w:rPr>
        <w:t>"Corporate Governance"</w:t>
      </w:r>
      <w:r>
        <w:rPr>
          <w:rFonts w:ascii="Times New Roman" w:hAnsi="Times New Roman"/>
          <w:color w:val="000000"/>
          <w:sz w:val="20"/>
        </w:rPr>
        <w:t xml:space="preserve"> for a discussion of the 2023 Plan.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Disclosure of a registrant’s action to recover erroneously awarded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2. Major Shareholders and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Major Shareholders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information regarding the beneficial ownership of our ordinary shares as of December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person known by us to be the beneficial owner of more than 5% of the ordinary shares;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our directors and members of our executive committee;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our directors and members of our executive committee as a group.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December 31, 2025 through the exercise or vesting of any option, RSU, warrant or any other right.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based percentage ownership on 57,984,438 ordinary shares outstanding as of December 31, 2025.</w:t>
      </w:r>
    </w:p>
    <w:p>
      <w:pPr>
        <w:pStyle w:val="TextBody"/>
        <w:bidi w:val="0"/>
        <w:spacing w:before="20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36" w:type="dxa"/>
        <w:jc w:val="left"/>
        <w:tblInd w:w="0" w:type="dxa"/>
        <w:tblLayout w:type="fixed"/>
        <w:tblCellMar>
          <w:top w:w="28" w:type="dxa"/>
          <w:left w:w="28" w:type="dxa"/>
          <w:bottom w:w="28" w:type="dxa"/>
          <w:right w:w="28" w:type="dxa"/>
        </w:tblCellMar>
      </w:tblPr>
      <w:tblGrid>
        <w:gridCol w:w="3766"/>
        <w:gridCol w:w="146"/>
        <w:gridCol w:w="227"/>
        <w:gridCol w:w="1288"/>
        <w:gridCol w:w="146"/>
        <w:gridCol w:w="146"/>
        <w:gridCol w:w="305"/>
        <w:gridCol w:w="881"/>
        <w:gridCol w:w="33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Address of Beneficial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Ownership</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i/>
                <w:color w:val="000000"/>
                <w:sz w:val="18"/>
              </w:rPr>
              <w:t xml:space="preserve">Directors and Executive Committee Members </w:t>
            </w:r>
            <w:r>
              <w:rPr>
                <w:rFonts w:ascii="Times New Roman" w:hAnsi="Times New Roman"/>
                <w:b/>
                <w:i/>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Anthony Rosenberg</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Christina Ackermann</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Lionel Carnot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Arshad M. Khanani</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Martijn Kleijwegt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Geraldine O'Keeffe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Robert K. Warner</w:t>
            </w: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Riad Sherif</w:t>
            </w:r>
            <w:r>
              <w:rPr>
                <w:rFonts w:ascii="Times New Roman" w:hAnsi="Times New Roman"/>
                <w:color w:val="000000"/>
                <w:sz w:val="12"/>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Sylvia Cheung</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Páll Ragnar Jóhannesson</w:t>
            </w:r>
            <w:r>
              <w:rPr>
                <w:rFonts w:ascii="Times New Roman" w:hAnsi="Times New Roman"/>
                <w:color w:val="000000"/>
                <w:sz w:val="12"/>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 xml:space="preserve">All directors and executive committee members </w:t>
              <w:br/>
              <w:t>as a group (10 individuals)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3,873,226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Five Percent Holders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LSP 7 Coöperatief U.A.</w:t>
            </w:r>
            <w:r>
              <w:rPr>
                <w:rFonts w:ascii="Times New Roman" w:hAnsi="Times New Roman"/>
                <w:color w:val="000000"/>
                <w:sz w:val="12"/>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5,900,294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Funds managed by Pivotal Partners</w:t>
            </w:r>
            <w:r>
              <w:rPr>
                <w:rFonts w:ascii="Times New Roman" w:hAnsi="Times New Roman"/>
                <w:color w:val="000000"/>
                <w:sz w:val="1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2,909,995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Indicates beneficial ownership of less than 1.0% of the total ordinary shares outstanding.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noted, the business address of each of the directors and executive committee members of Oculis is Bahnhofstrasse 20, 6300 Zug, Switzerland.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Consists of (i) 129,720 ordinary shares and (ii) 39,220 ordinary shares issuable upon conversion of share options, RSUs and earnout shares, vested and/or fully exercisable within 60 days of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Consists of (i) 6,528 ordinary shares and (ii) 56,289 ordinary shares issuable upon conversion of share options and RSUs, vested and/or fully exercisable within 60 days of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Consists of (i) 20,344 ordinary shares and (ii) 28,184 ordinary shares issuable upon conversion of share options and RSUs, vested and/or fully exercisable within 60 days of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Consists of (i) 6,528 ordinary shares and (ii) 16,942 ordinary shares issuable upon conversion of share options and RSUs, vested and/or fully exercisable within 60 days of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Consists of (i) 1,066,287 ordinary shares and (ii) 633,266 ordinary shares issuable upon conversion of share options, RSUs and earnout shares, vested and/or and fully exercisable within 60 days of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Consists of (i) 77,316 ordinary shares and (ii) 437,706 ordinary shares issuable upon conversion of share options and earnout shares vested and/or fully exercisable within 60 days of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Consists of (i) 288,430 ordinary shares and (ii) 484,151 ordinary shares issuable upon conversion of share options and earnout shares, vested and/or fully exercisable within 60 days of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solely on Schedule 13G filed by LSP 7 Management B.V. on February 12, 2025. 5,900,294 represents ordinary shares directly held by LSP 7 Coöperatief UA, of which LSP 7 Management B.V. is the sole director. The managing directors of LSP 7 Management B.V. are Martijn Kleijwegt, Rene Kuijten and Joachim Rothe. As such, LSP 7 Management B.V., Martijn Kleijwegt, Rene Kuijten and Joachim Rothe may be deemed to be individuals identified in this footnote. The business address of LSP 7 Coöperatief UA is Johannes Vermeerplein 9 1071 DV Amsterdam, Netherlands.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both"/>
        <w:rPr/>
      </w:pPr>
      <w:r>
        <w:rPr>
          <w:rFonts w:ascii="Times New Roman" w:hAnsi="Times New Roman"/>
          <w:color w:val="000000"/>
          <w:sz w:val="20"/>
        </w:rPr>
        <w:t>Based on Schedule 13G filed by Nan Fung Group Holdings Limited on November 14, 2025 and earnout shares vested within 60 days of December 31, 2025. The general partner of Pivotal is Pivotal bioVenture Partners Fund I G.P., L.P. (“</w:t>
      </w:r>
      <w:r>
        <w:rPr>
          <w:rFonts w:ascii="Times New Roman" w:hAnsi="Times New Roman"/>
          <w:i/>
          <w:color w:val="000000"/>
          <w:sz w:val="20"/>
        </w:rPr>
        <w:t>Pivotal GP</w:t>
      </w:r>
      <w:r>
        <w:rPr>
          <w:color w:val="000000"/>
        </w:rPr>
        <w:t>”</w:t>
      </w:r>
      <w:r>
        <w:rPr>
          <w:rFonts w:ascii="Times New Roman" w:hAnsi="Times New Roman"/>
          <w:color w:val="000000"/>
          <w:sz w:val="20"/>
        </w:rPr>
        <w:t>). The general partner of Pivotal GP is Pivotal bioVenture Partners Fund I U.G.P., Ltd (the “</w:t>
      </w:r>
      <w:r>
        <w:rPr>
          <w:rFonts w:ascii="Times New Roman" w:hAnsi="Times New Roman"/>
          <w:i/>
          <w:color w:val="000000"/>
          <w:sz w:val="20"/>
        </w:rPr>
        <w:t>Ultimate General Partner</w:t>
      </w:r>
      <w:r>
        <w:rPr>
          <w:color w:val="000000"/>
        </w:rPr>
        <w:t>”</w:t>
      </w:r>
      <w:r>
        <w:rPr>
          <w:rFonts w:ascii="Times New Roman" w:hAnsi="Times New Roman"/>
          <w:color w:val="000000"/>
          <w:sz w:val="20"/>
        </w:rPr>
        <w:t>).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w:t>
      </w:r>
      <w:r>
        <w:rPr>
          <w:rFonts w:ascii="Times New Roman" w:hAnsi="Times New Roman"/>
          <w:i/>
          <w:color w:val="000000"/>
          <w:sz w:val="20"/>
        </w:rPr>
        <w:t>Pivotal Partners</w:t>
      </w:r>
      <w:r>
        <w:rPr>
          <w:color w:val="000000"/>
        </w:rPr>
        <w:t>”</w:t>
      </w:r>
      <w:r>
        <w:rPr>
          <w:rFonts w:ascii="Times New Roman" w:hAnsi="Times New Roman"/>
          <w:color w:val="000000"/>
          <w:sz w:val="20"/>
        </w:rPr>
        <w:t>). Pivotal Partners is wholly owned by Pivotal Life Sciences Holdings Limited (“</w:t>
      </w:r>
      <w:r>
        <w:rPr>
          <w:rFonts w:ascii="Times New Roman" w:hAnsi="Times New Roman"/>
          <w:i/>
          <w:color w:val="000000"/>
          <w:sz w:val="20"/>
        </w:rPr>
        <w:t>Pivotal Life Sciences</w:t>
      </w:r>
      <w:r>
        <w:rPr>
          <w:color w:val="000000"/>
        </w:rPr>
        <w:t>”</w:t>
      </w:r>
      <w:r>
        <w:rPr>
          <w:rFonts w:ascii="Times New Roman" w:hAnsi="Times New Roman"/>
          <w:color w:val="000000"/>
          <w:sz w:val="20"/>
        </w:rPr>
        <w:t>). Pivotal Life Sciences is wholly owned by Nan Fung Life Sciences Holdings Limited (“</w:t>
      </w:r>
      <w:r>
        <w:rPr>
          <w:rFonts w:ascii="Times New Roman" w:hAnsi="Times New Roman"/>
          <w:i/>
          <w:color w:val="000000"/>
          <w:sz w:val="20"/>
        </w:rPr>
        <w:t>Nan Fung Life Sciences</w:t>
      </w:r>
      <w:r>
        <w:rPr>
          <w:color w:val="000000"/>
        </w:rPr>
        <w:t>”</w:t>
      </w:r>
      <w:r>
        <w:rPr>
          <w:rFonts w:ascii="Times New Roman" w:hAnsi="Times New Roman"/>
          <w:color w:val="000000"/>
          <w:sz w:val="20"/>
        </w:rPr>
        <w:t>), and Nan Fung Life Sciences is wholly owned by NF Investment Holdings Limited (“</w:t>
      </w:r>
      <w:r>
        <w:rPr>
          <w:rFonts w:ascii="Times New Roman" w:hAnsi="Times New Roman"/>
          <w:i/>
          <w:color w:val="000000"/>
          <w:sz w:val="20"/>
        </w:rPr>
        <w:t>NFIHL</w:t>
      </w:r>
      <w:r>
        <w:rPr>
          <w:color w:val="000000"/>
        </w:rPr>
        <w:t>”</w:t>
      </w:r>
      <w:r>
        <w:rPr>
          <w:rFonts w:ascii="Times New Roman" w:hAnsi="Times New Roman"/>
          <w:color w:val="000000"/>
          <w:sz w:val="20"/>
        </w:rPr>
        <w:t xml:space="preserve">). NFLS Beta is wholly owned by NFLS Platform Holdings Limited, which is wholly owned by Nan Fung Life Sciences. Nan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rFonts w:ascii="Times New Roman" w:hAnsi="Times New Roman"/>
          <w:color w:val="000000"/>
          <w:sz w:val="20"/>
        </w:rPr>
        <w:t>Fung Life Sciences is wholly owned by Nan Fung Group Holdings Limited (“</w:t>
      </w:r>
      <w:r>
        <w:rPr>
          <w:rFonts w:ascii="Times New Roman" w:hAnsi="Times New Roman"/>
          <w:i/>
          <w:color w:val="000000"/>
          <w:sz w:val="20"/>
        </w:rPr>
        <w:t>NFGHL</w:t>
      </w:r>
      <w:r>
        <w:rPr>
          <w:color w:val="000000"/>
        </w:rPr>
        <w:t xml:space="preserve">” </w:t>
      </w:r>
      <w:r>
        <w:rPr>
          <w:rFonts w:ascii="Times New Roman" w:hAnsi="Times New Roman"/>
          <w:color w:val="000000"/>
          <w:sz w:val="20"/>
        </w:rPr>
        <w:t>and together with Pivotal, Pivotal GP, Ultimate General Partner, Pivotal Partners, Pivotal Life Sciences, Nan Fung Life Sciences and NFIHL, the “</w:t>
      </w:r>
      <w:r>
        <w:rPr>
          <w:rFonts w:ascii="Times New Roman" w:hAnsi="Times New Roman"/>
          <w:i/>
          <w:color w:val="000000"/>
          <w:sz w:val="20"/>
        </w:rPr>
        <w:t>Pivotal Parties</w:t>
      </w:r>
      <w:r>
        <w:rPr>
          <w:color w:val="000000"/>
        </w:rPr>
        <w:t>”</w:t>
      </w:r>
      <w:r>
        <w:rPr>
          <w:rFonts w:ascii="Times New Roman" w:hAnsi="Times New Roman"/>
          <w:color w:val="000000"/>
          <w:sz w:val="20"/>
        </w:rPr>
        <w:t>). The members of the Executive Committee of NFGHL make voting and investment decisions with respect to shares of our common stock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23rd Floor, Nan Fung Tower, 88 Connaught Road Central and 173 Des Voeux Road Central, Central, Hong Kong. The address of NFIHL is Vistra Corporate Services Centre, Wickhams Cay II, Road Town, Tortola, VG1110, British Virgin Islands.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Significant Changes in Percentage Ownership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2023, we experienced significant changes in the percentage ownership held by major shareholders as a result of the Business Combination.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Voting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voting rights of the principal shareholders do not differ from the voting rights of other shareholders.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Shareholders in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January 22, 2026, to the best of our knowledge 50,982,447 of our outstanding ordinary shares, including earnout shares, were held by 15 shareholders of record in the United States. The actual number of holders is greater than these numbers of record holders, and includes beneficial owners whose ordinary shares are held in street name by brokers and other nominees. This number of holders of record also does not include holders whose shares may be held in trust by other entities.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w:t>
      </w:r>
    </w:p>
    <w:p>
      <w:pPr>
        <w:pStyle w:val="TextBody"/>
        <w:bidi w:val="0"/>
        <w:spacing w:before="200" w:after="283"/>
        <w:jc w:val="both"/>
        <w:rPr/>
      </w:pPr>
      <w:r>
        <w:rPr>
          <w:rFonts w:ascii="Times New Roman" w:hAnsi="Times New Roman"/>
          <w:b/>
          <w:i/>
          <w:color w:val="000000"/>
          <w:sz w:val="20"/>
        </w:rPr>
        <w:t>Related Party Transactions</w:t>
      </w:r>
      <w:r>
        <w:rPr>
          <w:color w:val="000000"/>
        </w:rPr>
        <w:t xml:space="preserve"> </w:t>
      </w:r>
    </w:p>
    <w:p>
      <w:pPr>
        <w:pStyle w:val="TextBody"/>
        <w:bidi w:val="0"/>
        <w:spacing w:before="200" w:after="283"/>
        <w:jc w:val="both"/>
        <w:rPr>
          <w:rFonts w:ascii="Times New Roman" w:hAnsi="Times New Roman"/>
          <w:sz w:val="20"/>
        </w:rPr>
      </w:pPr>
      <w:r>
        <w:rPr>
          <w:rFonts w:ascii="Times New Roman" w:hAnsi="Times New Roman"/>
          <w:b/>
          <w:color w:val="000000"/>
          <w:sz w:val="20"/>
        </w:rPr>
        <w:t>Policies and Procedures for Related Person Transactions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board of directors has adopted a written related person transaction policy that sets forth certain policies and procedures for the review and approval or ratification of transactions involving us in which a related person has or will have a direct or indirect material interest, as determined by the audit committee of the Board. A “related person” for purposes of the policy means: (i) enterprises that directly or indirectly through one or more intermediaries, control or are controlled by, or are under common control with, us; (ii) associates (defined as, unconsolidated enterprises in which we have a Significant Influence or which has Significant Influence over us); (iii) individuals owning, directly or indirectly, an interest in the voting power of us that gives them Significant Influence over us, and close members of any such individual’s family; (iv) key management personnel (i.e., having authority and responsibility for planning, directing and controlling our activities), including directors and close members of such individuals’ families; and (v) enterprises in which a substantial interest in the voting power is owned, directly or indirectly, by any person described in (iii) or (iv) above or over which such a person is able to exercise Significant Influence, including enterprises owned by our directors or major shareholders and enterprises that have a member of key management in common with us. “Significant Influence” for purposes of the policy means the power to participate in the financial and operating policy decisions of an enterprise but is less than control over those policies, provided that shareholders beneficially owning a 10.0% or more interest in the voting power of the enterprise concerned are presumed to have a significant influence on such enterprise.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policy, each director, nominee for director, and executive committee member shall promptly notify the designated contact of any transaction involving us and a related person. The designated contact will present any new related person transactions, and proposed transactions involving related persons, to the audit committee of the board of directors at its next occurring regular meeting. If the audit committee determines that the related person involved has a direct or indirect material interest in the transaction, and therefore that the transaction is a related party transaction, the audit committee shall consider all relevant facts and circumstances, including the commercial reasonableness of the terms, the benefit and perceived benefit, or lack thereof, to Oculis, opportunity costs of alternate transactions, the materiality and character of the related person’s direct or indirect interest, and the actual or apparent conflict of interest of the related person. The audit committee will not approve or ratify a related person transaction unless it shall have determined that, upon consideration of all relevant information, the transaction is in, or not inconsistent with, our best interests. On an annual basis, the audit committee shall review previously approved related person transactions, under the standard described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above, to determine whether such transactions should continue. If after the review described above, the audit committee determines not to approve or ratify a related person transaction (whether such transaction is being reviewed for the first time or has previously been approved and is being reviewed), the transaction will not be entered into or continued. </w:t>
      </w:r>
    </w:p>
    <w:p>
      <w:pPr>
        <w:pStyle w:val="TextBody"/>
        <w:bidi w:val="0"/>
        <w:spacing w:before="200" w:after="283"/>
        <w:jc w:val="both"/>
        <w:rPr>
          <w:rFonts w:ascii="Times New Roman" w:hAnsi="Times New Roman"/>
          <w:sz w:val="20"/>
        </w:rPr>
      </w:pPr>
      <w:r>
        <w:rPr>
          <w:rFonts w:ascii="Times New Roman" w:hAnsi="Times New Roman"/>
          <w:b/>
          <w:color w:val="000000"/>
          <w:sz w:val="20"/>
        </w:rPr>
        <w:t>Agreements with members of our Executive Committee and Directors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Aside from standard employment agreements and a consulting agreement with one director, there are no transactions between the Company and its directors and executive committee members. The remuneration of the directors and executive committee members, who are the key management personnel, is described in the section entitled “</w:t>
      </w:r>
      <w:r>
        <w:rPr>
          <w:rFonts w:ascii="Times New Roman" w:hAnsi="Times New Roman"/>
          <w:i/>
          <w:color w:val="000000"/>
          <w:sz w:val="20"/>
        </w:rPr>
        <w:t>Compensation</w:t>
      </w:r>
      <w:r>
        <w:rPr>
          <w:rFonts w:ascii="Times New Roman" w:hAnsi="Times New Roman"/>
          <w:color w:val="000000"/>
          <w:sz w:val="20"/>
        </w:rPr>
        <w: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articles of association provide that we will indemnify our directors and officers to the fullest extent permitted by Swiss law, subject to certain exceptions contained in our articles of association.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Business Combination, we also entered into indemnification agreements with each of our directors and executive committee members. The indemnification agreements provide the indemnities with contractual rights to indemnification, and expense advancement and reimbursement, to the fullest extent permitted under Swiss law, subject to certain exceptions contained in those agreements.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Interests of Experts and Counsel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200" w:after="283"/>
        <w:jc w:val="both"/>
        <w:rPr>
          <w:rFonts w:ascii="Times New Roman" w:hAnsi="Times New Roman"/>
          <w:color w:val="000000"/>
          <w:sz w:val="20"/>
        </w:rPr>
      </w:pPr>
      <w:r>
        <w:rPr>
          <w:rFonts w:ascii="Times New Roman" w:hAnsi="Times New Roman"/>
          <w:color w:val="000000"/>
          <w:sz w:val="20"/>
        </w:rPr>
        <w:t>3. Financial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Consolidated Statements and Other Financial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consolidated financial statements are appended in this Annual Report, starting at page 79.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 Significant Changes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5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 descr=""/>
                    <pic:cNvPicPr>
                      <a:picLocks noChangeAspect="1" noChangeArrowheads="1"/>
                    </pic:cNvPicPr>
                  </pic:nvPicPr>
                  <pic:blipFill>
                    <a:blip r:embed="rId32"/>
                    <a:stretch>
                      <a:fillRect/>
                    </a:stretch>
                  </pic:blipFill>
                  <pic:spPr bwMode="auto">
                    <a:xfrm>
                      <a:off x="0" y="0"/>
                      <a:ext cx="1476375" cy="4000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14" w:name="report_of_the_statutory_auditor_to_the"/>
      <w:bookmarkEnd w:id="14"/>
      <w:r>
        <w:rPr>
          <w:rFonts w:ascii="Times New Roman" w:hAnsi="Times New Roman"/>
          <w:color w:val="000000"/>
          <w:sz w:val="32"/>
        </w:rPr>
        <w:t>Report of the Statutory Auditor to the General</w:t>
      </w:r>
      <w:r>
        <w:rPr>
          <w:rFonts w:ascii="Times New Roman" w:hAnsi="Times New Roman"/>
          <w:color w:val="000000"/>
          <w:sz w:val="20"/>
        </w:rPr>
        <w:t xml:space="preserve"> </w:t>
      </w:r>
      <w:r>
        <w:rPr>
          <w:rFonts w:ascii="Times New Roman" w:hAnsi="Times New Roman"/>
          <w:color w:val="000000"/>
          <w:sz w:val="32"/>
        </w:rPr>
        <w:t>Meeting on the Consolidated Financial Statements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32"/>
        </w:rPr>
      </w:pPr>
      <w:r>
        <w:rPr>
          <w:rFonts w:ascii="Arial" w:hAnsi="Arial"/>
          <w:b/>
          <w:color w:val="000000"/>
          <w:sz w:val="32"/>
        </w:rPr>
        <w:t>Report of the statutory auditor to the General Meeting of Oculis Holding AG, Zug</w:t>
      </w:r>
    </w:p>
    <w:p>
      <w:pPr>
        <w:pStyle w:val="TextBody"/>
        <w:bidi w:val="0"/>
        <w:spacing w:before="480" w:after="60"/>
        <w:jc w:val="left"/>
        <w:rPr>
          <w:rFonts w:ascii="Arial" w:hAnsi="Arial"/>
          <w:b/>
          <w:color w:val="000000"/>
          <w:sz w:val="24"/>
        </w:rPr>
      </w:pPr>
      <w:r>
        <w:rPr>
          <w:rFonts w:ascii="Arial" w:hAnsi="Arial"/>
          <w:b/>
          <w:color w:val="000000"/>
          <w:sz w:val="24"/>
        </w:rPr>
        <w:t>Report on the audit of the consolidated financial statements</w:t>
      </w:r>
    </w:p>
    <w:p>
      <w:pPr>
        <w:pStyle w:val="TextBody"/>
        <w:bidi w:val="0"/>
        <w:spacing w:before="340" w:after="200"/>
        <w:jc w:val="left"/>
        <w:rPr>
          <w:rFonts w:ascii="Arial" w:hAnsi="Arial"/>
          <w:b/>
          <w:color w:val="000000"/>
          <w:sz w:val="20"/>
        </w:rPr>
      </w:pPr>
      <w:r>
        <w:rPr>
          <w:rFonts w:ascii="Arial" w:hAnsi="Arial"/>
          <w:b/>
          <w:color w:val="000000"/>
          <w:sz w:val="20"/>
        </w:rPr>
        <w:t>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have audited the consolidated financial statements of Oculis Holding AG and its subsidiaries (the Group), which comprise the consolidated statement of financial position as at December 31, 2025, and the consolidated statement of loss, the consolidated statement of comprehensive loss, the consolidated statement of changes in equity and the consolidated statement of cash flows for the year then ended, and notes to the consolidated financial statements, including material accounting policy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In our opinion, the consolidated financial statements (pages 82-115) give a true and fair view of the consolidated financial position of the Group as at December 31, 2025 and of its consolidated financial performance and its consolidated cash flows for the year then ended in accordance with IFRS Accounting Standards and comply with Swiss law.</w:t>
      </w:r>
    </w:p>
    <w:p>
      <w:pPr>
        <w:pStyle w:val="TextBody"/>
        <w:bidi w:val="0"/>
        <w:spacing w:before="200" w:after="200"/>
        <w:jc w:val="left"/>
        <w:rPr>
          <w:rFonts w:ascii="Arial" w:hAnsi="Arial"/>
          <w:b/>
          <w:color w:val="000000"/>
          <w:sz w:val="20"/>
        </w:rPr>
      </w:pPr>
      <w:r>
        <w:rPr>
          <w:rFonts w:ascii="Arial" w:hAnsi="Arial"/>
          <w:b/>
          <w:color w:val="000000"/>
          <w:sz w:val="20"/>
        </w:rPr>
        <w:t>Basis for 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conducted our audit in accordance with Swiss law, International Standards on Auditing (ISA) and Swiss Standards on Auditing (SA-CH). Our responsibilities under those provisions and standards are further described in the 'Auditor’s responsibilities for the audit of the consolidated financial statements' section of our report. We are independent of the Group in accordance with the provisions of Swiss law and the requirements of the Swiss audit profession that are relevant to audits of the financial statements of public interest entities, as well as the International Code of Ethics for Professional Accountants (including International Independence Standards) issued by the International Ethics Standards Board for Accountants (IESBA Code), as applicable to audits of financial statements of public interest entities. We have also fulfilled our other ethical responsibilities in accordance with these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believe that the audit evidence we have obtained is sufficient and appropriate to provide a basis for our opinion.</w:t>
      </w:r>
    </w:p>
    <w:tbl>
      <w:tblPr>
        <w:tblW w:w="9347" w:type="dxa"/>
        <w:jc w:val="left"/>
        <w:tblInd w:w="0" w:type="dxa"/>
        <w:tblLayout w:type="fixed"/>
        <w:tblCellMar>
          <w:top w:w="28" w:type="dxa"/>
          <w:left w:w="28" w:type="dxa"/>
          <w:bottom w:w="28" w:type="dxa"/>
          <w:right w:w="28" w:type="dxa"/>
        </w:tblCellMar>
      </w:tblPr>
      <w:tblGrid>
        <w:gridCol w:w="1381"/>
        <w:gridCol w:w="7966"/>
      </w:tblGrid>
      <w:tr>
        <w:trPr/>
        <w:tc>
          <w:tcPr>
            <w:tcW w:w="138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ind w:left="0" w:right="0" w:hanging="11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18"/>
              </w:rPr>
            </w:pPr>
            <w:r>
              <w:rPr>
                <w:rFonts w:ascii="Georgia;serif" w:hAnsi="Georgia;serif"/>
                <w:color w:val="000000"/>
                <w:sz w:val="18"/>
              </w:rPr>
              <w:t>PricewaterhouseCoopers SA, Avenue de la Rasude 5, 1006 Lausanne</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300"/>
              <w:ind w:left="0" w:right="0" w:hanging="113"/>
              <w:jc w:val="left"/>
              <w:rPr>
                <w:rFonts w:ascii="Georgia;serif" w:hAnsi="Georgia;serif"/>
                <w:color w:val="000000"/>
                <w:sz w:val="18"/>
              </w:rPr>
            </w:pPr>
            <w:r>
              <w:rPr>
                <w:rFonts w:ascii="Georgia;serif" w:hAnsi="Georgia;serif"/>
                <w:color w:val="000000"/>
                <w:sz w:val="18"/>
              </w:rPr>
              <w:t>+41 58 792 81 00</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22"/>
              </w:rPr>
            </w:pPr>
            <w:r>
              <w:rPr>
                <w:rFonts w:ascii="Georgia;serif" w:hAnsi="Georgia;serif"/>
                <w:color w:val="000000"/>
                <w:sz w:val="22"/>
              </w:rPr>
              <w:t>www.pwc.ch</w:t>
            </w:r>
          </w:p>
        </w:tc>
        <w:tc>
          <w:tcPr>
            <w:tcW w:w="7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PricewaterhouseCoopers SA is a member of the global PricewaterhouseCoopers network of firms, each of which is a separate and independent legal entity.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80"/>
        <w:jc w:val="left"/>
        <w:rPr>
          <w:rFonts w:ascii="Arial" w:hAnsi="Arial"/>
          <w:b/>
          <w:color w:val="000000"/>
          <w:sz w:val="20"/>
        </w:rPr>
      </w:pPr>
      <w:r>
        <w:rPr>
          <w:rFonts w:ascii="Arial" w:hAnsi="Arial"/>
          <w:b/>
          <w:color w:val="000000"/>
          <w:sz w:val="20"/>
        </w:rPr>
        <w:t>Our audit approach</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220" w:hanging="0"/>
        <w:jc w:val="left"/>
        <w:rPr/>
      </w:pPr>
      <w:r>
        <w:rPr/>
        <w:t> </w:t>
      </w:r>
    </w:p>
    <w:p>
      <w:pPr>
        <w:pStyle w:val="TextBody"/>
        <w:bidi w:val="0"/>
        <w:spacing w:before="80" w:after="60"/>
        <w:ind w:left="2325"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891"/>
        <w:gridCol w:w="7314"/>
      </w:tblGrid>
      <w:tr>
        <w:trPr/>
        <w:tc>
          <w:tcPr>
            <w:tcW w:w="2891" w:type="dxa"/>
            <w:tcBorders/>
            <w:vAlign w:val="center"/>
          </w:tcPr>
          <w:p>
            <w:pPr>
              <w:pStyle w:val="TableContents"/>
              <w:bidi w:val="0"/>
              <w:spacing w:before="0" w:after="283"/>
              <w:jc w:val="left"/>
              <w:rPr>
                <w:sz w:val="4"/>
                <w:szCs w:val="4"/>
              </w:rPr>
            </w:pPr>
            <w:r>
              <w:rPr>
                <w:sz w:val="4"/>
                <w:szCs w:val="4"/>
              </w:rPr>
            </w:r>
          </w:p>
        </w:tc>
        <w:tc>
          <w:tcPr>
            <w:tcW w:w="7314" w:type="dxa"/>
            <w:tcBorders/>
            <w:vAlign w:val="center"/>
          </w:tcPr>
          <w:p>
            <w:pPr>
              <w:pStyle w:val="TableContents"/>
              <w:bidi w:val="0"/>
              <w:spacing w:before="0" w:after="283"/>
              <w:jc w:val="left"/>
              <w:rPr>
                <w:sz w:val="4"/>
                <w:szCs w:val="4"/>
              </w:rPr>
            </w:pPr>
            <w:r>
              <w:rPr>
                <w:sz w:val="4"/>
                <w:szCs w:val="4"/>
              </w:rPr>
            </w:r>
          </w:p>
        </w:tc>
      </w:tr>
      <w:tr>
        <w:trPr/>
        <w:tc>
          <w:tcPr>
            <w:tcW w:w="2891" w:type="dxa"/>
            <w:tcBorders/>
            <w:tcMar>
              <w:top w:w="0" w:type="dxa"/>
              <w:left w:w="0" w:type="dxa"/>
              <w:bottom w:w="0" w:type="dxa"/>
              <w:right w:w="0" w:type="dxa"/>
            </w:tcMar>
            <w:vAlign w:val="center"/>
          </w:tcPr>
          <w:p>
            <w:pPr>
              <w:pStyle w:val="TableContents"/>
              <w:bidi w:val="0"/>
              <w:spacing w:before="100" w:after="283"/>
              <w:ind w:left="0" w:right="0" w:firstLine="720"/>
              <w:jc w:val="left"/>
              <w:rPr/>
            </w:pPr>
            <w:r>
              <w:rPr/>
              <w:drawing>
                <wp:inline distT="0" distB="0" distL="0" distR="0">
                  <wp:extent cx="1314450" cy="2333625"/>
                  <wp:effectExtent l="0" t="0" r="0" b="0"/>
                  <wp:docPr id="5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8" descr=""/>
                          <pic:cNvPicPr>
                            <a:picLocks noChangeAspect="1" noChangeArrowheads="1"/>
                          </pic:cNvPicPr>
                        </pic:nvPicPr>
                        <pic:blipFill>
                          <a:blip r:embed="rId33"/>
                          <a:stretch>
                            <a:fillRect/>
                          </a:stretch>
                        </pic:blipFill>
                        <pic:spPr bwMode="auto">
                          <a:xfrm>
                            <a:off x="0" y="0"/>
                            <a:ext cx="1314450" cy="2333625"/>
                          </a:xfrm>
                          <a:prstGeom prst="rect">
                            <a:avLst/>
                          </a:prstGeom>
                        </pic:spPr>
                      </pic:pic>
                    </a:graphicData>
                  </a:graphic>
                </wp:inline>
              </w:drawing>
            </w:r>
          </w:p>
        </w:tc>
        <w:tc>
          <w:tcPr>
            <w:tcW w:w="7314" w:type="dxa"/>
            <w:tcBorders/>
            <w:tcMar>
              <w:top w:w="0" w:type="dxa"/>
              <w:left w:w="0" w:type="dxa"/>
              <w:bottom w:w="0" w:type="dxa"/>
              <w:right w:w="0" w:type="dxa"/>
            </w:tcMar>
            <w:vAlign w:val="center"/>
          </w:tcPr>
          <w:p>
            <w:pPr>
              <w:pStyle w:val="TableContents"/>
              <w:bidi w:val="0"/>
              <w:spacing w:before="80" w:after="60"/>
              <w:ind w:left="720" w:right="0" w:firstLine="720"/>
              <w:jc w:val="left"/>
              <w:rPr>
                <w:rFonts w:ascii="Arial" w:hAnsi="Arial"/>
                <w:b/>
                <w:color w:val="000000"/>
                <w:sz w:val="20"/>
              </w:rPr>
            </w:pPr>
            <w:r>
              <w:rPr>
                <w:rFonts w:ascii="Arial" w:hAnsi="Arial"/>
                <w:b/>
                <w:color w:val="000000"/>
                <w:sz w:val="20"/>
              </w:rPr>
              <w:t>Overview</w:t>
            </w:r>
          </w:p>
          <w:p>
            <w:pPr>
              <w:pStyle w:val="TableContents"/>
              <w:bidi w:val="0"/>
              <w:spacing w:before="20" w:after="80"/>
              <w:ind w:left="720" w:right="0" w:firstLine="720"/>
              <w:jc w:val="left"/>
              <w:rPr>
                <w:rFonts w:ascii="Georgia;serif" w:hAnsi="Georgia;serif"/>
                <w:color w:val="000000"/>
                <w:sz w:val="20"/>
              </w:rPr>
            </w:pPr>
            <w:r>
              <w:rPr>
                <w:rFonts w:ascii="Georgia;serif" w:hAnsi="Georgia;serif"/>
                <w:color w:val="000000"/>
                <w:sz w:val="20"/>
              </w:rPr>
              <w:t>Overall group materiality: CHF 4,900 thousand</w:t>
            </w:r>
          </w:p>
          <w:p>
            <w:pPr>
              <w:pStyle w:val="TableContents"/>
              <w:bidi w:val="0"/>
              <w:spacing w:before="0" w:after="80"/>
              <w:ind w:left="720" w:right="0" w:firstLine="720"/>
              <w:jc w:val="left"/>
              <w:rPr>
                <w:rFonts w:ascii="Georgia;serif" w:hAnsi="Georgia;serif"/>
                <w:color w:val="000000"/>
                <w:sz w:val="20"/>
              </w:rPr>
            </w:pPr>
            <w:r>
              <w:rPr>
                <w:rFonts w:ascii="Georgia;serif" w:hAnsi="Georgia;serif"/>
                <w:color w:val="000000"/>
                <w:sz w:val="20"/>
              </w:rPr>
              <w:t>The entities addressed by our full scope audit work as well as specific scope audit contribute to more than 9o% of the Group’s total operating expenses.</w:t>
            </w:r>
          </w:p>
          <w:p>
            <w:pPr>
              <w:pStyle w:val="TableContents"/>
              <w:bidi w:val="0"/>
              <w:spacing w:before="0" w:after="80"/>
              <w:ind w:left="720" w:right="0" w:firstLine="720"/>
              <w:jc w:val="left"/>
              <w:rPr>
                <w:rFonts w:ascii="Georgia;serif" w:hAnsi="Georgia;serif"/>
                <w:color w:val="000000"/>
                <w:sz w:val="20"/>
              </w:rPr>
            </w:pPr>
            <w:r>
              <w:rPr>
                <w:rFonts w:ascii="Georgia;serif" w:hAnsi="Georgia;serif"/>
                <w:color w:val="000000"/>
                <w:sz w:val="20"/>
              </w:rPr>
              <w:t>As key audit matter the following area of focus has been identified:</w:t>
            </w:r>
          </w:p>
          <w:p>
            <w:pPr>
              <w:pStyle w:val="TableContents"/>
              <w:bidi w:val="0"/>
              <w:spacing w:before="0" w:after="80"/>
              <w:ind w:left="720" w:right="0" w:firstLine="720"/>
              <w:jc w:val="left"/>
              <w:rPr>
                <w:rFonts w:ascii="Georgia;serif" w:hAnsi="Georgia;serif"/>
                <w:color w:val="000000"/>
                <w:sz w:val="20"/>
              </w:rPr>
            </w:pPr>
            <w:r>
              <w:rPr>
                <w:rFonts w:ascii="Georgia;serif" w:hAnsi="Georgia;serif"/>
                <w:color w:val="000000"/>
                <w:sz w:val="20"/>
              </w:rPr>
              <w:t>Research and development expenses and accruals related to product development related expenses</w:t>
            </w:r>
          </w:p>
          <w:p>
            <w:pPr>
              <w:pStyle w:val="TableContents"/>
              <w:bidi w:val="0"/>
              <w:spacing w:before="0" w:after="283"/>
              <w:ind w:left="0" w:right="0" w:firstLine="720"/>
              <w:jc w:val="left"/>
              <w:rPr/>
            </w:pPr>
            <w:r>
              <w:rPr/>
              <w:t> </w:t>
            </w:r>
          </w:p>
        </w:tc>
      </w:tr>
    </w:tbl>
    <w:p>
      <w:pPr>
        <w:pStyle w:val="TextBody"/>
        <w:bidi w:val="0"/>
        <w:spacing w:before="80" w:after="60"/>
        <w:ind w:left="2325" w:right="0" w:hanging="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400" w:after="200"/>
        <w:jc w:val="left"/>
        <w:rPr>
          <w:rFonts w:ascii="Arial" w:hAnsi="Arial"/>
          <w:b/>
          <w:color w:val="000000"/>
          <w:sz w:val="20"/>
        </w:rPr>
      </w:pPr>
      <w:r>
        <w:rPr>
          <w:rFonts w:ascii="Arial" w:hAnsi="Arial"/>
          <w:b/>
          <w:color w:val="000000"/>
          <w:sz w:val="20"/>
        </w:rPr>
        <w:t>Materiality</w:t>
      </w:r>
    </w:p>
    <w:p>
      <w:pPr>
        <w:pStyle w:val="TextBody"/>
        <w:bidi w:val="0"/>
        <w:spacing w:before="0" w:after="200"/>
        <w:jc w:val="left"/>
        <w:rPr>
          <w:rFonts w:ascii="Georgia;serif" w:hAnsi="Georgia;serif"/>
          <w:color w:val="000000"/>
          <w:sz w:val="20"/>
        </w:rPr>
      </w:pPr>
      <w:r>
        <w:rPr>
          <w:rFonts w:ascii="Georgia;serif" w:hAnsi="Georgia;serif"/>
          <w:color w:val="000000"/>
          <w:sz w:val="20"/>
        </w:rPr>
        <w:t>The scope of our audit was influenced by our application of materiality. Our audit opinion aims to provide reasonable assurance that the consolidated financial statements are free from material misstatement. Misstatements may arise due to fraud or error. They are considered material if, individually or in aggregate, they could reasonably be expected to influence the economic decisions of users taken on the basis of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Based on our professional judgement, we determined certain quantitative thresholds for materiality, including the overall Group materiality for the consolidated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consolidated financial statements as a whole.</w:t>
      </w:r>
    </w:p>
    <w:tbl>
      <w:tblPr>
        <w:tblW w:w="10205" w:type="dxa"/>
        <w:jc w:val="left"/>
        <w:tblInd w:w="0" w:type="dxa"/>
        <w:tblLayout w:type="fixed"/>
        <w:tblCellMar>
          <w:top w:w="28" w:type="dxa"/>
          <w:left w:w="28" w:type="dxa"/>
          <w:bottom w:w="28" w:type="dxa"/>
          <w:right w:w="28" w:type="dxa"/>
        </w:tblCellMar>
      </w:tblPr>
      <w:tblGrid>
        <w:gridCol w:w="2405"/>
        <w:gridCol w:w="7800"/>
      </w:tblGrid>
      <w:tr>
        <w:trPr/>
        <w:tc>
          <w:tcPr>
            <w:tcW w:w="2405" w:type="dxa"/>
            <w:tcBorders/>
            <w:vAlign w:val="center"/>
          </w:tcPr>
          <w:p>
            <w:pPr>
              <w:pStyle w:val="TableContents"/>
              <w:bidi w:val="0"/>
              <w:spacing w:before="0" w:after="283"/>
              <w:jc w:val="left"/>
              <w:rPr>
                <w:sz w:val="4"/>
                <w:szCs w:val="4"/>
              </w:rPr>
            </w:pPr>
            <w:r>
              <w:rPr>
                <w:sz w:val="4"/>
                <w:szCs w:val="4"/>
              </w:rPr>
            </w:r>
          </w:p>
        </w:tc>
        <w:tc>
          <w:tcPr>
            <w:tcW w:w="7800" w:type="dxa"/>
            <w:tcBorders/>
            <w:vAlign w:val="center"/>
          </w:tcPr>
          <w:p>
            <w:pPr>
              <w:pStyle w:val="TableContents"/>
              <w:bidi w:val="0"/>
              <w:spacing w:before="0" w:after="283"/>
              <w:ind w:left="0" w:right="0" w:firstLine="28"/>
              <w:jc w:val="left"/>
              <w:rPr>
                <w:sz w:val="4"/>
                <w:szCs w:val="4"/>
              </w:rPr>
            </w:pPr>
            <w:r>
              <w:rPr>
                <w:sz w:val="4"/>
                <w:szCs w:val="4"/>
              </w:rPr>
            </w:r>
          </w:p>
        </w:tc>
      </w:tr>
      <w:tr>
        <w:trPr/>
        <w:tc>
          <w:tcPr>
            <w:tcW w:w="1020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ind w:left="0" w:right="0" w:firstLine="28"/>
              <w:jc w:val="left"/>
              <w:rPr>
                <w:sz w:val="4"/>
                <w:szCs w:val="4"/>
              </w:rPr>
            </w:pPr>
            <w:r>
              <w:rPr>
                <w:sz w:val="4"/>
                <w:szCs w:val="4"/>
              </w:rPr>
            </w:r>
          </w:p>
        </w:tc>
      </w:tr>
      <w:tr>
        <w:trPr/>
        <w:tc>
          <w:tcPr>
            <w:tcW w:w="240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ind w:left="0" w:right="113" w:hanging="0"/>
              <w:jc w:val="left"/>
              <w:rPr>
                <w:rFonts w:ascii="Arial" w:hAnsi="Arial"/>
                <w:b/>
                <w:color w:val="000000"/>
                <w:sz w:val="20"/>
              </w:rPr>
            </w:pPr>
            <w:r>
              <w:rPr>
                <w:rFonts w:ascii="Arial" w:hAnsi="Arial"/>
                <w:b/>
                <w:color w:val="000000"/>
                <w:sz w:val="20"/>
              </w:rPr>
              <w:t>Overall group materiality</w:t>
            </w:r>
          </w:p>
        </w:tc>
        <w:tc>
          <w:tcPr>
            <w:tcW w:w="7800"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CHF 4,900 thousand</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240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ind w:left="0" w:right="113" w:hanging="0"/>
              <w:jc w:val="left"/>
              <w:rPr>
                <w:rFonts w:ascii="Arial" w:hAnsi="Arial"/>
                <w:b/>
                <w:color w:val="000000"/>
                <w:sz w:val="20"/>
              </w:rPr>
            </w:pPr>
            <w:r>
              <w:rPr>
                <w:rFonts w:ascii="Arial" w:hAnsi="Arial"/>
                <w:b/>
                <w:color w:val="000000"/>
                <w:sz w:val="20"/>
              </w:rPr>
              <w:t>Benchmark applied</w:t>
            </w:r>
          </w:p>
        </w:tc>
        <w:tc>
          <w:tcPr>
            <w:tcW w:w="7800"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Loss before tax</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2405"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56"/>
              <w:ind w:left="0" w:right="113" w:hanging="0"/>
              <w:jc w:val="left"/>
              <w:rPr>
                <w:rFonts w:ascii="Times New Roman" w:hAnsi="Times New Roman"/>
                <w:sz w:val="20"/>
              </w:rPr>
            </w:pPr>
            <w:r>
              <w:rPr>
                <w:rFonts w:ascii="Arial" w:hAnsi="Arial"/>
                <w:b/>
                <w:color w:val="000000"/>
                <w:sz w:val="20"/>
              </w:rPr>
              <w:t>Rationale for the materiality benchmark applied</w:t>
            </w:r>
            <w:r>
              <w:rPr>
                <w:rFonts w:ascii="Times New Roman" w:hAnsi="Times New Roman"/>
                <w:color w:val="000000"/>
                <w:sz w:val="20"/>
              </w:rPr>
              <w:t xml:space="preserve"> </w:t>
            </w:r>
          </w:p>
        </w:tc>
        <w:tc>
          <w:tcPr>
            <w:tcW w:w="7800"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56"/>
              <w:jc w:val="left"/>
              <w:rPr>
                <w:rFonts w:ascii="Georgia;serif" w:hAnsi="Georgia;serif"/>
                <w:color w:val="000000"/>
                <w:sz w:val="20"/>
              </w:rPr>
            </w:pPr>
            <w:r>
              <w:rPr>
                <w:rFonts w:ascii="Georgia;serif" w:hAnsi="Georgia;serif"/>
                <w:color w:val="000000"/>
                <w:sz w:val="20"/>
              </w:rPr>
              <w:t>We chose loss before tax as the benchmark, to be aligned with the common practice in the U.S. for clinical stage life science companies. In addition, in our view, the applied benchmark is aligned with investors and Audit Committee expectations.</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rFonts w:ascii="Georgia;serif" w:hAnsi="Georgia;serif"/>
          <w:color w:val="000000"/>
          <w:sz w:val="20"/>
        </w:rPr>
      </w:pPr>
      <w:r>
        <w:rPr>
          <w:rFonts w:ascii="Georgia;serif" w:hAnsi="Georgia;serif"/>
          <w:color w:val="000000"/>
          <w:sz w:val="20"/>
        </w:rPr>
        <w:t>We agreed with the Audit Committee that we would report to them misstatements above CHF 490 thousand identified during our audit as well as any misstatements below that amount which, in our view, warranted reporting for qualitative reasons.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00"/>
        <w:jc w:val="left"/>
        <w:rPr>
          <w:rFonts w:ascii="Arial" w:hAnsi="Arial"/>
          <w:b/>
          <w:color w:val="000000"/>
          <w:sz w:val="20"/>
        </w:rPr>
      </w:pPr>
      <w:r>
        <w:rPr>
          <w:rFonts w:ascii="Arial" w:hAnsi="Arial"/>
          <w:b/>
          <w:color w:val="000000"/>
          <w:sz w:val="20"/>
        </w:rPr>
        <w:t>Audit scope</w:t>
      </w:r>
    </w:p>
    <w:p>
      <w:pPr>
        <w:pStyle w:val="TextBody"/>
        <w:bidi w:val="0"/>
        <w:spacing w:before="0" w:after="200"/>
        <w:jc w:val="left"/>
        <w:rPr>
          <w:rFonts w:ascii="Georgia;serif" w:hAnsi="Georgia;serif"/>
          <w:color w:val="000000"/>
          <w:sz w:val="20"/>
        </w:rPr>
      </w:pPr>
      <w:r>
        <w:rPr>
          <w:rFonts w:ascii="Georgia;serif" w:hAnsi="Georgia;serif"/>
          <w:color w:val="000000"/>
          <w:sz w:val="20"/>
        </w:rPr>
        <w:t>We designed our audit by determining materiality and assessing the risks of material misstatement in the consolidated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pStyle w:val="TextBody"/>
        <w:bidi w:val="0"/>
        <w:spacing w:before="0" w:after="200"/>
        <w:jc w:val="left"/>
        <w:rPr>
          <w:rFonts w:ascii="Georgia;serif" w:hAnsi="Georgia;serif"/>
          <w:color w:val="000000"/>
          <w:sz w:val="20"/>
        </w:rPr>
      </w:pPr>
      <w:r>
        <w:rPr>
          <w:rFonts w:ascii="Georgia;serif" w:hAnsi="Georgia;serif"/>
          <w:color w:val="000000"/>
          <w:sz w:val="20"/>
        </w:rPr>
        <w:t>We tailored the scope of our audit in order to perform sufficient work to enable us to provide an opinion on the consolidated financial statements as a whole, taking into account the structure of the Group, the accounting processes and controls, and the industry in which the Group operates.</w:t>
      </w:r>
    </w:p>
    <w:p>
      <w:pPr>
        <w:pStyle w:val="TextBody"/>
        <w:bidi w:val="0"/>
        <w:spacing w:before="200" w:after="200"/>
        <w:jc w:val="left"/>
        <w:rPr>
          <w:rFonts w:ascii="Arial" w:hAnsi="Arial"/>
          <w:b/>
          <w:color w:val="000000"/>
          <w:sz w:val="20"/>
        </w:rPr>
      </w:pPr>
      <w:r>
        <w:rPr>
          <w:rFonts w:ascii="Arial" w:hAnsi="Arial"/>
          <w:b/>
          <w:color w:val="000000"/>
          <w:sz w:val="20"/>
        </w:rPr>
        <w:t>Key audit matters</w:t>
      </w:r>
    </w:p>
    <w:p>
      <w:pPr>
        <w:pStyle w:val="TextBody"/>
        <w:bidi w:val="0"/>
        <w:spacing w:before="0" w:after="370"/>
        <w:jc w:val="left"/>
        <w:rPr>
          <w:rFonts w:ascii="Georgia;serif" w:hAnsi="Georgia;serif"/>
          <w:color w:val="000000"/>
          <w:sz w:val="20"/>
        </w:rPr>
      </w:pPr>
      <w:r>
        <w:rPr>
          <w:rFonts w:ascii="Georgia;serif" w:hAnsi="Georgia;serif"/>
          <w:color w:val="000000"/>
          <w:sz w:val="20"/>
        </w:rPr>
        <w:t>Key audit matters are those matters that, in our professional judgement, were of most significance in our audit of the consolidated financial statements of the current period. These matters were addressed in the context of our audit of the consolidated financial statements as a whole, and in forming our opinion thereon, and we do not provide a separate opinion on these matters.</w:t>
      </w:r>
    </w:p>
    <w:p>
      <w:pPr>
        <w:pStyle w:val="TextBody"/>
        <w:bidi w:val="0"/>
        <w:spacing w:before="0" w:after="60"/>
        <w:jc w:val="left"/>
        <w:rPr>
          <w:rFonts w:ascii="Arial" w:hAnsi="Arial"/>
          <w:b/>
          <w:color w:val="000000"/>
          <w:sz w:val="20"/>
        </w:rPr>
      </w:pPr>
      <w:r>
        <w:rPr>
          <w:rFonts w:ascii="Arial" w:hAnsi="Arial"/>
          <w:b/>
          <w:color w:val="000000"/>
          <w:sz w:val="20"/>
        </w:rPr>
        <w:t>Research and development expenses and accruals related to product development related expenses</w:t>
      </w:r>
    </w:p>
    <w:tbl>
      <w:tblPr>
        <w:tblW w:w="10205" w:type="dxa"/>
        <w:jc w:val="left"/>
        <w:tblInd w:w="0" w:type="dxa"/>
        <w:tblLayout w:type="fixed"/>
        <w:tblCellMar>
          <w:top w:w="28" w:type="dxa"/>
          <w:left w:w="28" w:type="dxa"/>
          <w:bottom w:w="28" w:type="dxa"/>
          <w:right w:w="28" w:type="dxa"/>
        </w:tblCellMar>
      </w:tblPr>
      <w:tblGrid>
        <w:gridCol w:w="5501"/>
        <w:gridCol w:w="4704"/>
      </w:tblGrid>
      <w:tr>
        <w:trPr/>
        <w:tc>
          <w:tcPr>
            <w:tcW w:w="5501" w:type="dxa"/>
            <w:tcBorders/>
            <w:vAlign w:val="center"/>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83"/>
              <w:jc w:val="left"/>
              <w:rPr>
                <w:sz w:val="4"/>
                <w:szCs w:val="4"/>
              </w:rPr>
            </w:pPr>
            <w:r>
              <w:rPr>
                <w:sz w:val="4"/>
                <w:szCs w:val="4"/>
              </w:rPr>
            </w:r>
          </w:p>
        </w:tc>
      </w:tr>
      <w:tr>
        <w:trPr/>
        <w:tc>
          <w:tcPr>
            <w:tcW w:w="5501"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36"/>
              <w:jc w:val="left"/>
              <w:rPr>
                <w:rFonts w:ascii="Arial" w:hAnsi="Arial"/>
                <w:b/>
                <w:color w:val="000000"/>
                <w:sz w:val="20"/>
              </w:rPr>
            </w:pPr>
            <w:r>
              <w:rPr>
                <w:rFonts w:ascii="Arial" w:hAnsi="Arial"/>
                <w:b/>
                <w:color w:val="000000"/>
                <w:sz w:val="20"/>
              </w:rPr>
              <w:t>Key audit matter</w:t>
            </w:r>
          </w:p>
        </w:tc>
        <w:tc>
          <w:tcPr>
            <w:tcW w:w="4704"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36"/>
              <w:jc w:val="left"/>
              <w:rPr>
                <w:rFonts w:ascii="Arial" w:hAnsi="Arial"/>
                <w:b/>
                <w:color w:val="000000"/>
                <w:sz w:val="20"/>
              </w:rPr>
            </w:pPr>
            <w:r>
              <w:rPr>
                <w:rFonts w:ascii="Arial" w:hAnsi="Arial"/>
                <w:b/>
                <w:color w:val="000000"/>
                <w:sz w:val="20"/>
              </w:rPr>
              <w:t>How our audit addressed the key audit matter</w:t>
            </w:r>
          </w:p>
        </w:tc>
      </w:tr>
      <w:tr>
        <w:trPr/>
        <w:tc>
          <w:tcPr>
            <w:tcW w:w="10205"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r>
        <w:trPr/>
        <w:tc>
          <w:tcPr>
            <w:tcW w:w="5501" w:type="dxa"/>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80" w:after="20"/>
              <w:jc w:val="left"/>
              <w:rPr>
                <w:rFonts w:ascii="Times New Roman" w:hAnsi="Times New Roman"/>
                <w:sz w:val="20"/>
              </w:rPr>
            </w:pPr>
            <w:r>
              <w:rPr>
                <w:rFonts w:ascii="Georgia;serif" w:hAnsi="Georgia;serif"/>
                <w:color w:val="000000"/>
                <w:sz w:val="20"/>
              </w:rPr>
              <w:t>As described in Notes 3(M), 7.(B) and 16 to the consolidated financial statements, research expenditures are recognized in expense in the year in which they are incurred. Research and development expenses consist mainly of personnel expenses (payroll and related expenses and share-based compensation expense), external service providers and other operating expenses. Research and development expenses for the year ended December 31, 2025 were CHF 57.1 million, the majority of which related to external service providers. As disclosed by management, the Company conducts product research and development programs through third party vendors that include contract research organizations “CROs” and clinical research sites. The Company records accruals for estimated costs incurred or prepayments depending on the stage of completion of the product development and clinical research. Within accrued expenses, total accrued product development related expenses as of December 31, 2025 amounted to CHF 13.2 million.</w:t>
            </w:r>
            <w:r>
              <w:rPr>
                <w:rFonts w:ascii="Times New Roman" w:hAnsi="Times New Roman"/>
                <w:color w:val="000000"/>
                <w:sz w:val="20"/>
              </w:rPr>
              <w:t xml:space="preserve"> </w:t>
            </w:r>
          </w:p>
          <w:p>
            <w:pPr>
              <w:pStyle w:val="TableContents"/>
              <w:bidi w:val="0"/>
              <w:spacing w:before="60" w:after="283"/>
              <w:jc w:val="left"/>
              <w:rPr>
                <w:rFonts w:ascii="Times New Roman" w:hAnsi="Times New Roman"/>
                <w:sz w:val="20"/>
              </w:rPr>
            </w:pPr>
            <w:r>
              <w:rPr>
                <w:rFonts w:ascii="Georgia;serif" w:hAnsi="Georgia;serif"/>
                <w:color w:val="000000"/>
                <w:sz w:val="20"/>
              </w:rPr>
              <w:t>The principal considerations for our determination that performing procedures relating to research and development expenses and accruals related to product development related expenses is a key audit matter are a high degree of auditor effort in performing procedures and evaluating audit evidence related to</w:t>
            </w:r>
            <w:r>
              <w:rPr>
                <w:rFonts w:ascii="Times New Roman" w:hAnsi="Times New Roman"/>
                <w:color w:val="000000"/>
                <w:sz w:val="20"/>
              </w:rPr>
              <w:t xml:space="preserve"> </w:t>
            </w:r>
          </w:p>
        </w:tc>
        <w:tc>
          <w:tcPr>
            <w:tcW w:w="4704" w:type="dxa"/>
            <w:tcBorders>
              <w:bottom w:val="single" w:sz="6" w:space="0" w:color="000000"/>
              <w:right w:val="single" w:sz="6" w:space="0" w:color="000000"/>
            </w:tcBorders>
            <w:tcMar>
              <w:top w:w="0" w:type="dxa"/>
              <w:left w:w="0" w:type="dxa"/>
              <w:right w:w="108" w:type="dxa"/>
            </w:tcMar>
            <w:vAlign w:val="center"/>
          </w:tcPr>
          <w:p>
            <w:pPr>
              <w:pStyle w:val="TableContents"/>
              <w:bidi w:val="0"/>
              <w:spacing w:before="80" w:after="20"/>
              <w:jc w:val="left"/>
              <w:rPr>
                <w:rFonts w:ascii="Georgia;serif" w:hAnsi="Georgia;serif"/>
                <w:color w:val="000000"/>
                <w:sz w:val="20"/>
              </w:rPr>
            </w:pPr>
            <w:r>
              <w:rPr>
                <w:rFonts w:ascii="Georgia;serif" w:hAnsi="Georgia;serif"/>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research and development expenses process. These procedures also included, among others, (i) testing accuracy and completeness of the report prepared by management to calculate the clinical accruals by obtaining and inspecting source documents, such as contracts, purchase orders and invoices, (ii) testing, on a sample basis, the completeness and accuracy of costs incurred for services that have been performed and for which the Company has been invoiced by comparing amounts to CRO contracts and invoices, and (iii) testing, on a sample basis, classification of research and development expenses.</w:t>
            </w:r>
          </w:p>
          <w:p>
            <w:pPr>
              <w:pStyle w:val="TableContents"/>
              <w:bidi w:val="0"/>
              <w:spacing w:before="60" w:after="20"/>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877" w:type="dxa"/>
        <w:jc w:val="left"/>
        <w:tblInd w:w="0" w:type="dxa"/>
        <w:tblLayout w:type="fixed"/>
        <w:tblCellMar>
          <w:top w:w="28" w:type="dxa"/>
          <w:left w:w="28" w:type="dxa"/>
          <w:bottom w:w="28" w:type="dxa"/>
          <w:right w:w="28" w:type="dxa"/>
        </w:tblCellMar>
      </w:tblPr>
      <w:tblGrid>
        <w:gridCol w:w="5686"/>
        <w:gridCol w:w="191"/>
      </w:tblGrid>
      <w:tr>
        <w:trPr/>
        <w:tc>
          <w:tcPr>
            <w:tcW w:w="56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86" w:type="dxa"/>
            <w:tcBorders>
              <w:top w:val="single" w:sz="6" w:space="0" w:color="000000"/>
              <w:left w:val="single" w:sz="6" w:space="0" w:color="000000"/>
              <w:bottom w:val="single" w:sz="6" w:space="0" w:color="000000"/>
              <w:right w:val="single" w:sz="6" w:space="0" w:color="000000"/>
            </w:tcBorders>
            <w:tcMar>
              <w:left w:w="108" w:type="dxa"/>
              <w:right w:w="108" w:type="dxa"/>
            </w:tcMar>
            <w:vAlign w:val="center"/>
          </w:tcPr>
          <w:p>
            <w:pPr>
              <w:pStyle w:val="TableContents"/>
              <w:bidi w:val="0"/>
              <w:spacing w:before="0" w:after="20"/>
              <w:jc w:val="left"/>
              <w:rPr>
                <w:rFonts w:ascii="Georgia;serif" w:hAnsi="Georgia;serif"/>
                <w:color w:val="000000"/>
                <w:sz w:val="20"/>
              </w:rPr>
            </w:pPr>
            <w:r>
              <w:rPr>
                <w:rFonts w:ascii="Georgia;serif" w:hAnsi="Georgia;serif"/>
                <w:color w:val="000000"/>
                <w:sz w:val="20"/>
              </w:rPr>
              <w:t>the Company’s research and development expenses and accruals.</w:t>
            </w:r>
          </w:p>
        </w:tc>
        <w:tc>
          <w:tcPr>
            <w:tcW w:w="191" w:type="dxa"/>
            <w:tcBorders>
              <w:top w:val="single" w:sz="6" w:space="0" w:color="000000"/>
              <w:bottom w:val="single" w:sz="6" w:space="0" w:color="000000"/>
              <w:right w:val="single" w:sz="6" w:space="0" w:color="000000"/>
            </w:tcBorders>
            <w:tcMar>
              <w:left w:w="0" w:type="dxa"/>
              <w:right w:w="108" w:type="dxa"/>
            </w:tcMar>
            <w:vAlign w:val="center"/>
          </w:tcPr>
          <w:p>
            <w:pPr>
              <w:pStyle w:val="TableContents"/>
              <w:bidi w:val="0"/>
              <w:spacing w:before="0" w:after="283"/>
              <w:jc w:val="left"/>
              <w:rPr/>
            </w:pPr>
            <w:r>
              <w:rPr/>
              <w:t> </w:t>
            </w:r>
          </w:p>
        </w:tc>
      </w:tr>
      <w:tr>
        <w:trPr/>
        <w:tc>
          <w:tcPr>
            <w:tcW w:w="5877" w:type="dxa"/>
            <w:gridSpan w:val="2"/>
            <w:tcBorders>
              <w:left w:val="single" w:sz="6" w:space="0" w:color="000000"/>
              <w:bottom w:val="single" w:sz="6" w:space="0" w:color="000000"/>
              <w:right w:val="single" w:sz="6" w:space="0" w:color="000000"/>
            </w:tcBorders>
            <w:tcMar>
              <w:top w:w="0" w:type="dxa"/>
              <w:left w:w="108" w:type="dxa"/>
              <w:right w:w="108"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rFonts w:ascii="Arial" w:hAnsi="Arial"/>
          <w:b/>
          <w:color w:val="000000"/>
          <w:sz w:val="20"/>
        </w:rPr>
      </w:pPr>
      <w:r>
        <w:rPr>
          <w:rFonts w:ascii="Arial" w:hAnsi="Arial"/>
          <w:b/>
          <w:color w:val="000000"/>
          <w:sz w:val="20"/>
        </w:rPr>
        <w:t>Other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other information. The other information comprises the information included in the annual report, which has partially been made available to us with the 6-K and 20-F filings, (but does not include the financial statements and the consolidated financial statements and our auditor’s reports thereon), which we obtained prior to the date of this auditor’s report, and the full annual report, which is expected to be made available to us after that date.</w:t>
      </w:r>
    </w:p>
    <w:p>
      <w:pPr>
        <w:pStyle w:val="TextBody"/>
        <w:bidi w:val="0"/>
        <w:spacing w:before="0" w:after="200"/>
        <w:jc w:val="left"/>
        <w:rPr>
          <w:rFonts w:ascii="Georgia;serif" w:hAnsi="Georgia;serif"/>
          <w:color w:val="000000"/>
          <w:sz w:val="20"/>
        </w:rPr>
      </w:pPr>
      <w:r>
        <w:rPr>
          <w:rFonts w:ascii="Georgia;serif" w:hAnsi="Georgia;serif"/>
          <w:color w:val="000000"/>
          <w:sz w:val="20"/>
        </w:rPr>
        <w:t>Our opinion on the consolidated financial statements does not cover the other information and we do not express any form of assurance conclusion thereon.</w:t>
      </w:r>
    </w:p>
    <w:p>
      <w:pPr>
        <w:pStyle w:val="TextBody"/>
        <w:bidi w:val="0"/>
        <w:spacing w:before="0" w:after="200"/>
        <w:jc w:val="left"/>
        <w:rPr>
          <w:rFonts w:ascii="Georgia;serif" w:hAnsi="Georgia;serif"/>
          <w:color w:val="000000"/>
          <w:sz w:val="20"/>
        </w:rPr>
      </w:pPr>
      <w:r>
        <w:rPr>
          <w:rFonts w:ascii="Georgia;serif" w:hAnsi="Georgia;serif"/>
          <w:color w:val="000000"/>
          <w:sz w:val="20"/>
        </w:rPr>
        <w:t>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w:t>
      </w:r>
    </w:p>
    <w:p>
      <w:pPr>
        <w:pStyle w:val="TextBody"/>
        <w:bidi w:val="0"/>
        <w:spacing w:before="0" w:after="200"/>
        <w:jc w:val="left"/>
        <w:rPr>
          <w:rFonts w:ascii="Georgia;serif" w:hAnsi="Georgia;serif"/>
          <w:color w:val="000000"/>
          <w:sz w:val="20"/>
        </w:rPr>
      </w:pPr>
      <w:r>
        <w:rPr>
          <w:rFonts w:ascii="Georgia;serif" w:hAnsi="Georgia;serif"/>
          <w:color w:val="000000"/>
          <w:sz w:val="20"/>
        </w:rPr>
        <w:t>If, based on the work we have performed, we conclude that there is a material misstatement of this other information, we are required to report that fact. We have nothing to report in this regard.</w:t>
      </w:r>
    </w:p>
    <w:p>
      <w:pPr>
        <w:pStyle w:val="TextBody"/>
        <w:bidi w:val="0"/>
        <w:spacing w:before="200" w:after="200"/>
        <w:jc w:val="left"/>
        <w:rPr>
          <w:rFonts w:ascii="Arial" w:hAnsi="Arial"/>
          <w:b/>
          <w:color w:val="000000"/>
          <w:sz w:val="20"/>
        </w:rPr>
      </w:pPr>
      <w:r>
        <w:rPr>
          <w:rFonts w:ascii="Arial" w:hAnsi="Arial"/>
          <w:b/>
          <w:color w:val="000000"/>
          <w:sz w:val="20"/>
        </w:rPr>
        <w:t>Board of Directors’ responsibilities for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preparation of consolidated financial statements, that give a true and fair view in accordance with IFRS Accounting Standards and the provisions of Swiss law, and for such internal control as the Board of Directors determines is necessary to enable the preparation of consolidated financial statements that are free from material misstatement, whether due to fraud or error.</w:t>
      </w:r>
    </w:p>
    <w:p>
      <w:pPr>
        <w:pStyle w:val="TextBody"/>
        <w:bidi w:val="0"/>
        <w:spacing w:before="0" w:after="200"/>
        <w:jc w:val="left"/>
        <w:rPr>
          <w:rFonts w:ascii="Georgia;serif" w:hAnsi="Georgia;serif"/>
          <w:color w:val="000000"/>
          <w:sz w:val="20"/>
        </w:rPr>
      </w:pPr>
      <w:r>
        <w:rPr>
          <w:rFonts w:ascii="Georgia;serif" w:hAnsi="Georgia;serif"/>
          <w:color w:val="000000"/>
          <w:sz w:val="20"/>
        </w:rPr>
        <w:t>In preparing the consolidated financial statements, the Board of Directors is responsible for assessing the Group’s ability to continue as a going concern, disclosing, as applicable, matters related to going concern and using the going concern basis of accounting unless the Board of Directors either intends to liquidate the Group or to cease operations, or has no realistic alternative but to do so.</w:t>
      </w:r>
    </w:p>
    <w:p>
      <w:pPr>
        <w:pStyle w:val="TextBody"/>
        <w:bidi w:val="0"/>
        <w:spacing w:before="200" w:after="200"/>
        <w:jc w:val="left"/>
        <w:rPr>
          <w:rFonts w:ascii="Arial" w:hAnsi="Arial"/>
          <w:b/>
          <w:color w:val="000000"/>
          <w:sz w:val="20"/>
        </w:rPr>
      </w:pPr>
      <w:r>
        <w:rPr>
          <w:rFonts w:ascii="Arial" w:hAnsi="Arial"/>
          <w:b/>
          <w:color w:val="000000"/>
          <w:sz w:val="20"/>
        </w:rPr>
        <w:t>Auditor’s responsibilities for the audit of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ISA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As part of an audit in accordance with Swiss law, ISA and SA-CH, we exercise professional judgement and maintain professional scepticism throughout the audit. We also:</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 xml:space="preserve">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Georgia;serif" w:hAnsi="Georgia;serif"/>
          <w:color w:val="000000"/>
          <w:sz w:val="20"/>
        </w:rPr>
      </w:pPr>
      <w:r>
        <w:rPr>
          <w:rFonts w:ascii="Georgia;serif" w:hAnsi="Georgia;serif"/>
          <w:color w:val="000000"/>
          <w:sz w:val="20"/>
        </w:rPr>
        <w:t>misstatement resulting from fraud is higher than for one resulting from error, as fraud may involve collusion, forgery, intentional omissions, misrepresentations, or the override of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Obtain an understanding of internal control relevant to the audit in order to design audit procedures that are appropriate in the circumstances, but not for the purpose of expressing an opinion on the effectiveness of the Group’s internal control.</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Evaluate the appropriateness of accounting policies used and the reasonableness of accounting estimates and related disclosures made.</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Conclude on the appropriateness of the Board of Directors’ use of the going concern basis of accounting and, based on the audit evidence obtained, whether a material uncertainty exists related to events or conditions that may cast significant doubt on the Group’s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pStyle w:val="TextBody"/>
        <w:bidi w:val="0"/>
        <w:spacing w:before="0" w:after="120"/>
        <w:jc w:val="left"/>
        <w:rPr>
          <w:color w:val="000000"/>
        </w:rPr>
      </w:pPr>
      <w:r>
        <w:rPr>
          <w:color w:val="000000"/>
        </w:rPr>
        <w:t>•</w:t>
      </w:r>
    </w:p>
    <w:p>
      <w:pPr>
        <w:pStyle w:val="TextBody"/>
        <w:bidi w:val="0"/>
        <w:spacing w:before="0" w:after="120"/>
        <w:jc w:val="left"/>
        <w:rPr>
          <w:rFonts w:ascii="Georgia;serif" w:hAnsi="Georgia;serif"/>
          <w:color w:val="000000"/>
          <w:sz w:val="20"/>
        </w:rPr>
      </w:pPr>
      <w:r>
        <w:rPr>
          <w:rFonts w:ascii="Georgia;serif" w:hAnsi="Georgia;serif"/>
          <w:color w:val="000000"/>
          <w:sz w:val="20"/>
        </w:rPr>
        <w:t>Plan and perform the group audit to obtain sufficient appropriate audit evidence regarding the financial information of the entities or business units within the Group as a basis for forming an opinion on the consolidated financial statements. We are responsible for the direction, supervision and review of the audit work performed for purposes of the group audit. We remain solely responsible for our audit opinion.</w:t>
      </w:r>
    </w:p>
    <w:p>
      <w:pPr>
        <w:pStyle w:val="TextBody"/>
        <w:bidi w:val="0"/>
        <w:spacing w:before="120" w:after="200"/>
        <w:jc w:val="left"/>
        <w:rPr>
          <w:rFonts w:ascii="Georgia;serif" w:hAnsi="Georgia;serif"/>
          <w:color w:val="000000"/>
          <w:sz w:val="20"/>
        </w:rPr>
      </w:pPr>
      <w:r>
        <w:rPr>
          <w:rFonts w:ascii="Georgia;serif" w:hAnsi="Georgia;serif"/>
          <w:color w:val="000000"/>
          <w:sz w:val="20"/>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pStyle w:val="TextBody"/>
        <w:bidi w:val="0"/>
        <w:spacing w:before="0" w:after="200"/>
        <w:jc w:val="left"/>
        <w:rPr>
          <w:rFonts w:ascii="Georgia;serif" w:hAnsi="Georgia;serif"/>
          <w:color w:val="000000"/>
          <w:sz w:val="20"/>
        </w:rPr>
      </w:pPr>
      <w:r>
        <w:rPr>
          <w:rFonts w:ascii="Georgia;serif" w:hAnsi="Georgia;serif"/>
          <w:color w:val="000000"/>
          <w:sz w:val="20"/>
        </w:rPr>
        <w:t>We also provide the Board of Directors or its relevant committee with a statement that we have complied with relevant ethical requirements regarding independence, and communicate with them regarding all relationships and other matters that may reasonably be thought to bear on our independence, and where applicable, actions taken to eliminate threats or safeguards applied.</w:t>
      </w:r>
    </w:p>
    <w:p>
      <w:pPr>
        <w:pStyle w:val="TextBody"/>
        <w:bidi w:val="0"/>
        <w:spacing w:before="0" w:after="200"/>
        <w:jc w:val="left"/>
        <w:rPr>
          <w:rFonts w:ascii="Georgia;serif" w:hAnsi="Georgia;serif"/>
          <w:color w:val="000000"/>
          <w:sz w:val="20"/>
        </w:rPr>
      </w:pPr>
      <w:r>
        <w:rPr>
          <w:rFonts w:ascii="Georgia;serif" w:hAnsi="Georgia;serif"/>
          <w:color w:val="000000"/>
          <w:sz w:val="20"/>
        </w:rPr>
        <w:t>From the matters communicated with the Board of Directors or its relevant committee,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pStyle w:val="TextBody"/>
        <w:bidi w:val="0"/>
        <w:spacing w:before="200" w:after="200"/>
        <w:jc w:val="left"/>
        <w:rPr>
          <w:rFonts w:ascii="Arial" w:hAnsi="Arial"/>
          <w:b/>
          <w:color w:val="000000"/>
          <w:sz w:val="24"/>
        </w:rPr>
      </w:pPr>
      <w:r>
        <w:rPr>
          <w:rFonts w:ascii="Arial" w:hAnsi="Arial"/>
          <w:b/>
          <w:color w:val="000000"/>
          <w:sz w:val="24"/>
        </w:rPr>
        <w:t>Report on other legal and regulatory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In accordance with article 728a para. 1 item 3 CO and PS-CH 890, we confirm the existence of an internal control system that has been designed, pursuant to the instructions of the Board of Directors, for the preparation of the consolidated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recommend that the consolidated financial statements submitted to you be approved.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PricewaterhouseCoopers SA</w:t>
      </w:r>
    </w:p>
    <w:tbl>
      <w:tblPr>
        <w:tblW w:w="3887" w:type="dxa"/>
        <w:jc w:val="left"/>
        <w:tblInd w:w="0" w:type="dxa"/>
        <w:tblLayout w:type="fixed"/>
        <w:tblCellMar>
          <w:top w:w="28" w:type="dxa"/>
          <w:left w:w="28" w:type="dxa"/>
          <w:bottom w:w="28" w:type="dxa"/>
          <w:right w:w="28" w:type="dxa"/>
        </w:tblCellMar>
      </w:tblPr>
      <w:tblGrid>
        <w:gridCol w:w="1936"/>
        <w:gridCol w:w="1951"/>
      </w:tblGrid>
      <w:tr>
        <w:trPr/>
        <w:tc>
          <w:tcPr>
            <w:tcW w:w="193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hanging="11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/s/ Alex Fuhrer</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/s/ Violina Eremciuc</w:t>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Licensed audit expert</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Auditor in charge</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pPr>
            <w:r>
              <w:rPr/>
              <w:t> </w:t>
            </w:r>
          </w:p>
        </w:tc>
      </w:tr>
    </w:tbl>
    <w:p>
      <w:pPr>
        <w:pStyle w:val="TextBody"/>
        <w:bidi w:val="0"/>
        <w:spacing w:before="0" w:after="200"/>
        <w:jc w:val="left"/>
        <w:rPr>
          <w:rFonts w:ascii="Georgia;serif" w:hAnsi="Georgia;serif"/>
          <w:color w:val="000000"/>
          <w:sz w:val="20"/>
        </w:rPr>
      </w:pPr>
      <w:r>
        <w:rPr>
          <w:rFonts w:ascii="Georgia;serif" w:hAnsi="Georgia;serif"/>
          <w:color w:val="000000"/>
          <w:sz w:val="20"/>
        </w:rPr>
        <w:t>Lausanne, March 4,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5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9" descr=""/>
                    <pic:cNvPicPr>
                      <a:picLocks noChangeAspect="1" noChangeArrowheads="1"/>
                    </pic:cNvPicPr>
                  </pic:nvPicPr>
                  <pic:blipFill>
                    <a:blip r:embed="rId34"/>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sz w:val="20"/>
        </w:rPr>
      </w:pPr>
      <w:bookmarkStart w:id="15" w:name="beg_ifrs_page"/>
      <w:bookmarkEnd w:id="15"/>
      <w:r>
        <w:rPr>
          <w:rFonts w:ascii="Times New Roman" w:hAnsi="Times New Roman"/>
          <w:color w:val="000000"/>
          <w:sz w:val="32"/>
        </w:rPr>
        <w:t>IFRS Consolidated Financial Stat</w:t>
      </w:r>
      <w:bookmarkStart w:id="16" w:name="ifrs_consolidated_financial_statements"/>
      <w:bookmarkEnd w:id="16"/>
      <w:r>
        <w:rPr>
          <w:rFonts w:ascii="Times New Roman" w:hAnsi="Times New Roman"/>
          <w:color w:val="000000"/>
          <w:sz w:val="32"/>
        </w:rPr>
        <w:t>ements as of and for the year ended December 31, 2025</w:t>
      </w:r>
      <w:r>
        <w:rPr>
          <w:rFonts w:ascii="Times New Roman" w:hAnsi="Times New Roman"/>
          <w:color w:val="000000"/>
          <w:sz w:val="20"/>
        </w:rPr>
        <w:t xml:space="preserve"> </w:t>
      </w:r>
    </w:p>
    <w:p>
      <w:pPr>
        <w:pStyle w:val="Heading2"/>
        <w:bidi w:val="0"/>
        <w:spacing w:before="200" w:after="283"/>
        <w:jc w:val="right"/>
        <w:rPr/>
      </w:pPr>
      <w:r>
        <w:rPr/>
        <w:t> </w:t>
      </w:r>
    </w:p>
    <w:p>
      <w:pPr>
        <w:pStyle w:val="Heading2"/>
        <w:bidi w:val="0"/>
        <w:spacing w:before="200" w:after="283"/>
        <w:jc w:val="right"/>
        <w:rPr/>
      </w:pPr>
      <w:r>
        <w:rPr/>
        <w:t> </w:t>
      </w:r>
    </w:p>
    <w:p>
      <w:pPr>
        <w:pStyle w:val="Heading2"/>
        <w:bidi w:val="0"/>
        <w:spacing w:before="200" w:after="283"/>
        <w:jc w:val="right"/>
        <w:rPr/>
      </w:pPr>
      <w:r>
        <w:rPr/>
        <w:t> </w:t>
      </w:r>
    </w:p>
    <w:p>
      <w:pPr>
        <w:pStyle w:val="Heading2"/>
        <w:bidi w:val="0"/>
        <w:spacing w:before="200" w:after="283"/>
        <w:jc w:val="right"/>
        <w:rPr/>
      </w:pPr>
      <w:r>
        <w:rPr/>
        <w:t> </w:t>
      </w:r>
    </w:p>
    <w:p>
      <w:pPr>
        <w:pStyle w:val="Heading2"/>
        <w:bidi w:val="0"/>
        <w:spacing w:before="200" w:after="283"/>
        <w:jc w:val="righ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right"/>
        <w:rPr/>
      </w:pPr>
      <w:r>
        <w:rPr/>
        <w:drawing>
          <wp:inline distT="0" distB="0" distL="0" distR="0">
            <wp:extent cx="1476375" cy="400050"/>
            <wp:effectExtent l="0" t="0" r="0" b="0"/>
            <wp:docPr id="5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0" descr=""/>
                    <pic:cNvPicPr>
                      <a:picLocks noChangeAspect="1" noChangeArrowheads="1"/>
                    </pic:cNvPicPr>
                  </pic:nvPicPr>
                  <pic:blipFill>
                    <a:blip r:embed="rId35"/>
                    <a:stretch>
                      <a:fillRect/>
                    </a:stretch>
                  </pic:blipFill>
                  <pic:spPr bwMode="auto">
                    <a:xfrm>
                      <a:off x="0" y="0"/>
                      <a:ext cx="1476375" cy="400050"/>
                    </a:xfrm>
                    <a:prstGeom prst="rect">
                      <a:avLst/>
                    </a:prstGeom>
                  </pic:spPr>
                </pic:pic>
              </a:graphicData>
            </a:graphic>
          </wp:inline>
        </w:drawing>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12" w:space="1" w:color="000000"/>
        </w:pBdr>
        <w:bidi w:val="0"/>
        <w:jc w:val="left"/>
        <w:rPr/>
      </w:pPr>
      <w:r>
        <w:rPr/>
        <w:t> </w:t>
      </w:r>
    </w:p>
    <w:p>
      <w:pPr>
        <w:pStyle w:val="TextBody"/>
        <w:bidi w:val="0"/>
        <w:jc w:val="left"/>
        <w:rPr>
          <w:rFonts w:ascii="Times New Roman" w:hAnsi="Times New Roman"/>
          <w:sz w:val="20"/>
        </w:rPr>
      </w:pPr>
      <w:r>
        <w:rPr>
          <w:rFonts w:ascii="Times New Roman" w:hAnsi="Times New Roman"/>
          <w:b/>
          <w:color w:val="000000"/>
          <w:sz w:val="32"/>
        </w:rPr>
        <w:t>Oculis Holding AG</w:t>
      </w:r>
      <w:r>
        <w:rPr>
          <w:rFonts w:ascii="Times New Roman" w:hAnsi="Times New Roman"/>
          <w:color w:val="000000"/>
          <w:sz w:val="20"/>
        </w:rPr>
        <w:t xml:space="preserve"> </w:t>
      </w:r>
    </w:p>
    <w:p>
      <w:pPr>
        <w:pStyle w:val="TextBody"/>
        <w:bidi w:val="0"/>
        <w:jc w:val="left"/>
        <w:rPr>
          <w:rFonts w:ascii="Times New Roman" w:hAnsi="Times New Roman"/>
          <w:color w:val="000000"/>
          <w:sz w:val="32"/>
        </w:rPr>
      </w:pPr>
      <w:r>
        <w:rPr>
          <w:rFonts w:ascii="Times New Roman" w:hAnsi="Times New Roman"/>
          <w:color w:val="000000"/>
          <w:sz w:val="32"/>
        </w:rPr>
        <w:t>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972" w:type="dxa"/>
        <w:jc w:val="left"/>
        <w:tblInd w:w="0" w:type="dxa"/>
        <w:tblLayout w:type="fixed"/>
        <w:tblCellMar>
          <w:top w:w="28" w:type="dxa"/>
          <w:left w:w="28" w:type="dxa"/>
          <w:bottom w:w="28" w:type="dxa"/>
          <w:right w:w="28" w:type="dxa"/>
        </w:tblCellMar>
      </w:tblPr>
      <w:tblGrid>
        <w:gridCol w:w="8611"/>
        <w:gridCol w:w="361"/>
      </w:tblGrid>
      <w:tr>
        <w:trPr/>
        <w:tc>
          <w:tcPr>
            <w:tcW w:w="8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Table of Contents</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bs">
              <w:r>
                <w:rPr>
                  <w:rStyle w:val="InternetLink"/>
                  <w:rFonts w:ascii="Times New Roman" w:hAnsi="Times New Roman"/>
                  <w:color w:val="0000FF"/>
                  <w:sz w:val="20"/>
                  <w:u w:val="single"/>
                </w:rPr>
                <w:t>Consolidated Statements of Financial Position as of December 31, 2025 and 2024</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pl">
              <w:r>
                <w:rPr>
                  <w:rStyle w:val="InternetLink"/>
                  <w:rFonts w:ascii="Times New Roman" w:hAnsi="Times New Roman"/>
                  <w:color w:val="0000FF"/>
                  <w:sz w:val="20"/>
                  <w:u w:val="single"/>
                </w:rPr>
                <w:t>Consolidated Statements of Loss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oci">
              <w:r>
                <w:rPr>
                  <w:rStyle w:val="InternetLink"/>
                  <w:rFonts w:ascii="Times New Roman" w:hAnsi="Times New Roman"/>
                  <w:color w:val="0000FF"/>
                  <w:sz w:val="20"/>
                  <w:u w:val="single"/>
                </w:rPr>
                <w:t>Consolidated Statements of Comprehensive Loss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sse">
              <w:r>
                <w:rPr>
                  <w:rStyle w:val="InternetLink"/>
                  <w:rFonts w:ascii="Times New Roman" w:hAnsi="Times New Roman"/>
                  <w:color w:val="0000FF"/>
                  <w:sz w:val="20"/>
                  <w:u w:val="single"/>
                </w:rPr>
                <w:t>Consolidated Statements of Changes in Equity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scf">
              <w:r>
                <w:rPr>
                  <w:rStyle w:val="InternetLink"/>
                  <w:rFonts w:ascii="Times New Roman" w:hAnsi="Times New Roman"/>
                  <w:color w:val="0000FF"/>
                  <w:sz w:val="20"/>
                  <w:u w:val="single"/>
                </w:rPr>
                <w:t>Consolidated Statements of Cash Flows for the years ended December 31, 2025, 2024 and 2023</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611" w:type="dxa"/>
            <w:tcBorders/>
            <w:tcMar>
              <w:top w:w="0" w:type="dxa"/>
              <w:left w:w="0" w:type="dxa"/>
              <w:bottom w:w="0" w:type="dxa"/>
              <w:right w:w="0" w:type="dxa"/>
            </w:tcMar>
            <w:vAlign w:val="center"/>
          </w:tcPr>
          <w:p>
            <w:pPr>
              <w:pStyle w:val="TableContents"/>
              <w:bidi w:val="0"/>
              <w:spacing w:before="0" w:after="283"/>
              <w:jc w:val="left"/>
              <w:rPr/>
            </w:pPr>
            <w:hyperlink w:anchor="ifrs_fns">
              <w:r>
                <w:rPr>
                  <w:rStyle w:val="InternetLink"/>
                  <w:rFonts w:ascii="Times New Roman" w:hAnsi="Times New Roman"/>
                  <w:color w:val="0000FF"/>
                  <w:sz w:val="20"/>
                  <w:u w:val="single"/>
                </w:rPr>
                <w:t>Notes to the Consolidated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7" w:name="ifrs_bs"/>
      <w:bookmarkStart w:id="18" w:name="ifrs_beginning_v2"/>
      <w:bookmarkEnd w:id="17"/>
      <w:bookmarkEnd w:id="18"/>
      <w:r>
        <w:rPr>
          <w:rFonts w:ascii="Times New Roman" w:hAnsi="Times New Roman"/>
          <w:b/>
          <w:color w:val="000000"/>
          <w:sz w:val="20"/>
        </w:rPr>
        <w:t>Oculis Holding AG</w:t>
      </w:r>
    </w:p>
    <w:p>
      <w:pPr>
        <w:pStyle w:val="TextBody"/>
        <w:bidi w:val="0"/>
        <w:jc w:val="left"/>
        <w:rPr>
          <w:rFonts w:ascii="Times New Roman" w:hAnsi="Times New Roman"/>
          <w:sz w:val="20"/>
        </w:rPr>
      </w:pPr>
      <w:r>
        <w:rPr>
          <w:rFonts w:ascii="Times New Roman" w:hAnsi="Times New Roman"/>
          <w:b/>
          <w:color w:val="000000"/>
          <w:sz w:val="20"/>
        </w:rPr>
        <w:t>Consolidated Statements of Financial Position</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CHF thousands)</w:t>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3946"/>
        <w:gridCol w:w="146"/>
        <w:gridCol w:w="466"/>
        <w:gridCol w:w="146"/>
        <w:gridCol w:w="258"/>
        <w:gridCol w:w="1332"/>
        <w:gridCol w:w="166"/>
        <w:gridCol w:w="146"/>
        <w:gridCol w:w="258"/>
        <w:gridCol w:w="1332"/>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17,074</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15,456</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344,946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Reserve for share-based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Cumulative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73,383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pension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44,235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46,970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120,353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frs_pl"/>
      <w:bookmarkEnd w:id="19"/>
      <w:r>
        <w:rPr>
          <w:rFonts w:ascii="Times New Roman" w:hAnsi="Times New Roman"/>
          <w:b/>
          <w:color w:val="000000"/>
          <w:sz w:val="20"/>
        </w:rPr>
        <w:t>Oculis Holding AG</w:t>
      </w:r>
    </w:p>
    <w:p>
      <w:pPr>
        <w:pStyle w:val="TextBody"/>
        <w:bidi w:val="0"/>
        <w:jc w:val="both"/>
        <w:rPr>
          <w:rFonts w:ascii="Times New Roman" w:hAnsi="Times New Roman"/>
          <w:b/>
          <w:color w:val="000000"/>
          <w:sz w:val="20"/>
        </w:rPr>
      </w:pPr>
      <w:r>
        <w:rPr>
          <w:rFonts w:ascii="Times New Roman" w:hAnsi="Times New Roman"/>
          <w:b/>
          <w:color w:val="000000"/>
          <w:sz w:val="20"/>
        </w:rPr>
        <w:t>Consolidated Statements of Loss</w:t>
      </w:r>
    </w:p>
    <w:p>
      <w:pPr>
        <w:pStyle w:val="TextBody"/>
        <w:bidi w:val="0"/>
        <w:jc w:val="both"/>
        <w:rPr>
          <w:rFonts w:ascii="Times New Roman" w:hAnsi="Times New Roman"/>
          <w:sz w:val="20"/>
        </w:rPr>
      </w:pPr>
      <w:r>
        <w:rPr>
          <w:rFonts w:ascii="Times New Roman" w:hAnsi="Times New Roman"/>
          <w:i/>
          <w:color w:val="000000"/>
          <w:sz w:val="20"/>
        </w:rPr>
        <w:t>(in CHF thousands, except loss per share data)</w:t>
      </w:r>
      <w:r>
        <w:rPr>
          <w:rFonts w:ascii="Times New Roman" w:hAnsi="Times New Roman"/>
          <w:color w:val="000000"/>
          <w:sz w:val="20"/>
        </w:rPr>
        <w:t xml:space="preserve"> </w:t>
      </w:r>
    </w:p>
    <w:p>
      <w:pPr>
        <w:pStyle w:val="TextBody"/>
        <w:bidi w:val="0"/>
        <w:jc w:val="both"/>
        <w:rPr/>
      </w:pPr>
      <w:r>
        <w:rPr/>
        <w:t> </w:t>
      </w:r>
    </w:p>
    <w:tbl>
      <w:tblPr>
        <w:tblW w:w="8125" w:type="dxa"/>
        <w:jc w:val="left"/>
        <w:tblInd w:w="0" w:type="dxa"/>
        <w:tblLayout w:type="fixed"/>
        <w:tblCellMar>
          <w:top w:w="28" w:type="dxa"/>
          <w:left w:w="28" w:type="dxa"/>
          <w:bottom w:w="28" w:type="dxa"/>
          <w:right w:w="28" w:type="dxa"/>
        </w:tblCellMar>
      </w:tblPr>
      <w:tblGrid>
        <w:gridCol w:w="3721"/>
        <w:gridCol w:w="146"/>
        <w:gridCol w:w="856"/>
        <w:gridCol w:w="146"/>
        <w:gridCol w:w="146"/>
        <w:gridCol w:w="661"/>
        <w:gridCol w:w="166"/>
        <w:gridCol w:w="146"/>
        <w:gridCol w:w="146"/>
        <w:gridCol w:w="661"/>
        <w:gridCol w:w="166"/>
        <w:gridCol w:w="146"/>
        <w:gridCol w:w="661"/>
        <w:gridCol w:w="166"/>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(A) /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Merger and listing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 /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(17,471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(12,733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(7,981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attributable to equity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0" w:name="ifrs_oci"/>
      <w:bookmarkEnd w:id="20"/>
      <w:r>
        <w:rPr>
          <w:rFonts w:ascii="Times New Roman" w:hAnsi="Times New Roman"/>
          <w:b/>
          <w:color w:val="000000"/>
          <w:sz w:val="20"/>
        </w:rPr>
        <w:t>Oculis Holding AG</w:t>
      </w:r>
    </w:p>
    <w:p>
      <w:pPr>
        <w:pStyle w:val="TextBody"/>
        <w:bidi w:val="0"/>
        <w:jc w:val="both"/>
        <w:rPr>
          <w:rFonts w:ascii="Times New Roman" w:hAnsi="Times New Roman"/>
          <w:sz w:val="20"/>
        </w:rPr>
      </w:pPr>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(in CHF thousands)</w:t>
      </w:r>
      <w:r>
        <w:rPr>
          <w:rFonts w:ascii="Times New Roman" w:hAnsi="Times New Roman"/>
          <w:color w:val="000000"/>
          <w:sz w:val="20"/>
        </w:rPr>
        <w:t xml:space="preserve"> </w:t>
      </w:r>
    </w:p>
    <w:p>
      <w:pPr>
        <w:pStyle w:val="TextBody"/>
        <w:bidi w:val="0"/>
        <w:jc w:val="left"/>
        <w:rPr/>
      </w:pPr>
      <w:r>
        <w:rPr/>
        <w:t> </w:t>
      </w:r>
    </w:p>
    <w:tbl>
      <w:tblPr>
        <w:tblW w:w="8009" w:type="dxa"/>
        <w:jc w:val="left"/>
        <w:tblInd w:w="0" w:type="dxa"/>
        <w:tblLayout w:type="fixed"/>
        <w:tblCellMar>
          <w:top w:w="28" w:type="dxa"/>
          <w:left w:w="28" w:type="dxa"/>
          <w:bottom w:w="28" w:type="dxa"/>
          <w:right w:w="28" w:type="dxa"/>
        </w:tblCellMar>
      </w:tblPr>
      <w:tblGrid>
        <w:gridCol w:w="4066"/>
        <w:gridCol w:w="541"/>
        <w:gridCol w:w="146"/>
        <w:gridCol w:w="146"/>
        <w:gridCol w:w="146"/>
        <w:gridCol w:w="661"/>
        <w:gridCol w:w="166"/>
        <w:gridCol w:w="146"/>
        <w:gridCol w:w="146"/>
        <w:gridCol w:w="661"/>
        <w:gridCol w:w="166"/>
        <w:gridCol w:w="146"/>
        <w:gridCol w:w="661"/>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top w:val="single" w:sz="4" w:space="0" w:color="FFFFFF"/>
              <w:left w:val="single" w:sz="4" w:space="0" w:color="FFFFFF"/>
              <w:bottom w:val="single" w:sz="4" w:space="0" w:color="FFFFFF"/>
              <w:right w:val="single" w:sz="4" w:space="0" w:color="FFFFFF"/>
            </w:tcBorders>
            <w:shd w:fill="FFFFFF" w:val="clear"/>
            <w:vAlign w:val="center"/>
          </w:tcPr>
          <w:p>
            <w:pPr>
              <w:pStyle w:val="TableContents"/>
              <w:bidi w:val="0"/>
              <w:spacing w:before="0" w:after="283"/>
              <w:jc w:val="center"/>
              <w:rPr/>
            </w:pPr>
            <w:r>
              <w:rPr/>
              <w:t> </w:t>
            </w:r>
          </w:p>
        </w:tc>
        <w:tc>
          <w:tcPr>
            <w:tcW w:w="541" w:type="dxa"/>
            <w:tcBorders>
              <w:top w:val="single" w:sz="4" w:space="0" w:color="FFFFFF"/>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FFFFFF"/>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center"/>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(88,802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will not be reclassified to Statements of Loss: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gain (loss) of defined benefit plans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6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211"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Items that may be reclassified subsequently to loss:</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FFFFFF"/>
              <w:right w:val="single" w:sz="4" w:space="0" w:color="FFFFFF"/>
            </w:tcBorders>
            <w:shd w:fill="CFF0FC" w:val="clear"/>
            <w:tcMar>
              <w:top w:w="0" w:type="dxa"/>
              <w:left w:w="0" w:type="dxa"/>
            </w:tcMar>
            <w:vAlign w:val="center"/>
          </w:tcPr>
          <w:p>
            <w:pPr>
              <w:pStyle w:val="TableContents"/>
              <w:bidi w:val="0"/>
              <w:spacing w:before="0" w:after="283"/>
              <w:jc w:val="right"/>
              <w:rPr/>
            </w:pPr>
            <w:r>
              <w:rPr/>
              <w:t> </w:t>
            </w:r>
          </w:p>
        </w:tc>
      </w:tr>
      <w:tr>
        <w:trPr/>
        <w:tc>
          <w:tcPr>
            <w:tcW w:w="4066"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differences</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6"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differences recycling</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6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 for the period</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4066" w:type="dxa"/>
            <w:tcBorders>
              <w:left w:val="single" w:sz="4" w:space="0" w:color="FFFFFF"/>
              <w:right w:val="single" w:sz="4" w:space="0" w:color="FFFFFF"/>
            </w:tcBorders>
            <w:shd w:fill="FFFFFF" w:val="clear"/>
            <w:tcMar>
              <w:top w:w="0" w:type="dxa"/>
              <w:bottom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for the period</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(86,882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(89,637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18"/>
        </w:rPr>
      </w:pPr>
      <w:bookmarkStart w:id="21" w:name="ifrs_sse"/>
      <w:bookmarkEnd w:id="21"/>
      <w:r>
        <w:rPr>
          <w:rFonts w:ascii="Times New Roman" w:hAnsi="Times New Roman"/>
          <w:b/>
          <w:color w:val="000000"/>
          <w:sz w:val="18"/>
        </w:rPr>
        <w:t>Oculis Holding AG</w:t>
      </w:r>
    </w:p>
    <w:p>
      <w:pPr>
        <w:pStyle w:val="TextBody"/>
        <w:bidi w:val="0"/>
        <w:jc w:val="left"/>
        <w:rPr>
          <w:rFonts w:ascii="Times New Roman" w:hAnsi="Times New Roman"/>
          <w:b/>
          <w:color w:val="000000"/>
          <w:sz w:val="18"/>
        </w:rPr>
      </w:pPr>
      <w:r>
        <w:rPr>
          <w:rFonts w:ascii="Times New Roman" w:hAnsi="Times New Roman"/>
          <w:b/>
          <w:color w:val="000000"/>
          <w:sz w:val="18"/>
        </w:rPr>
        <w:t>Consolidated Statements of Changes in Equity</w:t>
      </w:r>
    </w:p>
    <w:p>
      <w:pPr>
        <w:pStyle w:val="TextBody"/>
        <w:bidi w:val="0"/>
        <w:jc w:val="left"/>
        <w:rPr>
          <w:rFonts w:ascii="Times New Roman" w:hAnsi="Times New Roman"/>
          <w:sz w:val="20"/>
        </w:rPr>
      </w:pPr>
      <w:r>
        <w:rPr>
          <w:rFonts w:ascii="Times New Roman" w:hAnsi="Times New Roman"/>
          <w:i/>
          <w:color w:val="000000"/>
          <w:sz w:val="17"/>
        </w:rPr>
        <w:t>(in CHF thousands, except share numbers)</w:t>
      </w:r>
      <w:r>
        <w:rPr>
          <w:rFonts w:ascii="Times New Roman" w:hAnsi="Times New Roman"/>
          <w:color w:val="000000"/>
          <w:sz w:val="20"/>
        </w:rPr>
        <w:t xml:space="preserve"> </w:t>
      </w:r>
    </w:p>
    <w:tbl>
      <w:tblPr>
        <w:tblW w:w="15281" w:type="dxa"/>
        <w:jc w:val="left"/>
        <w:tblInd w:w="0" w:type="dxa"/>
        <w:tblLayout w:type="fixed"/>
        <w:tblCellMar>
          <w:top w:w="28" w:type="dxa"/>
          <w:left w:w="28" w:type="dxa"/>
          <w:bottom w:w="28" w:type="dxa"/>
          <w:right w:w="28" w:type="dxa"/>
        </w:tblCellMar>
      </w:tblPr>
      <w:tblGrid>
        <w:gridCol w:w="961"/>
        <w:gridCol w:w="146"/>
        <w:gridCol w:w="361"/>
        <w:gridCol w:w="146"/>
        <w:gridCol w:w="631"/>
        <w:gridCol w:w="151"/>
        <w:gridCol w:w="146"/>
        <w:gridCol w:w="157"/>
        <w:gridCol w:w="294"/>
        <w:gridCol w:w="151"/>
        <w:gridCol w:w="146"/>
        <w:gridCol w:w="146"/>
        <w:gridCol w:w="541"/>
        <w:gridCol w:w="151"/>
        <w:gridCol w:w="146"/>
        <w:gridCol w:w="239"/>
        <w:gridCol w:w="347"/>
        <w:gridCol w:w="151"/>
        <w:gridCol w:w="146"/>
        <w:gridCol w:w="146"/>
        <w:gridCol w:w="146"/>
        <w:gridCol w:w="646"/>
        <w:gridCol w:w="146"/>
        <w:gridCol w:w="146"/>
        <w:gridCol w:w="152"/>
        <w:gridCol w:w="299"/>
        <w:gridCol w:w="146"/>
        <w:gridCol w:w="146"/>
        <w:gridCol w:w="146"/>
        <w:gridCol w:w="631"/>
        <w:gridCol w:w="151"/>
        <w:gridCol w:w="146"/>
        <w:gridCol w:w="205"/>
        <w:gridCol w:w="381"/>
        <w:gridCol w:w="151"/>
        <w:gridCol w:w="146"/>
        <w:gridCol w:w="146"/>
        <w:gridCol w:w="496"/>
        <w:gridCol w:w="151"/>
        <w:gridCol w:w="146"/>
        <w:gridCol w:w="180"/>
        <w:gridCol w:w="541"/>
        <w:gridCol w:w="151"/>
        <w:gridCol w:w="146"/>
        <w:gridCol w:w="181"/>
        <w:gridCol w:w="525"/>
        <w:gridCol w:w="151"/>
        <w:gridCol w:w="146"/>
        <w:gridCol w:w="259"/>
        <w:gridCol w:w="747"/>
        <w:gridCol w:w="151"/>
        <w:gridCol w:w="146"/>
        <w:gridCol w:w="169"/>
        <w:gridCol w:w="627"/>
        <w:gridCol w:w="151"/>
        <w:gridCol w:w="146"/>
        <w:gridCol w:w="146"/>
        <w:gridCol w:w="496"/>
        <w:gridCol w:w="196"/>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Legacy share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Legacy 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Note</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shares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 premium</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Reserve for share-based payment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Cumulative translation adjustment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Actuarial gain (loss) on post-employment benefit obligations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losses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3,894,722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(114,323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10,742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(110,978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(97,991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loss on post-employment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 recycling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(88,802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(89,637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Legacy Oculis ordinary shares and treasury shares into Oculis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(3,894,722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114,323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3,780,399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Conversion of Legacy Oculis long-term financial debt into Oculis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16,496,603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to PIPE investors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66,983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under CLA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to EBAC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3,370,480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35,525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business combination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Proceeds from sale of shares in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3,654,234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in connection with warrant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36,649,705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288,162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(199,780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93,728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36,649,705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288,162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6,379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(199,780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93,728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loss on post-employment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(1,161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(85,777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(86,882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related to registered direct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53,541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44,662,402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(1,000,000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344,946</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16,062</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(271</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(2,233</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(285,557</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73,383</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44,662,402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(1,000,000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344,946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16,062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(2,233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(285,557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73,383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(98,957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Actuarial gain on post-employment benefit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(98,957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(98,567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ordinary shares related to underwritten offerings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7,635,801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2,796,297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178,859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Transaction costs related to the issuance of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Vesting of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shares to be held as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options exercised and RSUs vested/released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58,688,141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(703,703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551,731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30,387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(480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(1,634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(384,514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196,070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ifrs_scf"/>
      <w:bookmarkEnd w:id="22"/>
      <w:r>
        <w:rPr>
          <w:rFonts w:ascii="Times New Roman" w:hAnsi="Times New Roman"/>
          <w:b/>
          <w:color w:val="000000"/>
          <w:sz w:val="20"/>
        </w:rPr>
        <w:t>Oculis Holding AG</w:t>
      </w:r>
    </w:p>
    <w:p>
      <w:pPr>
        <w:pStyle w:val="TextBody"/>
        <w:bidi w:val="0"/>
        <w:jc w:val="left"/>
        <w:rPr>
          <w:rFonts w:ascii="Times New Roman" w:hAnsi="Times New Roman"/>
          <w:sz w:val="20"/>
        </w:rPr>
      </w:pPr>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 CHF thousands)</w:t>
      </w:r>
      <w:r>
        <w:rPr>
          <w:rFonts w:ascii="Times New Roman" w:hAnsi="Times New Roman"/>
          <w:color w:val="000000"/>
          <w:sz w:val="20"/>
        </w:rPr>
        <w:t xml:space="preserve"> </w:t>
      </w:r>
    </w:p>
    <w:tbl>
      <w:tblPr>
        <w:tblW w:w="9196" w:type="dxa"/>
        <w:jc w:val="left"/>
        <w:tblInd w:w="0" w:type="dxa"/>
        <w:tblLayout w:type="fixed"/>
        <w:tblCellMar>
          <w:top w:w="28" w:type="dxa"/>
          <w:left w:w="28" w:type="dxa"/>
          <w:bottom w:w="28" w:type="dxa"/>
          <w:right w:w="28" w:type="dxa"/>
        </w:tblCellMar>
      </w:tblPr>
      <w:tblGrid>
        <w:gridCol w:w="4741"/>
        <w:gridCol w:w="146"/>
        <w:gridCol w:w="781"/>
        <w:gridCol w:w="146"/>
        <w:gridCol w:w="146"/>
        <w:gridCol w:w="691"/>
        <w:gridCol w:w="166"/>
        <w:gridCol w:w="146"/>
        <w:gridCol w:w="154"/>
        <w:gridCol w:w="701"/>
        <w:gridCol w:w="166"/>
        <w:gridCol w:w="146"/>
        <w:gridCol w:w="149"/>
        <w:gridCol w:w="70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w:t>
              <w:br/>
              <w:t>(as recast)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2023 </w:t>
              <w:br/>
              <w:t>(as recast)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tax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(88,695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Financial result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Depreciation of property and equipment and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Interest expense on Series B and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 / 7.(C)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Post-employment (benefits)/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Fair value adjustment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Merger and listing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Working capital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other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payables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(De)/Increase in long-term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(paid)/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outflow for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short-term financial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 for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outflow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(60,934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(52,973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sale of shares in public offerings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exercises of warrants,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payment of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shares issued to PIPE investors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the shares issued to CLA investors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EBAC non-redeemed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related to the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inflow for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foreign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cash and cash equivalents variation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non-cash investing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acquisition recorded in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 recorded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non-cash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recorded in 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3" w:name="ifrs_fns"/>
      <w:bookmarkEnd w:id="23"/>
      <w:r>
        <w:rPr>
          <w:rFonts w:ascii="Times New Roman" w:hAnsi="Times New Roman"/>
          <w:b/>
          <w:color w:val="000000"/>
          <w:sz w:val="20"/>
        </w:rPr>
        <w:t>Oculis Holding AG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aps/>
          <w:color w:val="000000"/>
          <w:sz w:val="20"/>
        </w:rPr>
        <w:t>Notes to the consolidated financial statements</w:t>
      </w:r>
      <w:r>
        <w:rPr>
          <w:rFonts w:ascii="Times New Roman" w:hAnsi="Times New Roman"/>
          <w:caps/>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(All amounts presented in CHF thousands, except share numbers, unless otherwise noted)</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w:t>
      </w:r>
    </w:p>
    <w:p>
      <w:pPr>
        <w:pStyle w:val="TextBody"/>
        <w:bidi w:val="0"/>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Oculis Holding AG (“</w:t>
      </w:r>
      <w:r>
        <w:rPr>
          <w:rFonts w:ascii="Times New Roman" w:hAnsi="Times New Roman"/>
          <w:i/>
          <w:color w:val="000000"/>
          <w:sz w:val="20"/>
        </w:rPr>
        <w:t>Oculis”</w:t>
      </w:r>
      <w:r>
        <w:rPr>
          <w:rFonts w:ascii="Times New Roman" w:hAnsi="Times New Roman"/>
          <w:color w:val="000000"/>
          <w:sz w:val="20"/>
        </w:rPr>
        <w:t xml:space="preserve"> or the “</w:t>
      </w:r>
      <w:r>
        <w:rPr>
          <w:rFonts w:ascii="Times New Roman" w:hAnsi="Times New Roman"/>
          <w:i/>
          <w:color w:val="000000"/>
          <w:sz w:val="20"/>
        </w:rPr>
        <w:t>Company”</w:t>
      </w:r>
      <w:r>
        <w:rPr>
          <w:rFonts w:ascii="Times New Roman" w:hAnsi="Times New Roman"/>
          <w:color w:val="000000"/>
          <w:sz w:val="20"/>
        </w:rPr>
        <w:t>) is a stock corporation (“</w:t>
      </w:r>
      <w:r>
        <w:rPr>
          <w:rFonts w:ascii="Times New Roman" w:hAnsi="Times New Roman"/>
          <w:i/>
          <w:color w:val="000000"/>
          <w:sz w:val="20"/>
        </w:rPr>
        <w:t>Aktiengesellschaft”</w:t>
      </w:r>
      <w:r>
        <w:rPr>
          <w:rFonts w:ascii="Times New Roman" w:hAnsi="Times New Roman"/>
          <w:color w:val="000000"/>
          <w:sz w:val="20"/>
        </w:rPr>
        <w:t>) with its registered office at Bahnhofstrasse 20, CH-6300, Zug, Switzerland. It was incorporated under the laws of Switzerland on October 31, 2022.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Company controls seven wholly-owned subsidiaries: Oculis Operations Sàrl (“</w:t>
      </w:r>
      <w:r>
        <w:rPr>
          <w:rFonts w:ascii="Times New Roman" w:hAnsi="Times New Roman"/>
          <w:i/>
          <w:color w:val="000000"/>
          <w:sz w:val="20"/>
        </w:rPr>
        <w:t>Oculis Operations”</w:t>
      </w:r>
      <w:r>
        <w:rPr>
          <w:rFonts w:ascii="Times New Roman" w:hAnsi="Times New Roman"/>
          <w:color w:val="000000"/>
          <w:sz w:val="20"/>
        </w:rPr>
        <w:t>) with its registered office in Lausanne, Switzerland, which was incorporated in Zug, Switzerland on December 27, 2022, Oculis ehf (“</w:t>
      </w:r>
      <w:r>
        <w:rPr>
          <w:rFonts w:ascii="Times New Roman" w:hAnsi="Times New Roman"/>
          <w:i/>
          <w:color w:val="000000"/>
          <w:sz w:val="20"/>
        </w:rPr>
        <w:t>Oculis Iceland”)</w:t>
      </w:r>
      <w:r>
        <w:rPr>
          <w:rFonts w:ascii="Times New Roman" w:hAnsi="Times New Roman"/>
          <w:color w:val="000000"/>
          <w:sz w:val="20"/>
        </w:rPr>
        <w:t>, which was incorporated in Reykjavik, Iceland on October 28, 2003, Oculis France Sàrl (“</w:t>
      </w:r>
      <w:r>
        <w:rPr>
          <w:rFonts w:ascii="Times New Roman" w:hAnsi="Times New Roman"/>
          <w:i/>
          <w:color w:val="000000"/>
          <w:sz w:val="20"/>
        </w:rPr>
        <w:t>Oculis France”</w:t>
      </w:r>
      <w:r>
        <w:rPr>
          <w:rFonts w:ascii="Times New Roman" w:hAnsi="Times New Roman"/>
          <w:color w:val="000000"/>
          <w:sz w:val="20"/>
        </w:rPr>
        <w:t>) which was incorporated in Paris, France on March 27, 2020, Oculis US, Inc. with its registered office in Newton MA, USA, which was incorporated in Delaware, USA, on May 26, 2020, Oculis HK, Limited (“</w:t>
      </w:r>
      <w:r>
        <w:rPr>
          <w:rFonts w:ascii="Times New Roman" w:hAnsi="Times New Roman"/>
          <w:i/>
          <w:color w:val="000000"/>
          <w:sz w:val="20"/>
        </w:rPr>
        <w:t>Oculis HK”</w:t>
      </w:r>
      <w:r>
        <w:rPr>
          <w:rFonts w:ascii="Times New Roman" w:hAnsi="Times New Roman"/>
          <w:color w:val="000000"/>
          <w:sz w:val="20"/>
        </w:rPr>
        <w:t>) which was incorporated in Hong Kong, China on June 1, 2021, Neurocol IP Sàrl (“</w:t>
      </w:r>
      <w:r>
        <w:rPr>
          <w:rFonts w:ascii="Times New Roman" w:hAnsi="Times New Roman"/>
          <w:i/>
          <w:color w:val="000000"/>
          <w:sz w:val="20"/>
        </w:rPr>
        <w:t>Neurocol IP”</w:t>
      </w:r>
      <w:r>
        <w:rPr>
          <w:rFonts w:ascii="Times New Roman" w:hAnsi="Times New Roman"/>
          <w:color w:val="000000"/>
          <w:sz w:val="20"/>
        </w:rPr>
        <w:t>), which was incorporated in Lausanne, Switzerland on December 4, 2025, and Neurocol Operations Sàrl (“</w:t>
      </w:r>
      <w:r>
        <w:rPr>
          <w:rFonts w:ascii="Times New Roman" w:hAnsi="Times New Roman"/>
          <w:i/>
          <w:color w:val="000000"/>
          <w:sz w:val="20"/>
        </w:rPr>
        <w:t>Neurocol Operations”</w:t>
      </w:r>
      <w:r>
        <w:rPr>
          <w:rFonts w:ascii="Times New Roman" w:hAnsi="Times New Roman"/>
          <w:color w:val="000000"/>
          <w:sz w:val="20"/>
        </w:rPr>
        <w:t>), which was incorporated in Lausanne, Switzerland on December 4, 2025. The Company and its wholly-owned subsidiaries form the Oculis Group (the “</w:t>
      </w:r>
      <w:r>
        <w:rPr>
          <w:rFonts w:ascii="Times New Roman" w:hAnsi="Times New Roman"/>
          <w:i/>
          <w:color w:val="000000"/>
          <w:sz w:val="20"/>
        </w:rPr>
        <w:t>Group”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is a global late clinical-stage biopharmaceutical company with substantial expertise in therapeutics for the treatment of ophthalmic and neuro-ophthalmic diseases. Oculis is engaged in developing innovative drug candidates with the potential to address significant unmet medical needs for many eye-related and neuro-ophthalmic conditions. The Company’s mission is to save sight and improve eye care for patients worldwide and it intends to become a global leader in ophthalmic and neuro-ophthalmic therapeutics to realize this mission.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consolidated financial statements of Oculis as of and for the year ended December 31, 2025, were approved and authorized for issue by the Company’s Board of Directors on March 4, 2026.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BASIS OF PREPARATION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accounts are prepared on a going concern basis. To date, the Group has financed its cash requirements primarily from share issuances, as well as government research and development grants. The November and February 2025 offerings, as well as prior financing transactions raised funding to secure business continuity as explained under Note 5. The Board of Directors believes that the Group has the ability to meet its financial obligations for at least the next 12 months.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 late clinical stage company and is exposed to all the risks inherent to establishing a business,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preclinical and clinical development; (iv) successfully obtain regulatory approval and commercialize its products; and (v) attract and retain key personnel. The Company’s success is subject to its ability to raise capital to support its current and future operations. To date, the Company has financed its cash requirements primarily through the sale of its preferred and ordinary shares and issuance of shares from warrants exercises.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of its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Statement of compliance </w:t>
      </w:r>
    </w:p>
    <w:p>
      <w:pPr>
        <w:pStyle w:val="TextBody"/>
        <w:bidi w:val="0"/>
        <w:spacing w:before="200" w:after="283"/>
        <w:jc w:val="both"/>
        <w:rPr>
          <w:rFonts w:ascii="Times New Roman" w:hAnsi="Times New Roman"/>
          <w:sz w:val="20"/>
        </w:rPr>
      </w:pPr>
      <w:r>
        <w:rPr>
          <w:rFonts w:ascii="Times New Roman" w:hAnsi="Times New Roman"/>
          <w:color w:val="000000"/>
          <w:sz w:val="20"/>
        </w:rPr>
        <w:t>The consolidated financial statements of Oculis are prepared in accordance with IFRS Accounting Standards (“</w:t>
      </w:r>
      <w:r>
        <w:rPr>
          <w:rFonts w:ascii="Times New Roman" w:hAnsi="Times New Roman"/>
          <w:i/>
          <w:color w:val="000000"/>
          <w:sz w:val="20"/>
        </w:rPr>
        <w:t>IFRS”</w:t>
      </w:r>
      <w:r>
        <w:rPr>
          <w:rFonts w:ascii="Times New Roman" w:hAnsi="Times New Roman"/>
          <w:color w:val="000000"/>
          <w:sz w:val="20"/>
        </w:rPr>
        <w:t>) as issued by the International Accounting Standards Board (“</w:t>
      </w:r>
      <w:r>
        <w:rPr>
          <w:rFonts w:ascii="Times New Roman" w:hAnsi="Times New Roman"/>
          <w:i/>
          <w:color w:val="000000"/>
          <w:sz w:val="20"/>
        </w:rPr>
        <w:t>IASB</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policies set out below are consistently applied to all the years presented. The consolidated financial statements have been prepared under the historical cost convention, unless stated otherwise in the accounting policies in Note 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totals are calculated with the original unit amounts, which could lead to rounding differences. These differences in thousands of units are not changed in order to keep the accuracy of the original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Functional currency</w:t>
      </w:r>
    </w:p>
    <w:p>
      <w:pPr>
        <w:pStyle w:val="TextBody"/>
        <w:bidi w:val="0"/>
        <w:spacing w:before="200" w:after="283"/>
        <w:jc w:val="both"/>
        <w:rPr>
          <w:rFonts w:ascii="Times New Roman" w:hAnsi="Times New Roman"/>
          <w:sz w:val="20"/>
        </w:rPr>
      </w:pPr>
      <w:r>
        <w:rPr>
          <w:rFonts w:ascii="Times New Roman" w:hAnsi="Times New Roman"/>
          <w:color w:val="000000"/>
          <w:sz w:val="20"/>
        </w:rPr>
        <w:t>The consolidated financial statements of the Group are expressed in Swiss Francs (“</w:t>
      </w:r>
      <w:r>
        <w:rPr>
          <w:rFonts w:ascii="Times New Roman" w:hAnsi="Times New Roman"/>
          <w:i/>
          <w:color w:val="000000"/>
          <w:sz w:val="20"/>
        </w:rPr>
        <w:t>CHF”</w:t>
      </w:r>
      <w:r>
        <w:rPr>
          <w:rFonts w:ascii="Times New Roman" w:hAnsi="Times New Roman"/>
          <w:color w:val="000000"/>
          <w:sz w:val="20"/>
        </w:rPr>
        <w:t>), which is the Company’s functional and the Group’s presentation currency. The functional currency of the Company’s subsidiaries is the local currency except for Oculis Iceland whose functional currency is CHF.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Assets and liabilities of foreign operations are translated into CHF at the rate of exchange prevailing at the reporting date and their statements of profit or loss are translated at average monthly exchange rates. The exchange differences arising on translation for consolidation are recognized in other comprehensive income.</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SUMMARY OF MATERIAL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principal accounting policies adopted in the preparation of these financial statements are set out below. The policies set out below are consistently applied to all the years presented, unless otherwise stated.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Current vs. non-current classification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presents assets and liabilities on the balance sheet based on current/non-current classification. The Company classifies all amounts to be realized or settled within 12 months after the reporting period to be current and all other amounts to be non-current. Liabilities are classified as non-current if the Company has the unconditional right to defer settlement for at least 12 months after the reporting period.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transactions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Group accounting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seven wholly owned subsidiaries, including Oculis Operations, Oculis Iceland, Oculis France, Oculis U.S., Oculis HK, Neurocol IP and Neurocol Operations. The Company’s consolidated financial statements present the aggregate of the eight Group entities, after elimination of intra-group transactions, balances, investments and capital.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managed and operated as one business. A single management team that reports to the Chief Executive Officer comprehensively manages the entire business and accordingly, has one reporting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locations in five countries: Switzerland, Iceland, France, U.S. and Hong Kong. An analysis of non-current assets by geographic region is presented in Note 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leases are accounted for by recognizing a right-of-use asset and a lease liability except for leases of low value assets and leases with a duration of 12 months or less.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initial recognition, the carrying value of the lease liability also includes amounts expected to be payable under any residual value guarantee, and the exercise price of any purchase option granted in favor of the group if it is reasonably certain to assess that option. Right-of-use assets are initially measured at the amount of the lease liability, reduced for any lease incentives received, and increased for lease payments made at or before commencement of the lease and initial direct costs incurred.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Company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w:t>
      </w:r>
    </w:p>
    <w:p>
      <w:pPr>
        <w:pStyle w:val="TextBody"/>
        <w:bidi w:val="0"/>
        <w:spacing w:before="200" w:after="283"/>
        <w:jc w:val="both"/>
        <w:rPr/>
      </w:pPr>
      <w:r>
        <w:rPr>
          <w:rFonts w:ascii="Times New Roman" w:hAnsi="Times New Roman"/>
          <w:b/>
          <w:color w:val="000000"/>
          <w:sz w:val="20"/>
        </w:rPr>
        <w:t>Grant income</w:t>
      </w:r>
      <w:r>
        <w:rPr>
          <w:color w:val="000000"/>
        </w:rPr>
        <w:t xml:space="preserve"> </w:t>
      </w:r>
      <w:r>
        <w:rPr>
          <w:rFonts w:ascii="Times New Roman" w:hAnsi="Times New Roman"/>
          <w:b/>
          <w:color w:val="000000"/>
          <w:sz w:val="20"/>
        </w:rPr>
        <w:t>recognition</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Grant income is recognized where there is reasonable assurance that the grant will be received and all attaching conditions will be complied with, and in the year when the related expenses are incurred.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Taxes reported in the consolidated statements of loss include current and deferred taxes on profit. Taxes on income are accrued in the same periods as the revenues and expenses to which they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tax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consolidated statements of loss unless related to items directly recognized in equity or other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 is recognized on temporary differences arising between the tax bases of assets and liabilities and their carrying amounts in the consolidated financial statements.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Loss per share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presents basic loss per share for each period in the financial statements. The loss per share is calculated by dividing the loss of the period by the weighted average number of shares outstanding during the period. Diluted earnings per share, applicable in case of positive result, reflect the potential dilution that could occur if dilutive securities such as warrants or share options were exercised into common shares.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and cash equivalents and short-term 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considers all highly liquid investments with an original maturity of less than 3 months at the date of purchase to be cash equivalents. Cash and cash equivalents are recorded at cost, which approximates fair value.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financial assets consist of fixed term bank deposits with original maturities between three and six months. Short-term financial assets are held in order to collect contractual cash flows made of payments of principal and interests.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Short-term financial assets are measured at amortized cost, which approximates fair value, and are subsequently measured using the effective interest method. This method allocates interest income over the relevant period by applying the effective interest rate to the carrying amount of the asset. Gains and losses are recognized in the consolidated statements of loss when the asset is derecognized, modified or impaired.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(J)</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certain financial assets and liabilities at fair value on a recurring basis, including warrants. Fair value is the price the Company would receive to sell an asset or pay to transfer a liability in an orderly transaction with a market participant at the measurement date. The Company uses a three-level hierarchy that prioritizes fair value measurements based on the types of inputs used,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unadjusted quoted prices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either directly or indirectly, quoted prices for similar assets or liabilities in active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unobservable inputs for the asset or liability to the extent that observable inputs are not available in situations in which there is little, if any, market activity for the asset or liability at the measurement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There was no change in the valuation techniques applied to financial instruments during all periods presented. There were no transfers between levels 1, 2 or 3 for recurring fair value measurements during the year. The Group recognizes transfers into and out of fair value hierarchy levels at the end of the reporting period</w:t>
      </w:r>
      <w:r>
        <w:rPr>
          <w:rFonts w:ascii="Times New Roman" w:hAnsi="Times New Roman"/>
          <w:color w:val="000000"/>
          <w:sz w:val="18"/>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property and equipment are shown at cost, less subsequent depreciation and impairment. Cost includes expenditures that are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Depreciation is calculated on a straight-line basis over the useful life, according to the following schedule: </w:t>
      </w:r>
    </w:p>
    <w:p>
      <w:pPr>
        <w:pStyle w:val="TextBody"/>
        <w:bidi w:val="0"/>
        <w:jc w:val="both"/>
        <w:rPr/>
      </w:pPr>
      <w:r>
        <w:rPr/>
        <w:t> </w:t>
      </w:r>
    </w:p>
    <w:tbl>
      <w:tblPr>
        <w:tblW w:w="4367" w:type="dxa"/>
        <w:jc w:val="left"/>
        <w:tblInd w:w="0" w:type="dxa"/>
        <w:tblLayout w:type="fixed"/>
        <w:tblCellMar>
          <w:top w:w="28" w:type="dxa"/>
          <w:left w:w="28" w:type="dxa"/>
          <w:bottom w:w="28" w:type="dxa"/>
          <w:right w:w="28" w:type="dxa"/>
        </w:tblCellMar>
      </w:tblPr>
      <w:tblGrid>
        <w:gridCol w:w="2656"/>
        <w:gridCol w:w="1711"/>
      </w:tblGrid>
      <w:tr>
        <w:trPr/>
        <w:tc>
          <w:tcPr>
            <w:tcW w:w="26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Category</w:t>
            </w:r>
          </w:p>
        </w:tc>
        <w:tc>
          <w:tcPr>
            <w:tcW w:w="17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Useful life in years</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5 - 7</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fixtures and fittings</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and hardware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2 - 3</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statements of loss.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the warrant instruments as liabilities at fair value and adjusts the instruments to fair value at each reporting period (refer to Note 17). Any change in fair value is recognized in the Company’s consolidated statements of loss. Warrants are classified as short-term liabilities as the Company cannot defer the settlement beyond 12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Amended BlackRock Warrant, as defined in Note 5, issued in conjunction with the Amended Loan Agreement is classified as a liability since its exercise price is fixed in USD, which is not the functional currency of the Company and therefore it does not meet the requirements to be classified as equity under IFRS. An instrument that will be settled in the Company’s own equity shares is an equity instrument only if the issuer has to deliver a fixed number of its own shares for a fixed amount (fixed for fixed requirement, IAS 32.16). The fair value of the BlackRock Warrant is determined using the Black-Scholes option-pricing model. This valuation model as well as parameters used such as expected volatility and expected term are partially based on management’s estimates. The expected volatility is estimated using historical stock volatilities of comparable peer public companies within the Company’s industry. The expected term represents the period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that the warrant is expected to be outstanding. The BlackRock Warrant is included in Level 3 of the fair value hierarchy. Refer to Note 17 </w:t>
      </w:r>
      <w:r>
        <w:rPr>
          <w:rFonts w:ascii="Times New Roman" w:hAnsi="Times New Roman"/>
          <w:i/>
          <w:color w:val="000000"/>
          <w:sz w:val="20"/>
        </w:rPr>
        <w:t>- Warrant Liabilities.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fair value of the BCA Public Warrants, as defined in Note 5, traded in active markets is based on the quoted market prices at the end of the reporting period for such warrants. For the BCA Private Warrants, which have identical terms to the BCA Public Warrants, the Company determined that the fair value of each BCA Private Warrant is equivalent to that of each BCA Public Warrant. BCA Public Warrants are included in Level 1 and BCA Private Warrants in Level 2 of the fair value hierarchy. Refer to Note 17 - </w:t>
      </w:r>
      <w:r>
        <w:rPr>
          <w:rFonts w:ascii="Times New Roman" w:hAnsi="Times New Roman"/>
          <w:i/>
          <w:color w:val="000000"/>
          <w:sz w:val="20"/>
        </w:rPr>
        <w:t>Warrant Liabilities</w:t>
      </w:r>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expenditures are recognized in expense in the year in which they are incurred. Internal development expenditures are capitalized only if they meet the recognition criteria of IAS 38 “Intangible Assets.” Given the inherent regulatory and other uncertainties, these criteria are generally not met before obtaining approval from the relevant regulatory authority. As a result, development expenditures are typically recognized as expenses in the consolidated statements of loss. However, when capitalization criteria are satisfied, development costs are recorded as intangible assets and amortized on a straight-line basis over their estimated useful lives. Amortization of capitalized licenses begins upon receipt of market approval. The Company records accruals for estimated costs incurred or prepayments depending on the stage of completion of the product development and clinical research.</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Acquired licenses and related development milestones are capitalized as intangible assets at historical cost and amortized over their estimated useful lives. The amortization period is determined based on the expected pattern of consumption of future economic benefits and begins only after the necessary regulatory and marketing approvals have been obtained. Capitalized licenses are assessed for impairment annually in the last quarter of each financial period or earlier if indicators of impairment arise. Amortization expense related to capitalized licenses is recognized within research and development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Impairment of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Impairment losses on capitalized licenses are recognized within research and development expenses.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non-financial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Assets that are subject to amortization are reviewed for impairment whenever events or changes in circumstances indicate that the carrying amount of the asset may not be recoverable. An impairment loss is recognized for the amount by which the asset’s carrying amount exceeds its recoverable amount. The recoverable amount is the higher of the asset’s fair value less costs of disposal and value-in-use. </w:t>
      </w:r>
    </w:p>
    <w:p>
      <w:pPr>
        <w:pStyle w:val="TextBody"/>
        <w:bidi w:val="0"/>
        <w:spacing w:before="200" w:after="283"/>
        <w:jc w:val="both"/>
        <w:rPr>
          <w:rFonts w:ascii="Times New Roman" w:hAnsi="Times New Roman"/>
          <w:sz w:val="20"/>
        </w:rPr>
      </w:pPr>
      <w:r>
        <w:rPr>
          <w:rFonts w:ascii="Times New Roman" w:hAnsi="Times New Roman"/>
          <w:color w:val="000000"/>
          <w:sz w:val="20"/>
        </w:rPr>
        <w:t>For the purpose of impairment testing, assets are grouped together into the smallest group of assets that generate cash inflows from continuing use that are largely independent of the cash flows of other assets (“</w:t>
      </w:r>
      <w:r>
        <w:rPr>
          <w:rFonts w:ascii="Times New Roman" w:hAnsi="Times New Roman"/>
          <w:i/>
          <w:color w:val="000000"/>
          <w:sz w:val="20"/>
        </w:rPr>
        <w:t>cash-generating units</w:t>
      </w:r>
      <w:r>
        <w:rPr>
          <w:rFonts w:ascii="Times New Roman" w:hAnsi="Times New Roman"/>
          <w:color w:val="000000"/>
          <w:sz w:val="20"/>
        </w:rPr>
        <w:t>”). Impairment losses are recognized in the consolidated statements of loss. Prior impairments of non-financial assets are reviewed for possible reversal of the impairment at each reporting date.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The principal financial instruments used by the Company are as follows</w:t>
      </w:r>
      <w:r>
        <w:rPr>
          <w:rFonts w:ascii="Arial" w:hAnsi="Arial"/>
          <w:color w:val="000000"/>
          <w:sz w:val="20"/>
        </w:rPr>
        <w:t>:</w:t>
      </w:r>
    </w:p>
    <w:p>
      <w:pPr>
        <w:pStyle w:val="TextBody"/>
        <w:bidi w:val="0"/>
        <w:jc w:val="both"/>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Short-term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current assets, excluding prepaid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payables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payables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financial instruments are carried at amortized cost, except warrant liabilities which are adjusted to fair value at period end.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value of cash and cash equivalents, short-term financial assets, other current assets, excluding prepaid expenses, accrued income, lease liabilities, trade payables, accrued expenses and other payables approximates their fair value. For details of the fair value hierarchy and valuation techniques, refer to Note 20.</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include cash on hand and highly liquid investments with original maturities of three months or less. These investments are readily convertible to known amounts of cash.</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Short-term financial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financial assets consist of fixed term bank deposits with original maturities between three and six months. Short-term financial assets are held in order to collect contractual cash flows made of payments of principal and interests.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current assets, excluding prepaid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carrying amount of other receivables/current assets is reduced through the use of an allowance account, and the amount of the loss is recognized in the consolidated statements of loss. Subsequent recoveries of amounts previously written off are credited to the consolidated statements of loss.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Accrued income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 xml:space="preserve">Trade payables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Trade payables are amounts due to third parties in the ordinary course of business. Trade payables are non-interest bearing and are normally settled on 45-day terms.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Accrued expenses and other payables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payables are amounts provided for / due to third parties in the ordinary course of business. Accrued expenses and other payables are non-interest bearing.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Lease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Employee benefits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Pension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 defined benefit pension plan for its Swiss-based employees, which is held in a multi-employer fund. The pension plan is funded by payments from employees and from the Company. The Company’s contributions to the defined benefit pension plan are charged to the consolidated statements of loss in the year to which they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liability recognized in the balance sheet in respect of defined benefit pension plan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When the Company has a surplus in the defined benefit pension plan, it measures the net defined benefit asset at the lower of the surplus in the defined benefit pension plan, or the </w:t>
      </w:r>
      <w:r>
        <w:rPr>
          <w:rFonts w:ascii="Times New Roman" w:hAnsi="Times New Roman"/>
          <w:sz w:val="20"/>
        </w:rPr>
        <w:t>asset ceiling</w:t>
      </w:r>
      <w:r>
        <w:rPr>
          <w:rFonts w:ascii="Times New Roman" w:hAnsi="Times New Roman"/>
          <w:color w:val="000000"/>
          <w:sz w:val="20"/>
        </w:rPr>
        <w:t xml:space="preserve"> (being the present value of any economic benefits available in the form of refunds from the plan or reductions in future contributions to the plan), determined using the discount </w:t>
      </w:r>
      <w:r>
        <w:rPr>
          <w:rFonts w:ascii="Times New Roman" w:hAnsi="Times New Roman"/>
          <w:sz w:val="20"/>
        </w:rPr>
        <w:t>rate</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does not expect any refunds or contribution reductions in case of a surplus in the defined benefit pension plan calculated per IAS 19, therefore no assets would be recognized in the Consolidated Statements of Financial Position.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Actuarial gains and losses arising from experience adjustments and changes in actuarial assumptions are charged or credited to equity in other comprehensive income in the period in which they arise.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Employee participation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an equity-settled, share-based compensation plan, under which the entity receives services from employees as consideration for equity instruments (e.g. options) of the Company. The fair value of the awards granted in exchange of the employee services received is recognized as an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 vesting conditions. It recognizes the impact of the revision to original estimates, if any, in the consolidated statements of loss, with a corresponding adjustment to equity. When options are exercised, the Company issues new shares. The proceeds received net of any directly attributable transaction costs are credited to share capital (nominal value) and share premium when the options are exercised.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(Q)</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Earnout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the earnout consideration under the BCA as a share-based contingent consideration within the scope of IFRS 2, and therefore equity classified as the earnout consideration ultimately settles in ordinary shares. The Company determined that the fair value of the earnout shares is accounted for as a component of the deemed cost of the listing services upon consummation of the Business Combination. The fair value of total consideration transferred was included in the calculation of the IFRS 2 share listing service expense and will not be subsequently adjusted regardless of whether the price target is achieved or not. The earnout options granted to employees were determined to be compensation for the dilution to their previously held Legacy Oculis equity instruments. No subsequent compensation charge has been recognized under IFRS 2 because no additional fair value has been granted as a result of the earnout options.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Capitalization of transaction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capitalizes transaction costs incurred in connection with its ATM program within other current assets in the Company’s consolidated balance sheet because those costs are directly attributable to new equity issuances and management estimates that a future financing is probably of occurring. If and when the Company completes a transaction, capitalized transaction costs will be offset against the proceeds and will be recorded as a reduction of share premium within the Company’s consolidated balance sheet. If the Company determines that it is not highly probable that a transaction will be completed, the Company will write-off capitalized transaction costs incurred during that respective quarter in the consolidated statement of loss.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Transaction costs incurred in connection with underwritten offerings are recorded as a reduction of share premium within the Company’s balance sheet during the period in which the transaction closes.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Presentation of interest in the statement of cash 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Effective January 1, 2025, the Company revised its accounting policy regarding the classification of interest paid and interest received in the statement of cash flows. Interest paid was reclassified from “net cash flows used in operating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activities” to “net cash flows used in financing activities,” and interest received was reclassified from “net cash flows used in operating activities” to “net cash flows used in investing activities.” The Company assessed the change in accounting policy under IAS 8, in accordance with the guidance regarding a voluntary change in accounting policy.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reclassification of interest paid was elected to provide a more cohesive presentation of payments related to the Company’s office leases. Prior to the change in accounting policy, interest paid on lease liabilities was classified as operating cash flows, while payments of the principal portion of lease liabilities were classified as financing cash flows. The change aligns the interest paid with the associated financial liability giving rise to the interest.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the Company reclassified interest received to investing activities, as the majority of interest received relates to interest earned on cash and cash equivalents and short-term investments. The Company believes the updated classification better reflects the nature and source of the cash inflows.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applied the change in accounting policy retrospectively and has recast prior periods’ comparative information within the statement of cash flows to ensure consistency and comparability with the current period presentation. As part of the retrospective application, net cash outflow from operating activities for the year ended December 31, 2024 increased by CHF 1.4 million, net cash outflow from investing activities decreased by CHF 1.5 million, and net cash flow inflow from financing activities decreased by CHF 54 thousand. As part of the retrospective application, net cash used in operating activities for the year ended December 31, 2023 increased by CHF 1.2 million, net cash flow used in investing activities decreased by CHF 1.2 million, and net cash flow inflow from financing activities decreased by CHF 46 thousand.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accounting standards, interpretations and amendments adopted by the Company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There are no new IFRS Accounting Standards, amendments to standards or interpretations that are mandatory for the financial year beginning on January 1, 2025 that have a material impact to the Company. In April 2024, the IASB issued IFRS 18, </w:t>
      </w:r>
      <w:r>
        <w:rPr>
          <w:rFonts w:ascii="Times New Roman" w:hAnsi="Times New Roman"/>
          <w:i/>
          <w:color w:val="000000"/>
          <w:sz w:val="20"/>
        </w:rPr>
        <w:t>Presentation and Disclosure in Financial Statements</w:t>
      </w:r>
      <w:r>
        <w:rPr>
          <w:rFonts w:ascii="Times New Roman" w:hAnsi="Times New Roman"/>
          <w:color w:val="000000"/>
          <w:sz w:val="20"/>
        </w:rPr>
        <w:t>, which provides requirements for the presentation and disclosure of information in general purpose financial statements. The standard is effective for periods beginning on or after January 1, 2027. The Company is in the process of evaluating whether IFRS 18 will have a material effect on the consolidated financial statements. New standards, amendments to standards and interpretations that are not yet effective, which have been deemed by the Company as currently not relevant, are not listed here.</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CRITICAL ACCOUNTING ESTIMATES AND JUDGMENTS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Group’s principal accounting policies are set out in Note 3 of the Group’s consolidated financial statements and conform to IFRS Accounting Standards. Significant judgments and estimates are used in the preparation of the consolidated financial statements which, to the extent that actual outcomes and results may differ from these assumptions and estimates, could affect the accounting in the areas described in this section.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licenses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assesses whether there are any indicators of impairment for all licenses at each reporting date, which refers exclusively to the licenses of two specific product candidates: Licaminlimab (OCS-02) and Privosegtor (OCS-05). Given the stage and advancement of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Deferred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 assets are recognized for all unused tax losses and deductible temporary differences, including those related to intangible assets, only to the extent that it is probable that taxable profits will be available against which the losses and temporary differences can be utilized. Judgment is required from management to determine the amount of tax asset that can be recognized, based on forecasts and tax planning strategies. Refer to Note 7 (D).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Pension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present value of the pension obligations depends on several factors that are determined on an actuarial basis using a number of assumptions. The assumptions used in determining the net cost or income for pensions include the discount rate. Any changes in these assumptions will impact the carrying amount of pension obligations. The independent actuary of the Group uses statistic-based assumptions covering future withdrawals of participants from the plan and estimates on life expectancy. The actuarial assumptions used may differ materially from actual results due to changes in market and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economic conditions, higher or lower withdrawal rates or longer or shorter life spans of participants. These differences could have a significant impact on the amount of pension income or expenses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Stock options granted are valued using the Black-Scholes option-pricing model (see Note 13). This valuation model as well as inputs such as expected volatility and expected term of the stock options are partially based on management’s estimates. The expected volatility is estimated using historical stock volatilities of comparable peer public companies within the Company’s industry. The expected term represents the period that share-based awards are expected to be outstanding. The Company classifies its share-based payments as equity-classified awards as they are settled in ordinary shares. The Company measures equity-classified awards at their grant date fair value using a Black-Scholes option pricing model and does not subsequently remeasure them. Compensation costs related to equity-classified awards are equal to the fair value of the award at the date of grant amortized over the vesting period of the award using the graded method. If awards are granted with performance conditions, the Company evaluates the probability of achievement. Expense is only recorded for awards with vesting criteria linked to performance conditions that are deemed probable of achievement. The Company reclassifies a portion of vested awards to reserve for share-based payment as the awards vest. The proceeds received net of any directly attributable transaction costs are credited to share capital (nominal value) and share premium when the options are exercised.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Accounting for the Business Combination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relation to the 2023 Business Combination, the following critical estimates and judgments were made: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Determining the accounting acquirer in the Business Combination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Despite EBAC being the legal acquirer, Legacy Oculis was determined to be the accounting acquirer for financial reporting purposes. This determination is primarily based on the fact that subsequent to the Business Combination, i) the shareholders of Legacy Oculis have a majority of the voting interest in the combined company; ii) Legacy Oculis’ operations comprise all of the ongoing operations of the combined company; and iii) Legacy Oculis’ management comprise all of the senior management of the combined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Business Combination accounted for within the scope of IFRS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EBAC was a Special Purpose Acquisition Company and therefore does not meet the definition of a business under IFRS 3 as it has no operations and the related BCA cannot be treated as a business combination. The Business Combination was accounted for as a continuation of Legacy Oculis financial statements with a deemed issuance of shares by the Company accompanied by a recapitalization of the Company’s equity. The excess of fair value of the shares deemed issued by the Company over EBAC’s identifiable net assets has been recorded as share-based payment expense in accordance with IFRS 2 and represents a public listing service received by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Capitalized transaction costs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Legacy Oculis and EBAC incurred costs such as legal, accounting, auditing, printer fees and other professional fees directly related to the Business Combination (“</w:t>
      </w:r>
      <w:r>
        <w:rPr>
          <w:rFonts w:ascii="Times New Roman" w:hAnsi="Times New Roman"/>
          <w:i/>
          <w:color w:val="000000"/>
          <w:sz w:val="20"/>
        </w:rPr>
        <w:t>Transaction Costs</w:t>
      </w:r>
      <w:r>
        <w:rPr>
          <w:rFonts w:ascii="Times New Roman" w:hAnsi="Times New Roman"/>
          <w:color w:val="000000"/>
          <w:sz w:val="20"/>
        </w:rPr>
        <w:t>”). Transaction costs directly associated with equity issuance qualify for capitalization and are accounted for as a deduction of share premium. To capture costs associated with the new equity, the Company allocated capitalizable transaction costs to the various transaction components (equity issuance and listing) at the percentages of 38.0% and 62.0% for new shares and old shares, respectively.</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5.</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FINANCING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Business combination with European Biotech Acquisition Corp. (“</w:t>
      </w:r>
      <w:r>
        <w:rPr>
          <w:rFonts w:ascii="Times New Roman" w:hAnsi="Times New Roman"/>
          <w:b/>
          <w:i/>
          <w:color w:val="000000"/>
          <w:sz w:val="20"/>
        </w:rPr>
        <w:t>EBAC</w:t>
      </w:r>
      <w:r>
        <w:rPr>
          <w:rFonts w:ascii="Times New Roman" w:hAnsi="Times New Roman"/>
          <w:color w:val="000000"/>
          <w:sz w:val="20"/>
        </w:rPr>
        <w:t>”</w:t>
      </w:r>
      <w:r>
        <w:rPr>
          <w:rFonts w:ascii="Times New Roman" w:hAnsi="Times New Roman"/>
          <w:b/>
          <w:color w:val="000000"/>
          <w:sz w:val="20"/>
        </w:rPr>
        <w:t>)</w:t>
      </w:r>
    </w:p>
    <w:p>
      <w:pPr>
        <w:pStyle w:val="TextBody"/>
        <w:bidi w:val="0"/>
        <w:spacing w:before="180" w:after="283"/>
        <w:jc w:val="both"/>
        <w:rPr>
          <w:rFonts w:ascii="Times New Roman" w:hAnsi="Times New Roman"/>
          <w:sz w:val="20"/>
        </w:rPr>
      </w:pPr>
      <w:r>
        <w:rPr>
          <w:rFonts w:ascii="Times New Roman" w:hAnsi="Times New Roman"/>
          <w:color w:val="000000"/>
          <w:sz w:val="20"/>
        </w:rPr>
        <w:t>On March 2, 2023, the Company consummated the Business Combination pursuant to the Business Combination Agreement (“</w:t>
      </w:r>
      <w:r>
        <w:rPr>
          <w:rFonts w:ascii="Times New Roman" w:hAnsi="Times New Roman"/>
          <w:i/>
          <w:color w:val="000000"/>
          <w:sz w:val="20"/>
        </w:rPr>
        <w:t>BCA</w:t>
      </w:r>
      <w:r>
        <w:rPr>
          <w:rFonts w:ascii="Times New Roman" w:hAnsi="Times New Roman"/>
          <w:color w:val="000000"/>
          <w:sz w:val="20"/>
        </w:rPr>
        <w:t>”) between Legacy Oculis and EBAC dated as of October 17, 2022. The Company received gross proceeds of CHF 97.6 million or $103.7 million, comprising CHF 12.0 million or $12.8 million of cash held in EBAC’s trust account and CHF 85.6 million or $90.9 million from private placement (the “</w:t>
      </w:r>
      <w:r>
        <w:rPr>
          <w:rFonts w:ascii="Times New Roman" w:hAnsi="Times New Roman"/>
          <w:i/>
          <w:color w:val="000000"/>
          <w:sz w:val="20"/>
        </w:rPr>
        <w:t>PIPE Financing</w:t>
      </w:r>
      <w:r>
        <w:rPr>
          <w:rFonts w:ascii="Times New Roman" w:hAnsi="Times New Roman"/>
          <w:color w:val="000000"/>
          <w:sz w:val="20"/>
        </w:rPr>
        <w:t>”) investments and conversion of notes issued by Legacy Oculis under convertible loan agreements (“</w:t>
      </w:r>
      <w:r>
        <w:rPr>
          <w:rFonts w:ascii="Times New Roman" w:hAnsi="Times New Roman"/>
          <w:i/>
          <w:color w:val="000000"/>
          <w:sz w:val="20"/>
        </w:rPr>
        <w:t>CLA</w:t>
      </w:r>
      <w:r>
        <w:rPr>
          <w:rFonts w:ascii="Times New Roman" w:hAnsi="Times New Roman"/>
          <w:color w:val="000000"/>
          <w:sz w:val="20"/>
        </w:rPr>
        <w:t>”) into Oculis’ ordinary shares. As a result of the transaction, each issued and outstanding EBAC public warrant (“</w:t>
      </w:r>
      <w:r>
        <w:rPr>
          <w:rFonts w:ascii="Times New Roman" w:hAnsi="Times New Roman"/>
          <w:i/>
          <w:color w:val="000000"/>
          <w:sz w:val="20"/>
        </w:rPr>
        <w:t>BCA Public Warrants</w:t>
      </w:r>
      <w:r>
        <w:rPr>
          <w:rFonts w:ascii="Times New Roman" w:hAnsi="Times New Roman"/>
          <w:color w:val="000000"/>
          <w:sz w:val="20"/>
        </w:rPr>
        <w:t>”) and EBAC private placement warrant (“</w:t>
      </w:r>
      <w:r>
        <w:rPr>
          <w:rFonts w:ascii="Times New Roman" w:hAnsi="Times New Roman"/>
          <w:i/>
          <w:color w:val="000000"/>
          <w:sz w:val="20"/>
        </w:rPr>
        <w:t>BCA Private Warrants</w:t>
      </w:r>
      <w:r>
        <w:rPr>
          <w:rFonts w:ascii="Times New Roman" w:hAnsi="Times New Roman"/>
          <w:color w:val="000000"/>
          <w:sz w:val="20"/>
        </w:rPr>
        <w:t>”) ceased to be a warrant with respect to EBAC ordinary shares and were assumed by Oculis as warrants with respect to ordinary shares on substantially the same terms (“</w:t>
      </w:r>
      <w:r>
        <w:rPr>
          <w:rFonts w:ascii="Times New Roman" w:hAnsi="Times New Roman"/>
          <w:i/>
          <w:color w:val="000000"/>
          <w:sz w:val="20"/>
        </w:rPr>
        <w:t>BCA Warrants</w:t>
      </w:r>
      <w:r>
        <w:rPr>
          <w:rFonts w:ascii="Times New Roman" w:hAnsi="Times New Roman"/>
          <w:color w:val="000000"/>
          <w:sz w:val="20"/>
        </w:rPr>
        <w:t>”). In connection with the Business Combination, Oculis was listed on the United States Nasdaq Global Market with the ticker symbol “OCS” for its ordinary shares and “OCSAW” for its public warrants.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During the third quarter of 2023, the Company gave effect in its financial statements to the dissolution of Merger Sub 2, a legal entity formed under the terms of the BCA. As a result, the cumulative translation adjustments related to Merger Sub 2 previously reported as equity and recognized in other comprehensive income, were reclassified from equity to the Consolidated Statement of Loss for the year ended December 31, 2023. The resulting foreign exchange impact of such reclassification amounted to CHF 5.0 million for the year ended December 31, 2023.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Merger and listing expense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The Business Combination was accounted for as a capital re-organization in the first quarter of 2023 within the scope of IFRS 2 </w:t>
      </w:r>
      <w:r>
        <w:rPr>
          <w:rFonts w:ascii="Times New Roman" w:hAnsi="Times New Roman"/>
          <w:i/>
          <w:color w:val="000000"/>
          <w:sz w:val="20"/>
        </w:rPr>
        <w:t xml:space="preserve">Share-based Payment, </w:t>
      </w:r>
      <w:r>
        <w:rPr>
          <w:rFonts w:ascii="Times New Roman" w:hAnsi="Times New Roman"/>
          <w:color w:val="000000"/>
          <w:sz w:val="20"/>
        </w:rPr>
        <w:t xml:space="preserve">as EBAC did not meet the definition of a business in accordance with IFRS 3 </w:t>
      </w:r>
      <w:r>
        <w:rPr>
          <w:rFonts w:ascii="Times New Roman" w:hAnsi="Times New Roman"/>
          <w:i/>
          <w:color w:val="000000"/>
          <w:sz w:val="20"/>
        </w:rPr>
        <w:t>Business Combinations</w:t>
      </w:r>
      <w:r>
        <w:rPr>
          <w:rFonts w:ascii="Times New Roman" w:hAnsi="Times New Roman"/>
          <w:color w:val="000000"/>
          <w:sz w:val="20"/>
        </w:rPr>
        <w:t xml:space="preserve">. Any excess of the fair value of the Company’s shares issued over the fair value of EBAC’s identifiable net assets acquired represented compensation for the service of a stock exchange listing. This expense was incurred in the first quarter of 2023 and amounted to CHF 34.9 million, which was expensed to the statement of loss as operating expenses, “Merger and listing expense.”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Earnout consideration</w:t>
      </w:r>
    </w:p>
    <w:p>
      <w:pPr>
        <w:pStyle w:val="TextBody"/>
        <w:bidi w:val="0"/>
        <w:spacing w:before="180" w:after="283"/>
        <w:jc w:val="both"/>
        <w:rPr>
          <w:rFonts w:ascii="Times New Roman" w:hAnsi="Times New Roman"/>
          <w:sz w:val="20"/>
        </w:rPr>
      </w:pPr>
      <w:r>
        <w:rPr>
          <w:rFonts w:ascii="Times New Roman" w:hAnsi="Times New Roman"/>
          <w:color w:val="000000"/>
          <w:sz w:val="20"/>
        </w:rPr>
        <w:t>As a result of the BCA, Legacy Oculis preferred, ordinary and option holders (collectively “</w:t>
      </w:r>
      <w:r>
        <w:rPr>
          <w:rFonts w:ascii="Times New Roman" w:hAnsi="Times New Roman"/>
          <w:i/>
          <w:color w:val="000000"/>
          <w:sz w:val="20"/>
        </w:rPr>
        <w:t>equity holders</w:t>
      </w:r>
      <w:r>
        <w:rPr>
          <w:rFonts w:ascii="Times New Roman" w:hAnsi="Times New Roman"/>
          <w:color w:val="000000"/>
          <w:sz w:val="20"/>
        </w:rPr>
        <w:t xml:space="preserve">”) received consideration in the form of 3,793,995 earnout shares and 369,737 earnout options with an exercise price of CHF 0.01. </w:t>
      </w:r>
    </w:p>
    <w:p>
      <w:pPr>
        <w:pStyle w:val="TextBody"/>
        <w:bidi w:val="0"/>
        <w:spacing w:before="180" w:after="283"/>
        <w:jc w:val="both"/>
        <w:rPr>
          <w:rFonts w:ascii="Times New Roman" w:hAnsi="Times New Roman"/>
          <w:sz w:val="20"/>
        </w:rPr>
      </w:pPr>
      <w:r>
        <w:rPr>
          <w:rFonts w:ascii="Times New Roman" w:hAnsi="Times New Roman"/>
          <w:color w:val="000000"/>
          <w:sz w:val="20"/>
        </w:rPr>
        <w:t>The earnout consideration is subject to forfeiture in the event of a failure to achieve the price targets during the earnout period defined as follows: (i) 1,500,000, (ii) 1,500,000 and (iii) 1,000,000 earned based on the achievement of post acquisition-closing volume weighted average share price targets of Oculis of $15.00, $20.00 and $25.00, respectively, in each case, for any 20 trading days within any consecutive 30 trading day period commencing after the acquisition closing date and ending on or prior to March 2, 2028 (the “E</w:t>
      </w:r>
      <w:r>
        <w:rPr>
          <w:rFonts w:ascii="Times New Roman" w:hAnsi="Times New Roman"/>
          <w:i/>
          <w:color w:val="000000"/>
          <w:sz w:val="20"/>
        </w:rPr>
        <w:t>arnout Period</w:t>
      </w:r>
      <w:r>
        <w:rPr>
          <w:rFonts w:ascii="Times New Roman" w:hAnsi="Times New Roman"/>
          <w:color w:val="000000"/>
          <w:sz w:val="20"/>
        </w:rPr>
        <w:t>”). A given share price target described above will also be deemed to be achieved if the Company enters into a change of control transaction, as defined in the BCA, during the Earnout Period. The price targets of $15.00, $20.00 and $25.00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Registered Direct Offering and Nasdaq Iceland Main Market listing</w:t>
      </w:r>
    </w:p>
    <w:p>
      <w:pPr>
        <w:pStyle w:val="TextBody"/>
        <w:bidi w:val="0"/>
        <w:spacing w:before="180" w:after="283"/>
        <w:jc w:val="both"/>
        <w:rPr>
          <w:rFonts w:ascii="Times New Roman" w:hAnsi="Times New Roman"/>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our ordinary shares, at a purchase price of CHF 10.70 or $11.75 per share to investors (the “</w:t>
      </w:r>
      <w:r>
        <w:rPr>
          <w:rFonts w:ascii="Times New Roman" w:hAnsi="Times New Roman"/>
          <w:i/>
          <w:color w:val="000000"/>
          <w:sz w:val="20"/>
        </w:rPr>
        <w:t>Registered Direct Offering</w:t>
      </w:r>
      <w:r>
        <w:rPr>
          <w:rFonts w:ascii="Times New Roman" w:hAnsi="Times New Roman"/>
          <w:color w:val="000000"/>
          <w:sz w:val="20"/>
        </w:rPr>
        <w:t>”), and commenced trading of its ordinary shares on the Nasdaq Iceland Main Market under the ticker symbol “OCS” on April 23, 2024. In connection with the Registered Direct Offering and Nasdaq Iceland Main Market listing, the Company incurred CHF 2.5 million of transaction related costs during the year ended December 31, 2024, of which CHF 1.9 million were recorded as a reduction of share premium in equity.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Loan facility</w:t>
      </w:r>
    </w:p>
    <w:p>
      <w:pPr>
        <w:pStyle w:val="TextBody"/>
        <w:bidi w:val="0"/>
        <w:spacing w:before="180" w:after="283"/>
        <w:jc w:val="both"/>
        <w:rPr>
          <w:rFonts w:ascii="Times New Roman" w:hAnsi="Times New Roman"/>
          <w:sz w:val="20"/>
        </w:rPr>
      </w:pPr>
      <w:r>
        <w:rPr>
          <w:rFonts w:ascii="Times New Roman" w:hAnsi="Times New Roman"/>
          <w:color w:val="000000"/>
          <w:sz w:val="20"/>
        </w:rPr>
        <w:t>In May 2024, the Company and Kreos Capital VII (UK) Limited, which are funds and accounts managed by BlackRock, Inc. (the “</w:t>
      </w:r>
      <w:r>
        <w:rPr>
          <w:rFonts w:ascii="Times New Roman" w:hAnsi="Times New Roman"/>
          <w:i/>
          <w:color w:val="000000"/>
          <w:sz w:val="20"/>
        </w:rPr>
        <w:t>Lender”</w:t>
      </w:r>
      <w:r>
        <w:rPr>
          <w:rFonts w:ascii="Times New Roman" w:hAnsi="Times New Roman"/>
          <w:color w:val="000000"/>
          <w:sz w:val="20"/>
        </w:rPr>
        <w:t xml:space="preserve">), entered into a loan facility of up to CHF 50.0 million in borrowing capacity (which may be increased to up to CHF 65.0 million) and a related warrant agreement for up to 361,011 of the Company’s ordinary shares at a price per ordinary share equal to $12.17. On July 31, 2025, the Company entered into an amended and restated agreement for its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0"/>
        </w:rPr>
        <w:t>existing loan facility (the “</w:t>
      </w:r>
      <w:r>
        <w:rPr>
          <w:rFonts w:ascii="Times New Roman" w:hAnsi="Times New Roman"/>
          <w:i/>
          <w:color w:val="000000"/>
          <w:sz w:val="20"/>
        </w:rPr>
        <w:t>Amended Loan Agreement”</w:t>
      </w:r>
      <w:r>
        <w:rPr>
          <w:rFonts w:ascii="Times New Roman" w:hAnsi="Times New Roman"/>
          <w:color w:val="000000"/>
          <w:sz w:val="20"/>
        </w:rPr>
        <w:t>) with the Lender. The Amended Loan Agreement replaces the prior loan agreement between the Company and the Lender dated May 29, 2024, with an upsized structure to provide the EUR equivalent of up to CHF 75.0 million in borrowing capacity (which may be increased to up to CHF 100.0 million) (the “</w:t>
      </w:r>
      <w:r>
        <w:rPr>
          <w:rFonts w:ascii="Times New Roman" w:hAnsi="Times New Roman"/>
          <w:i/>
          <w:color w:val="000000"/>
          <w:sz w:val="20"/>
        </w:rPr>
        <w:t>Loan”</w:t>
      </w:r>
      <w:r>
        <w:rPr>
          <w:rFonts w:ascii="Times New Roman" w:hAnsi="Times New Roman"/>
          <w:color w:val="000000"/>
          <w:sz w:val="20"/>
        </w:rPr>
        <w:t>),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 xml:space="preserve">Loan 1 will be available for drawdown from closing until November 15, 2026, which period may be shortened upon the occurrence of a development milestone. Loans 2 and 3 will be available for drawdown prior to November 15, 2026 and December 31, 2026, respectively, in each case subject to satisfaction of certain pre-specified conditions. The availability of any funds under a drawdown of Loans 1, Loan 2 or Loan 3 is conditional upon, together with other conditions, the Company having a debt-to-market cap ratio (where debt includes the amount of all amounts drawn down to date and the proposed drawdown) equal to or less than 15% at the time of each draw down.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 </w:t>
      </w:r>
    </w:p>
    <w:p>
      <w:pPr>
        <w:pStyle w:val="TextBody"/>
        <w:bidi w:val="0"/>
        <w:spacing w:before="20" w:after="283"/>
        <w:jc w:val="both"/>
        <w:rPr>
          <w:rFonts w:ascii="Times New Roman" w:hAnsi="Times New Roman"/>
          <w:sz w:val="20"/>
        </w:rPr>
      </w:pPr>
      <w:r>
        <w:rPr>
          <w:rFonts w:ascii="Times New Roman" w:hAnsi="Times New Roman"/>
          <w:color w:val="000000"/>
          <w:sz w:val="20"/>
        </w:rPr>
        <w:t>As additional consideration for the Loan, Kreos Capital VII Aggregator SCSp, an affiliate of the Lender (the “</w:t>
      </w:r>
      <w:r>
        <w:rPr>
          <w:rFonts w:ascii="Times New Roman" w:hAnsi="Times New Roman"/>
          <w:i/>
          <w:color w:val="000000"/>
          <w:sz w:val="20"/>
        </w:rPr>
        <w:t>Holder”</w:t>
      </w:r>
      <w:r>
        <w:rPr>
          <w:rFonts w:ascii="Times New Roman" w:hAnsi="Times New Roman"/>
          <w:color w:val="000000"/>
          <w:sz w:val="20"/>
        </w:rPr>
        <w:t>) and the Company entered into an amended warrant (the “</w:t>
      </w:r>
      <w:r>
        <w:rPr>
          <w:rFonts w:ascii="Times New Roman" w:hAnsi="Times New Roman"/>
          <w:i/>
          <w:color w:val="000000"/>
          <w:sz w:val="20"/>
        </w:rPr>
        <w:t>Amended BlackRock Warrant”</w:t>
      </w:r>
      <w:r>
        <w:rPr>
          <w:rFonts w:ascii="Times New Roman" w:hAnsi="Times New Roman"/>
          <w:color w:val="000000"/>
          <w:sz w:val="20"/>
        </w:rPr>
        <w:t xml:space="preserve">)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connection with this transaction, the Company incurred CHF 0.7 million and CHF 0.8 million of transaction related costs during the years ended December 31, 2025 and 2024, respectively, which were capitalized as a prepayment for liquidity services and recorded within other current assets.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200" w:after="283"/>
        <w:jc w:val="both"/>
        <w:rPr>
          <w:rFonts w:ascii="Times New Roman" w:hAnsi="Times New Roman"/>
          <w:sz w:val="20"/>
        </w:rPr>
      </w:pPr>
      <w:r>
        <w:rPr>
          <w:rFonts w:ascii="Times New Roman" w:hAnsi="Times New Roman"/>
          <w:color w:val="000000"/>
          <w:sz w:val="20"/>
        </w:rPr>
        <w:t>On May 8, 2024, the Company entered into a sales agreement with Leerink Partners, LLC (“</w:t>
      </w:r>
      <w:r>
        <w:rPr>
          <w:rFonts w:ascii="Times New Roman" w:hAnsi="Times New Roman"/>
          <w:i/>
          <w:color w:val="000000"/>
          <w:sz w:val="20"/>
        </w:rPr>
        <w:t>Leerink Partners</w:t>
      </w:r>
      <w:r>
        <w:rPr>
          <w:rFonts w:ascii="Times New Roman" w:hAnsi="Times New Roman"/>
          <w:color w:val="000000"/>
          <w:sz w:val="20"/>
        </w:rPr>
        <w:t>”) with respect to an at-the-market offering program (the “</w:t>
      </w:r>
      <w:r>
        <w:rPr>
          <w:rFonts w:ascii="Times New Roman" w:hAnsi="Times New Roman"/>
          <w:i/>
          <w:color w:val="000000"/>
          <w:sz w:val="20"/>
        </w:rPr>
        <w:t>ATM Offering Program</w:t>
      </w:r>
      <w:r>
        <w:rPr>
          <w:rFonts w:ascii="Times New Roman" w:hAnsi="Times New Roman"/>
          <w:color w:val="000000"/>
          <w:sz w:val="20"/>
        </w:rPr>
        <w:t xml:space="preserve">”) under which the Company may offer and sell, from time to time at its sole discretion, ordinary shares of the Company having an aggregate offering price of up to $100.0 million (CHF 79.3 million) through Leerink Partners as its sales agent. Any such sales, made through the sales agent, can be made by any method that is deemed an “at-the-market offering” as defined in Rule 415 promulgated under the Securities Act of 1933, as amended, or in other transactions pursuant to an effective shelf registration statement on Form F-3. The Company agreed to pay Leerink Partners a commission of up to 3.0% of the gross proceeds of any sales of ordinary shares sold pursuant to the sales agreement. Following the execution of the agreement, the Company issued 1,000,000 ordinary shares during the year ended December 31, 2024 and 2,500,000 ordinary shares during the year ended December 31, 2025 out of its existing capital band, each with a nominal value of CHF 0.01 to be held as treasury shares. In connection with this transaction the Company incurred approximately CHF 0.3 million of transaction related costs during the year ended December 31, 2024, which were capitalized within other current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29, 2025, in conjunction with the November 2025 Offerings, the Company suspended the ATM Offering Program. The sales agreement with Leerink Partners remains in full force and effect. As of the date hereof, we have not sold any ordinary shares under the ATM Offering Program. Of the ordinary shares held as treasury shares, 2,796,297 were issued in connection with the November 2025 Offerings discussed below.</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May 2023 Offering</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31, 2023, the Company entered into an underwriting agreement with BofA Securities Inc. and SVB Securities, LLC, as representatives of several underwriters, and on June 5 and June 13, 2023, the Company closed the issuance and sale in a public offering of an aggregate of 3,654,234 ordinary shares at a public offering price of CHF 10.45 or $11.50 per share, for total gross proceeds of CHF 38.2 million or $42.0 million before deducting underwriting discounts, commissions and offering expenses.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2,796,297 shares previously held in treasury by the Company.</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SEGMENT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managed and operated as one business. A single management team that reports to the Chief Executive Officer comprehensively manages the entire business and accordingly, the Company has one reportable segment.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provides the carrying amount of certain non-current assets, by geographic area: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36"/>
        <w:gridCol w:w="146"/>
        <w:gridCol w:w="1324"/>
        <w:gridCol w:w="146"/>
        <w:gridCol w:w="1324"/>
        <w:gridCol w:w="146"/>
        <w:gridCol w:w="1324"/>
        <w:gridCol w:w="146"/>
        <w:gridCol w:w="1324"/>
        <w:gridCol w:w="146"/>
        <w:gridCol w:w="1324"/>
        <w:gridCol w:w="146"/>
        <w:gridCol w:w="1373"/>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Switzerland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 December 31, 2024</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13,292</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1,303</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13,989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14,191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16,289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14,980</w:t>
            </w:r>
          </w:p>
        </w:tc>
      </w:tr>
    </w:tbl>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w:t>
      </w:r>
    </w:p>
    <w:p>
      <w:pPr>
        <w:pStyle w:val="TextBody"/>
        <w:bidi w:val="0"/>
        <w:jc w:val="both"/>
        <w:rPr>
          <w:rFonts w:ascii="Times New Roman" w:hAnsi="Times New Roman"/>
          <w:b/>
          <w:color w:val="000000"/>
          <w:sz w:val="22"/>
        </w:rPr>
      </w:pPr>
      <w:r>
        <w:rPr>
          <w:rFonts w:ascii="Times New Roman" w:hAnsi="Times New Roman"/>
          <w:b/>
          <w:color w:val="000000"/>
          <w:sz w:val="22"/>
        </w:rPr>
        <w:t>INCOME AND EXPENSES</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GRANT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Grant income reflects reimbursement of research and development expenses, and income from certain research projects managed by Icelandic governmental institutions. Certain expenses qualify for incentives from the Icelandic government in the form of tax credits or cash reimbursements. Icelandic government grant income for the year ended December 31, 2025, 2024 and 2023 was CHF 1.2 million, CHF 0.7 million and CHF 0.9 million, respectively. Refer to Note 11. </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pPr>
      <w:r>
        <w:rPr>
          <w:rFonts w:ascii="Times New Roman" w:hAnsi="Times New Roman"/>
          <w:b/>
          <w:color w:val="000000"/>
          <w:sz w:val="20"/>
        </w:rPr>
        <w:t>OPERATING EXPENSES</w:t>
      </w:r>
      <w:r>
        <w:rPr>
          <w:color w:val="00000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tables below show the breakdown of the operating expenses by category: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10"/>
        <w:gridCol w:w="146"/>
        <w:gridCol w:w="752"/>
        <w:gridCol w:w="182"/>
        <w:gridCol w:w="752"/>
        <w:gridCol w:w="182"/>
        <w:gridCol w:w="752"/>
        <w:gridCol w:w="146"/>
        <w:gridCol w:w="722"/>
        <w:gridCol w:w="175"/>
        <w:gridCol w:w="722"/>
        <w:gridCol w:w="175"/>
        <w:gridCol w:w="722"/>
        <w:gridCol w:w="175"/>
        <w:gridCol w:w="601"/>
        <w:gridCol w:w="146"/>
        <w:gridCol w:w="601"/>
        <w:gridCol w:w="146"/>
        <w:gridCol w:w="601"/>
        <w:gridCol w:w="297"/>
      </w:tblGrid>
      <w:tr>
        <w:trPr/>
        <w:tc>
          <w:tcPr>
            <w:tcW w:w="2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General and administrative expenses</w:t>
            </w:r>
          </w:p>
        </w:tc>
        <w:tc>
          <w:tcPr>
            <w:tcW w:w="23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operating expenses</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18,849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11,114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14,997</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11,476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7,029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13,537</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8,998</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1,895</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38,236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40,969</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10,789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10,331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10,458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68,059</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External service providers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29,951</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Merger and listing expense</w:t>
            </w:r>
            <w:r>
              <w:rPr>
                <w:rFonts w:ascii="Times New Roman" w:hAnsi="Times New Roman"/>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34,863</w:t>
            </w:r>
          </w:p>
        </w:tc>
        <w:tc>
          <w:tcPr>
            <w:tcW w:w="2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57,085</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52,083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25,786</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21,807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17,487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82,871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81,597</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Merger and listing expense is presented separately from research and development or general and administrative expenses on the consolidated statements of loss. The item relates to the BCA and is non-recurring in nature, representing a share-based payment made in exchange for a listing service.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increased CHF 9.0 million from December 31, 2024 to December 31, 2025. The increase was driven by a CHF 5.0 million increase in research and development expense and a CHF 4.0 million increase in general and administrative expense year over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increase in research and development expenses was primarily due to advancements in our late-stage development portfolio, including Privosegtor development activities and the DIAMOND clinical program. The cost increases were partially offset by a decline in Licaminlimab development costs due to the completion of RELIEF Phase 2 trial in 2024 and commencement of PREDICT registrational trial in late 2025.</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B333D"/>
          <w:sz w:val="20"/>
        </w:rPr>
        <w:t>The increase in general and administrative costs was primarily driven by personnel costs, specifically</w:t>
      </w:r>
      <w:r>
        <w:rPr>
          <w:rFonts w:ascii="Times New Roman" w:hAnsi="Times New Roman"/>
          <w:color w:val="000000"/>
          <w:sz w:val="20"/>
        </w:rPr>
        <w:t xml:space="preserve"> share-based compensation expense due to increased headcount and increased grant value for awards granted during the year ended December 31, 2025.</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w:t>
      </w:r>
    </w:p>
    <w:p>
      <w:pPr>
        <w:pStyle w:val="TextBody"/>
        <w:bidi w:val="0"/>
        <w:jc w:val="both"/>
        <w:rPr>
          <w:rFonts w:ascii="Times New Roman" w:hAnsi="Times New Roman"/>
          <w:b/>
          <w:color w:val="000000"/>
          <w:sz w:val="20"/>
        </w:rPr>
      </w:pPr>
      <w:r>
        <w:rPr>
          <w:rFonts w:ascii="Times New Roman" w:hAnsi="Times New Roman"/>
          <w:b/>
          <w:color w:val="000000"/>
          <w:sz w:val="20"/>
        </w:rPr>
        <w:t>FINANCE RESULT</w:t>
      </w:r>
    </w:p>
    <w:p>
      <w:pPr>
        <w:pStyle w:val="TextBody"/>
        <w:bidi w:val="0"/>
        <w:jc w:val="both"/>
        <w:rPr/>
      </w:pPr>
      <w:r>
        <w:rPr/>
        <w:t> </w:t>
      </w:r>
    </w:p>
    <w:tbl>
      <w:tblPr>
        <w:tblW w:w="6433" w:type="dxa"/>
        <w:jc w:val="left"/>
        <w:tblInd w:w="0" w:type="dxa"/>
        <w:tblLayout w:type="fixed"/>
        <w:tblCellMar>
          <w:top w:w="28" w:type="dxa"/>
          <w:left w:w="28" w:type="dxa"/>
          <w:bottom w:w="28" w:type="dxa"/>
          <w:right w:w="28" w:type="dxa"/>
        </w:tblCellMar>
      </w:tblPr>
      <w:tblGrid>
        <w:gridCol w:w="3121"/>
        <w:gridCol w:w="146"/>
        <w:gridCol w:w="661"/>
        <w:gridCol w:w="166"/>
        <w:gridCol w:w="146"/>
        <w:gridCol w:w="146"/>
        <w:gridCol w:w="661"/>
        <w:gridCol w:w="166"/>
        <w:gridCol w:w="146"/>
        <w:gridCol w:w="146"/>
        <w:gridCol w:w="571"/>
        <w:gridCol w:w="166"/>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adjustment on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exchange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Finance result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(17,471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(12,733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(7,981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Finance income in all periods presented consists primarily of interest income earned from the Company’s short-term financial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primary finance expense in 2025 and 2024 is the amortization of transaction costs related to the Loan Agreement, entered into during the second quarter of 2024 and amended in the third quarter of 2025. Refer to Note 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had 2,045,596 shares of BCA Warrants and 59,310 ordinary shares of Blackrock Warrants outstanding at December 31, 2025. Warrants are adjusted to fair market value at each reporting date. Refer to Note 17 for further discussions of the fair value gain/(loss) on warrant liabilities.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the foreign currency exchange loss is primarily related to overall weakening of the U.S. dollar against the Swiss Franc. During the year ended December 31, 2024, the foreign currency exchange gain is primarily related to overall strengthening of the U.S. dollar against the Swiss Franc.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result as presented in the statements of cash flows is comprised of interest and the foreign exchange effect on cash and financial assets, net.</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(D)</w:t>
      </w:r>
    </w:p>
    <w:p>
      <w:pPr>
        <w:pStyle w:val="TextBody"/>
        <w:bidi w:val="0"/>
        <w:jc w:val="both"/>
        <w:rPr>
          <w:rFonts w:ascii="Times New Roman" w:hAnsi="Times New Roman"/>
          <w:b/>
          <w:color w:val="000000"/>
          <w:sz w:val="20"/>
        </w:rPr>
      </w:pPr>
      <w:r>
        <w:rPr>
          <w:rFonts w:ascii="Times New Roman" w:hAnsi="Times New Roman"/>
          <w:b/>
          <w:color w:val="000000"/>
          <w:sz w:val="20"/>
        </w:rPr>
        <w:t>INCOME TAX AND DEFERRED TAX</w:t>
      </w:r>
    </w:p>
    <w:p>
      <w:pPr>
        <w:pStyle w:val="TextBody"/>
        <w:bidi w:val="0"/>
        <w:jc w:val="both"/>
        <w:rPr/>
      </w:pPr>
      <w:r>
        <w:rPr/>
        <w:t> </w:t>
      </w:r>
    </w:p>
    <w:tbl>
      <w:tblPr>
        <w:tblW w:w="5202" w:type="dxa"/>
        <w:jc w:val="left"/>
        <w:tblInd w:w="0" w:type="dxa"/>
        <w:tblLayout w:type="fixed"/>
        <w:tblCellMar>
          <w:top w:w="28" w:type="dxa"/>
          <w:left w:w="28" w:type="dxa"/>
          <w:bottom w:w="28" w:type="dxa"/>
          <w:right w:w="28" w:type="dxa"/>
        </w:tblCellMar>
      </w:tblPr>
      <w:tblGrid>
        <w:gridCol w:w="2296"/>
        <w:gridCol w:w="170"/>
        <w:gridCol w:w="439"/>
        <w:gridCol w:w="194"/>
        <w:gridCol w:w="170"/>
        <w:gridCol w:w="170"/>
        <w:gridCol w:w="509"/>
        <w:gridCol w:w="194"/>
        <w:gridCol w:w="170"/>
        <w:gridCol w:w="170"/>
        <w:gridCol w:w="509"/>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income tax expense</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income (expense)</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tax benefit (expense)</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Group’s expected tax expense for each year is based on the applicable tax rate in each individual jurisdiction, which ranged between 8.3% and 25.0% for 2025, 2024 and 2023 in the tax jurisdictions in which the Group operates. The weighted average tax rates applicable to the profits of the consolidated entities were 12.8%, 13.7% and 12.7% for the years 2025, 2024 and 2023, respectively. The decrease in 2025 primarily reflects changes in the composition of taxable results.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tax on the Group’s profit / (loss) before tax differs from the statutory amount that would arise using the weighted average applicable tax rate as follows:</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67" w:type="dxa"/>
        <w:jc w:val="left"/>
        <w:tblInd w:w="0" w:type="dxa"/>
        <w:tblLayout w:type="fixed"/>
        <w:tblCellMar>
          <w:top w:w="28" w:type="dxa"/>
          <w:left w:w="28" w:type="dxa"/>
          <w:bottom w:w="28" w:type="dxa"/>
          <w:right w:w="28" w:type="dxa"/>
        </w:tblCellMar>
      </w:tblPr>
      <w:tblGrid>
        <w:gridCol w:w="2941"/>
        <w:gridCol w:w="146"/>
        <w:gridCol w:w="661"/>
        <w:gridCol w:w="256"/>
        <w:gridCol w:w="146"/>
        <w:gridCol w:w="146"/>
        <w:gridCol w:w="661"/>
        <w:gridCol w:w="256"/>
        <w:gridCol w:w="146"/>
        <w:gridCol w:w="146"/>
        <w:gridCol w:w="661"/>
        <w:gridCol w:w="30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Groups average expected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(88,695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at weighted average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unrecognized tax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use of unrecognized tax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non-taxable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other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tax benefit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2025, the Group changed its corporate structure and completed an intra-group sale of an intangible asset between two wholly-owned Swiss legal entities, generating an intra-group taxable profit of CHF 210.4 million. The intra-group sale of intangible asset combined with regular operational losses resulted in the use of CHF 160.6 million unrecognized tax losses to offset the taxable income in the transferring Swiss entity, resulting in a reconciling effect of use of unrecognized tax losses of CHF 22.5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transaction created future temporary difference of CHF 210.4 million in the receiving Swiss entity due to the differences between the statutory and the IFRS carrying values of the transferred intangible asset. The amortization of the transferred intangible asset will commence when the market approval for the underlying asset is obtained. Given the uncertainty in the realization of future taxable profits, no deferred tax asset on these future temporary differences has been recognized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2024 and 2023, the Group has accumulated tax losses, primarily in Switzerland. These losses may be carried forward to offset future taxable profits of the Company until expiration. However, no deferred tax assets have been recognized related to these losses as of December 31, 2025 as the realization of sufficient future taxable profits is not considered probable. Additionally, as certain tax losses have not yet been validated by the tax authorities, they remain subject to potential adjustments. The combined effect of unrecognized tax losses and intangible asset temporary differences amounted to CHF 33.5 million. This does not affect management’s assumption on the going concern hypothesis of the Group. Below is the maturity of the Group reportable losses:</w:t>
      </w:r>
    </w:p>
    <w:p>
      <w:pPr>
        <w:pStyle w:val="TextBody"/>
        <w:bidi w:val="0"/>
        <w:jc w:val="both"/>
        <w:rPr/>
      </w:pPr>
      <w:r>
        <w:rPr/>
        <w:t> </w:t>
      </w:r>
    </w:p>
    <w:tbl>
      <w:tblPr>
        <w:tblW w:w="3812" w:type="dxa"/>
        <w:jc w:val="left"/>
        <w:tblInd w:w="0" w:type="dxa"/>
        <w:tblLayout w:type="fixed"/>
        <w:tblCellMar>
          <w:top w:w="28" w:type="dxa"/>
          <w:left w:w="28" w:type="dxa"/>
          <w:bottom w:w="28" w:type="dxa"/>
          <w:right w:w="28" w:type="dxa"/>
        </w:tblCellMar>
      </w:tblPr>
      <w:tblGrid>
        <w:gridCol w:w="526"/>
        <w:gridCol w:w="146"/>
        <w:gridCol w:w="691"/>
        <w:gridCol w:w="146"/>
        <w:gridCol w:w="146"/>
        <w:gridCol w:w="146"/>
        <w:gridCol w:w="691"/>
        <w:gridCol w:w="146"/>
        <w:gridCol w:w="146"/>
        <w:gridCol w:w="146"/>
        <w:gridCol w:w="691"/>
        <w:gridCol w:w="191"/>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106,861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233,840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170,443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Group did not recognize the following temporary differences:</w:t>
      </w:r>
    </w:p>
    <w:p>
      <w:pPr>
        <w:pStyle w:val="TextBody"/>
        <w:bidi w:val="0"/>
        <w:jc w:val="both"/>
        <w:rPr/>
      </w:pPr>
      <w:r>
        <w:rPr/>
        <w:t> </w:t>
      </w:r>
    </w:p>
    <w:tbl>
      <w:tblPr>
        <w:tblW w:w="5282" w:type="dxa"/>
        <w:jc w:val="left"/>
        <w:tblInd w:w="0" w:type="dxa"/>
        <w:tblLayout w:type="fixed"/>
        <w:tblCellMar>
          <w:top w:w="28" w:type="dxa"/>
          <w:left w:w="28" w:type="dxa"/>
          <w:bottom w:w="28" w:type="dxa"/>
          <w:right w:w="28" w:type="dxa"/>
        </w:tblCellMar>
      </w:tblPr>
      <w:tblGrid>
        <w:gridCol w:w="1936"/>
        <w:gridCol w:w="146"/>
        <w:gridCol w:w="691"/>
        <w:gridCol w:w="166"/>
        <w:gridCol w:w="146"/>
        <w:gridCol w:w="146"/>
        <w:gridCol w:w="691"/>
        <w:gridCol w:w="166"/>
        <w:gridCol w:w="146"/>
        <w:gridCol w:w="146"/>
        <w:gridCol w:w="691"/>
        <w:gridCol w:w="21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losses in 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314,449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166,996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abovementioned intra-group sale transaction generated future temporary differences of CHF 210.4 million in the receiving Swiss entity and reduced accumulated tax losses by an amount of CHF 160.6 million as of December 31, 2025.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8. PROPERTY AND EQUIPMENT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presents the movements in the book values of property and equipment: </w:t>
      </w:r>
    </w:p>
    <w:tbl>
      <w:tblPr>
        <w:tblW w:w="10205" w:type="dxa"/>
        <w:jc w:val="left"/>
        <w:tblInd w:w="0" w:type="dxa"/>
        <w:tblLayout w:type="fixed"/>
        <w:tblCellMar>
          <w:top w:w="28" w:type="dxa"/>
          <w:left w:w="28" w:type="dxa"/>
          <w:bottom w:w="28" w:type="dxa"/>
          <w:right w:w="28" w:type="dxa"/>
        </w:tblCellMar>
      </w:tblPr>
      <w:tblGrid>
        <w:gridCol w:w="1926"/>
        <w:gridCol w:w="309"/>
        <w:gridCol w:w="928"/>
        <w:gridCol w:w="166"/>
        <w:gridCol w:w="146"/>
        <w:gridCol w:w="379"/>
        <w:gridCol w:w="1139"/>
        <w:gridCol w:w="166"/>
        <w:gridCol w:w="146"/>
        <w:gridCol w:w="454"/>
        <w:gridCol w:w="1362"/>
        <w:gridCol w:w="166"/>
        <w:gridCol w:w="146"/>
        <w:gridCol w:w="443"/>
        <w:gridCol w:w="1145"/>
        <w:gridCol w:w="166"/>
        <w:gridCol w:w="146"/>
        <w:gridCol w:w="146"/>
        <w:gridCol w:w="511"/>
        <w:gridCol w:w="215"/>
      </w:tblGrid>
      <w:tr>
        <w:trPr/>
        <w:tc>
          <w:tcPr>
            <w:tcW w:w="19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Lab - equipment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Lab - fixtures and fittings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Office equipment &amp; hardware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Leasehold improvement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cost:</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3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2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618</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36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Disposals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depreciation:</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(676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Disposals</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Carrying amount:</w:t>
            </w:r>
          </w:p>
        </w:tc>
        <w:tc>
          <w:tcPr>
            <w:tcW w:w="12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w:t>
      </w:r>
    </w:p>
    <w:p>
      <w:pPr>
        <w:pStyle w:val="TextBody"/>
        <w:bidi w:val="0"/>
        <w:jc w:val="both"/>
        <w:rPr>
          <w:rFonts w:ascii="Times New Roman" w:hAnsi="Times New Roman"/>
          <w:b/>
          <w:color w:val="000000"/>
          <w:sz w:val="22"/>
        </w:rPr>
      </w:pPr>
      <w:r>
        <w:rPr>
          <w:rFonts w:ascii="Times New Roman" w:hAnsi="Times New Roman"/>
          <w:b/>
          <w:color w:val="000000"/>
          <w:sz w:val="22"/>
        </w:rPr>
        <w:t>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summarize the movement of intangibles assets, all of which represent licenses:</w:t>
      </w:r>
    </w:p>
    <w:p>
      <w:pPr>
        <w:pStyle w:val="TextBody"/>
        <w:bidi w:val="0"/>
        <w:jc w:val="both"/>
        <w:rPr/>
      </w:pPr>
      <w:r>
        <w:rPr/>
        <w:t> </w:t>
      </w:r>
    </w:p>
    <w:tbl>
      <w:tblPr>
        <w:tblW w:w="3695" w:type="dxa"/>
        <w:jc w:val="left"/>
        <w:tblInd w:w="0" w:type="dxa"/>
        <w:tblLayout w:type="fixed"/>
        <w:tblCellMar>
          <w:top w:w="28" w:type="dxa"/>
          <w:left w:w="28" w:type="dxa"/>
          <w:bottom w:w="28" w:type="dxa"/>
          <w:right w:w="28" w:type="dxa"/>
        </w:tblCellMar>
      </w:tblPr>
      <w:tblGrid>
        <w:gridCol w:w="2611"/>
        <w:gridCol w:w="146"/>
        <w:gridCol w:w="146"/>
        <w:gridCol w:w="601"/>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12,206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13,292</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Intangible assets as of both December 31, 2025 and 2024 were CHF 13.3 million, and represented licenses purchased under license agreements with Novartis and Accure. The Novartis license agreement was dated as of December 19, 2018 between Legacy Oculis and Novartis and relates to a novel topical anti-TNFα antibody, renamed Licaminlimab, for ophthalmic indications. The license agreement between Legacy Oculis and Accure, dated as of January 29, 2022, relates to the exclusive global licensing of its Privosegtor (formerly ACT-01) technology. This license agreement contained an upfront payment of CHF 3.0 million and reimbursement of development related costs of CHF 0.5 million. During the fourth quarter of 2024, the Company completed the Phase 2 ACUITY trial of Privosegtor in ON and received clearance from the U.S. Food and Drug Administration (“</w:t>
      </w:r>
      <w:r>
        <w:rPr>
          <w:rFonts w:ascii="Times New Roman" w:hAnsi="Times New Roman"/>
          <w:i/>
          <w:color w:val="000000"/>
          <w:sz w:val="20"/>
        </w:rPr>
        <w:t>FDA</w:t>
      </w:r>
      <w:r>
        <w:rPr>
          <w:rFonts w:ascii="Times New Roman" w:hAnsi="Times New Roman"/>
          <w:color w:val="000000"/>
          <w:sz w:val="20"/>
        </w:rPr>
        <w:t>”) for its investigational new drug (“</w:t>
      </w:r>
      <w:r>
        <w:rPr>
          <w:rFonts w:ascii="Times New Roman" w:hAnsi="Times New Roman"/>
          <w:i/>
          <w:color w:val="000000"/>
          <w:sz w:val="20"/>
        </w:rPr>
        <w:t>IND</w:t>
      </w:r>
      <w:r>
        <w:rPr>
          <w:rFonts w:ascii="Times New Roman" w:hAnsi="Times New Roman"/>
          <w:color w:val="000000"/>
          <w:sz w:val="20"/>
        </w:rPr>
        <w:t>”). These events triggered milestone payments to Accure totaling CHF 1.1 million which were capitalized, increasing the value of the intangible asset. The next clinical and regulatory milestone under the Accure Agreement will trigger a payment of CHF 2.1 million ($2.6 million) that the Company expects to pay in 2026.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Intangible assets amortization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products candidates related to the capitalized intangible assets are not yet available for use. The amortization of the licenses will start when the market approval is obtained. </w:t>
      </w:r>
    </w:p>
    <w:p>
      <w:pPr>
        <w:pStyle w:val="TextBody"/>
        <w:bidi w:val="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w:t>
      </w:r>
    </w:p>
    <w:p>
      <w:pPr>
        <w:pStyle w:val="TextBody"/>
        <w:bidi w:val="0"/>
        <w:jc w:val="both"/>
        <w:rPr>
          <w:rFonts w:ascii="Times New Roman" w:hAnsi="Times New Roman"/>
          <w:b/>
          <w:color w:val="000000"/>
          <w:sz w:val="20"/>
        </w:rPr>
      </w:pPr>
      <w:r>
        <w:rPr>
          <w:rFonts w:ascii="Times New Roman" w:hAnsi="Times New Roman"/>
          <w:b/>
          <w:color w:val="000000"/>
          <w:sz w:val="20"/>
        </w:rPr>
        <w:t>Annual impairment testing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performs an assessment of its licenses in the context of its annual impairment test. Given the stage of Oculis’ development activities and the importance of the relevant product candidates, Licaminlimab and Privosegtor, in Oculis’ portfolio, the impairment test is performed first on the basis of a fair value model for the entire Company using a market approach and second on the basis of the continued development feasibility of both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Oculis performs its annual impairment tests on its entire portfolio of research and development assets, by deriving the fair value from an observable valuation for the entire Company determined via its stock market price quoted in Nasdaq as per the reporting date. The fair value of the asset portfolio is derived by deducting the carrying value of tangible assets and the remaining assets, which consist primarily of short-term financial assets and cash and cash equivalents, from the Company valuation.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Licaminlimab and Privosegtor, are additionally tested for impairment by assessing their probability of success. Assessments include reviews of the following indicators, and if the candidate fails any of these indicators the entire balance is written off: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Importance allocated to the candidate within Oculis’ development portfolio, including future contractual commitments and internal budgets approved by the Board of Directors for ongoing and future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Consideration of the progress of technical development and clinical trials, including obtaining technical development reports, efficacy and safety readout data, and discussions with regulatory authorities for new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Consideration of market potentials supported where available by external market studies, and assessments of competitor products and product candidates.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2024 and 2023, reviews of all these indicators for Licaminlimab and Privosegtor were positive. No impairment losses were recognized in 2025, 2024 or 2023. </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RIGHT-OF-USE ASSETS AND LEASE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right-of-use assets, which are related to the Company’s Switzerland, Iceland and U.S. facilities:</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36"/>
        <w:gridCol w:w="146"/>
        <w:gridCol w:w="511"/>
        <w:gridCol w:w="166"/>
        <w:gridCol w:w="146"/>
        <w:gridCol w:w="146"/>
        <w:gridCol w:w="511"/>
        <w:gridCol w:w="21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Right-of-use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charge for the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2025, the Company signed a new lease in the U.S. commencing July 1, 2025 and a new lease in Iceland commencing September 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are no variable lease payments which are not included in the measurement of lease obligations. Expected extension options have been included in the measurement of lease liabilities.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lease obligations: </w:t>
      </w:r>
    </w:p>
    <w:p>
      <w:pPr>
        <w:pStyle w:val="TextBody"/>
        <w:bidi w:val="0"/>
        <w:jc w:val="both"/>
        <w:rPr/>
      </w:pPr>
      <w:r>
        <w:rPr/>
        <w:t> </w:t>
      </w:r>
    </w:p>
    <w:tbl>
      <w:tblPr>
        <w:tblW w:w="4223" w:type="dxa"/>
        <w:jc w:val="left"/>
        <w:tblInd w:w="0" w:type="dxa"/>
        <w:tblLayout w:type="fixed"/>
        <w:tblCellMar>
          <w:top w:w="28" w:type="dxa"/>
          <w:left w:w="28" w:type="dxa"/>
          <w:bottom w:w="28" w:type="dxa"/>
          <w:right w:w="28" w:type="dxa"/>
        </w:tblCellMar>
      </w:tblPr>
      <w:tblGrid>
        <w:gridCol w:w="2266"/>
        <w:gridCol w:w="146"/>
        <w:gridCol w:w="571"/>
        <w:gridCol w:w="166"/>
        <w:gridCol w:w="146"/>
        <w:gridCol w:w="146"/>
        <w:gridCol w:w="571"/>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New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payments for the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tbl>
      <w:tblPr>
        <w:tblW w:w="5504" w:type="dxa"/>
        <w:jc w:val="left"/>
        <w:tblInd w:w="0" w:type="dxa"/>
        <w:tblLayout w:type="fixed"/>
        <w:tblCellMar>
          <w:top w:w="28" w:type="dxa"/>
          <w:left w:w="28" w:type="dxa"/>
          <w:bottom w:w="28" w:type="dxa"/>
          <w:right w:w="28" w:type="dxa"/>
        </w:tblCellMar>
      </w:tblPr>
      <w:tblGrid>
        <w:gridCol w:w="991"/>
        <w:gridCol w:w="405"/>
        <w:gridCol w:w="1590"/>
        <w:gridCol w:w="166"/>
        <w:gridCol w:w="146"/>
        <w:gridCol w:w="405"/>
        <w:gridCol w:w="1590"/>
        <w:gridCol w:w="211"/>
      </w:tblGrid>
      <w:tr>
        <w:trPr/>
        <w:tc>
          <w:tcPr>
            <w:tcW w:w="99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11.</w:t>
      </w:r>
    </w:p>
    <w:p>
      <w:pPr>
        <w:pStyle w:val="TextBody"/>
        <w:bidi w:val="0"/>
        <w:jc w:val="both"/>
        <w:rPr>
          <w:rFonts w:ascii="Times New Roman" w:hAnsi="Times New Roman"/>
          <w:b/>
          <w:color w:val="000000"/>
          <w:sz w:val="22"/>
        </w:rPr>
      </w:pPr>
      <w:r>
        <w:rPr>
          <w:rFonts w:ascii="Times New Roman" w:hAnsi="Times New Roman"/>
          <w:b/>
          <w:color w:val="000000"/>
          <w:sz w:val="22"/>
        </w:rPr>
        <w:t>OTHER CURRENT ASSETS, OTHER RECEIVABLE AND ACCRUED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table below shows the breakdown of the other current assets by category: </w:t>
      </w:r>
    </w:p>
    <w:p>
      <w:pPr>
        <w:pStyle w:val="TextBody"/>
        <w:bidi w:val="0"/>
        <w:jc w:val="left"/>
        <w:rPr/>
      </w:pPr>
      <w:r>
        <w:rPr/>
        <w:t> </w:t>
      </w:r>
    </w:p>
    <w:tbl>
      <w:tblPr>
        <w:tblW w:w="8415" w:type="dxa"/>
        <w:jc w:val="left"/>
        <w:tblInd w:w="0" w:type="dxa"/>
        <w:tblLayout w:type="fixed"/>
        <w:tblCellMar>
          <w:top w:w="28" w:type="dxa"/>
          <w:left w:w="28" w:type="dxa"/>
          <w:bottom w:w="28" w:type="dxa"/>
          <w:right w:w="28" w:type="dxa"/>
        </w:tblCellMar>
      </w:tblPr>
      <w:tblGrid>
        <w:gridCol w:w="3796"/>
        <w:gridCol w:w="146"/>
        <w:gridCol w:w="442"/>
        <w:gridCol w:w="1553"/>
        <w:gridCol w:w="146"/>
        <w:gridCol w:w="146"/>
        <w:gridCol w:w="442"/>
        <w:gridCol w:w="1553"/>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clinical and technical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VAT, withholding tax and interest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5,605</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decrease in prepaid clinical and technical development expenses as of December 31, 2025 compared to prior year relates primarily to advancements of clinical trials. Specifically, the OCS-01 DIAMOND-1 and DIAMOND-2 trials in DME which started in December 2023 and February 2024, respectively, with enrollments completed in April 2025. The increase in prepaid general and administrative expenses is primarily due to capitalized transaction costs associated with the Company’s ATM Offering Program and Amended Loan Agreement.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shows the movement of the accrued income for the years ended December 31, 2025 and 2024:</w:t>
      </w:r>
    </w:p>
    <w:p>
      <w:pPr>
        <w:pStyle w:val="TextBody"/>
        <w:bidi w:val="0"/>
        <w:jc w:val="left"/>
        <w:rPr/>
      </w:pPr>
      <w:r>
        <w:rPr/>
        <w:t> </w:t>
      </w:r>
    </w:p>
    <w:tbl>
      <w:tblPr>
        <w:tblW w:w="5254" w:type="dxa"/>
        <w:jc w:val="left"/>
        <w:tblInd w:w="0" w:type="dxa"/>
        <w:tblLayout w:type="fixed"/>
        <w:tblCellMar>
          <w:top w:w="28" w:type="dxa"/>
          <w:left w:w="28" w:type="dxa"/>
          <w:bottom w:w="28" w:type="dxa"/>
          <w:right w:w="28" w:type="dxa"/>
        </w:tblCellMar>
      </w:tblPr>
      <w:tblGrid>
        <w:gridCol w:w="3346"/>
        <w:gridCol w:w="146"/>
        <w:gridCol w:w="146"/>
        <w:gridCol w:w="511"/>
        <w:gridCol w:w="166"/>
        <w:gridCol w:w="146"/>
        <w:gridCol w:w="146"/>
        <w:gridCol w:w="436"/>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received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income is generated by incentives for research and development offered by the Icelandic government in the form of tax credits for innovation companies. These tax credits are either used to reduce the company’s income tax liability or, if the credits exceed the tax due, they are paid out in cash. The tax credit is subject to companies having a research project approved as eligible for tax credit by the Icelandic Centre for Research (Rannís).</w:t>
      </w:r>
    </w:p>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PENSIONS AND OTHER POST-EMPLOYMENT BENEFIT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Swiss pension plan is classified as a defined benefit plan under IFRS Accounting Standards. Employees of the Icelandic, French, Hong Kong and American subsidiaries are covered by local post-retirement contribution plans. Besides the Swiss plan, all other pension plans are not material to the Company’s consolidated financial position or results.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Switzerland pension plan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Swiss pension plan is fully reinsured with Swiss Life, therefore the plan assets are 100% covered by an insurance contract. The insurance company bearing the investment risk is also making these investments on behalf of the collective foundation. As a result, the assets of the plan consist of a receivable from the insurance police.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tables summarize the components of net benefit expense recognized in the consolidated statements of loss, amounts recognized in the balance sheet and gains/(losses) recognized in other comprehensive loss. </w:t>
      </w:r>
    </w:p>
    <w:p>
      <w:pPr>
        <w:pStyle w:val="TextBody"/>
        <w:bidi w:val="0"/>
        <w:jc w:val="both"/>
        <w:rPr/>
      </w:pPr>
      <w:r>
        <w:rPr/>
        <w:t> </w:t>
      </w:r>
    </w:p>
    <w:tbl>
      <w:tblPr>
        <w:tblW w:w="8112" w:type="dxa"/>
        <w:jc w:val="left"/>
        <w:tblInd w:w="0" w:type="dxa"/>
        <w:tblLayout w:type="fixed"/>
        <w:tblCellMar>
          <w:top w:w="28" w:type="dxa"/>
          <w:left w:w="28" w:type="dxa"/>
          <w:bottom w:w="28" w:type="dxa"/>
          <w:right w:w="28" w:type="dxa"/>
        </w:tblCellMar>
      </w:tblPr>
      <w:tblGrid>
        <w:gridCol w:w="5056"/>
        <w:gridCol w:w="146"/>
        <w:gridCol w:w="254"/>
        <w:gridCol w:w="654"/>
        <w:gridCol w:w="289"/>
        <w:gridCol w:w="254"/>
        <w:gridCol w:w="254"/>
        <w:gridCol w:w="994"/>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Actuarial gains / (losses) recognized in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599</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tbl>
      <w:tblPr>
        <w:tblW w:w="5530" w:type="dxa"/>
        <w:jc w:val="left"/>
        <w:tblInd w:w="0" w:type="dxa"/>
        <w:tblLayout w:type="fixed"/>
        <w:tblCellMar>
          <w:top w:w="28" w:type="dxa"/>
          <w:left w:w="28" w:type="dxa"/>
          <w:bottom w:w="28" w:type="dxa"/>
          <w:right w:w="28" w:type="dxa"/>
        </w:tblCellMar>
      </w:tblPr>
      <w:tblGrid>
        <w:gridCol w:w="2476"/>
        <w:gridCol w:w="146"/>
        <w:gridCol w:w="244"/>
        <w:gridCol w:w="957"/>
        <w:gridCol w:w="278"/>
        <w:gridCol w:w="244"/>
        <w:gridCol w:w="244"/>
        <w:gridCol w:w="730"/>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 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Administration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(1,008</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1966"/>
        <w:gridCol w:w="146"/>
        <w:gridCol w:w="204"/>
        <w:gridCol w:w="926"/>
        <w:gridCol w:w="232"/>
        <w:gridCol w:w="204"/>
        <w:gridCol w:w="204"/>
        <w:gridCol w:w="926"/>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Benefit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benefit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(1,335</w:t>
            </w:r>
          </w:p>
        </w:tc>
        <w:tc>
          <w:tcPr>
            <w:tcW w:w="2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(1,870</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Changes in the present value of the defined benefit obligation are as follows: </w:t>
      </w:r>
    </w:p>
    <w:p>
      <w:pPr>
        <w:pStyle w:val="TextBody"/>
        <w:bidi w:val="0"/>
        <w:jc w:val="both"/>
        <w:rPr/>
      </w:pPr>
      <w:r>
        <w:rPr/>
        <w:t> </w:t>
      </w:r>
    </w:p>
    <w:tbl>
      <w:tblPr>
        <w:tblW w:w="6429" w:type="dxa"/>
        <w:jc w:val="left"/>
        <w:tblInd w:w="0" w:type="dxa"/>
        <w:tblLayout w:type="fixed"/>
        <w:tblCellMar>
          <w:top w:w="28" w:type="dxa"/>
          <w:left w:w="28" w:type="dxa"/>
          <w:bottom w:w="28" w:type="dxa"/>
          <w:right w:w="28" w:type="dxa"/>
        </w:tblCellMar>
      </w:tblPr>
      <w:tblGrid>
        <w:gridCol w:w="3376"/>
        <w:gridCol w:w="146"/>
        <w:gridCol w:w="204"/>
        <w:gridCol w:w="926"/>
        <w:gridCol w:w="232"/>
        <w:gridCol w:w="204"/>
        <w:gridCol w:w="204"/>
        <w:gridCol w:w="926"/>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Defined benefit obligation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(13,715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paid by participants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Benefits paid from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gains /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Defined benefit obligation at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(15,998</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(13,715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the fair value of plan assets are as follows: </w:t>
      </w:r>
    </w:p>
    <w:p>
      <w:pPr>
        <w:pStyle w:val="TextBody"/>
        <w:bidi w:val="0"/>
        <w:jc w:val="left"/>
        <w:rPr/>
      </w:pPr>
      <w:r>
        <w:rPr/>
        <w:t> </w:t>
      </w:r>
    </w:p>
    <w:tbl>
      <w:tblPr>
        <w:tblW w:w="6296" w:type="dxa"/>
        <w:jc w:val="left"/>
        <w:tblInd w:w="0" w:type="dxa"/>
        <w:tblLayout w:type="fixed"/>
        <w:tblCellMar>
          <w:top w:w="28" w:type="dxa"/>
          <w:left w:w="28" w:type="dxa"/>
          <w:bottom w:w="28" w:type="dxa"/>
          <w:right w:w="28" w:type="dxa"/>
        </w:tblCellMar>
      </w:tblPr>
      <w:tblGrid>
        <w:gridCol w:w="3241"/>
        <w:gridCol w:w="146"/>
        <w:gridCol w:w="218"/>
        <w:gridCol w:w="898"/>
        <w:gridCol w:w="248"/>
        <w:gridCol w:w="218"/>
        <w:gridCol w:w="218"/>
        <w:gridCol w:w="898"/>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Fair value of plan assets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11,845</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return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by employer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Employees’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Benefits paid from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Contributions paid by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Actuarial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Fair value of plan assets at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14,663</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Group expects to contribute CHF 0.7 million to its defined benefit pension plan in 2026. The average duration of the plan was 14.3 years and 14.6 years as of December 31, 2025 and 2024,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principal assumptions used in determining pension benefit obligations for the Group’s plan are shown below:</w:t>
      </w:r>
    </w:p>
    <w:p>
      <w:pPr>
        <w:pStyle w:val="TextBody"/>
        <w:bidi w:val="0"/>
        <w:jc w:val="left"/>
        <w:rPr/>
      </w:pPr>
      <w:r>
        <w:rPr/>
        <w:t> </w:t>
      </w:r>
    </w:p>
    <w:tbl>
      <w:tblPr>
        <w:tblW w:w="5156" w:type="dxa"/>
        <w:jc w:val="left"/>
        <w:tblInd w:w="0" w:type="dxa"/>
        <w:tblLayout w:type="fixed"/>
        <w:tblCellMar>
          <w:top w:w="28" w:type="dxa"/>
          <w:left w:w="28" w:type="dxa"/>
          <w:bottom w:w="28" w:type="dxa"/>
          <w:right w:w="28" w:type="dxa"/>
        </w:tblCellMar>
      </w:tblPr>
      <w:tblGrid>
        <w:gridCol w:w="2011"/>
        <w:gridCol w:w="146"/>
        <w:gridCol w:w="256"/>
        <w:gridCol w:w="740"/>
        <w:gridCol w:w="450"/>
        <w:gridCol w:w="256"/>
        <w:gridCol w:w="256"/>
        <w:gridCol w:w="740"/>
        <w:gridCol w:w="30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Future salary increases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Future pensions 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Retirement 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Demographic assumptions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BVG 2020</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BVG 2020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regard to the underlying estimates for the calculation of the defined benefit pension liabilities the Company updated, among other minor updates, the discount rate assumption to 1.30% and 1.00% and the future salary increase assumption from 1.00% to 0.75% as of December 31, 2025 and 2024, respectively. All the actuarial assumption changes resulted in an actuarial gain of defined benefit pension liabilities of CHF 0.6 million. The net result is a decrease of defined benefit pension liabilities from CHF 1.9 million as of December 31, 2024 to CHF 1.3 million as of December 31, 2025. Other assumptions for defined benefit pension liabilities remain unchanged.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2025, the guaranteed interest to be credited to employees’ savings remains consistent with 2024 at 1.10%. The rate for converting mandatory savings to an annuity remains stable at 5.40% for males and 5.57% for females in 2026 and increases to 5.71% for females in 2027. The rate for converting supplementary savings to an annuity remains stable at 4.49% for males and 4.67% for females in 2026 and increases to 4.82% in 2027.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Sensitivity analysis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quantitative sensitivity analysis for significant assumptions as of December 31, 2025 and 2024 is shown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30"/>
        <w:gridCol w:w="146"/>
        <w:gridCol w:w="661"/>
        <w:gridCol w:w="166"/>
        <w:gridCol w:w="146"/>
        <w:gridCol w:w="661"/>
        <w:gridCol w:w="166"/>
        <w:gridCol w:w="146"/>
        <w:gridCol w:w="146"/>
        <w:gridCol w:w="661"/>
        <w:gridCol w:w="166"/>
        <w:gridCol w:w="146"/>
        <w:gridCol w:w="661"/>
        <w:gridCol w:w="166"/>
        <w:gridCol w:w="146"/>
        <w:gridCol w:w="146"/>
        <w:gridCol w:w="661"/>
        <w:gridCol w:w="166"/>
        <w:gridCol w:w="146"/>
        <w:gridCol w:w="661"/>
        <w:gridCol w:w="211"/>
      </w:tblGrid>
      <w:tr>
        <w:trPr/>
        <w:tc>
          <w:tcPr>
            <w:tcW w:w="4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Discount 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Future salary </w:t>
              <w:br/>
              <w:t>increase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Mortality </w:t>
              <w:br/>
              <w:t>assumptions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Assumptions as of December 31, 2025</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Potential 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Decrease/(increase) from actual defined benefit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Assumptions as of December 31, 2024</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 year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Potential defined benefit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Decrease/(increase) from actual defined benefit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sensitivity analysis above is subject to limitations and has been determined based on a method that extrapolates the impact on net defined benefit obligation as a result of reasonable changes in key assumptions occurring at the end of the reporting period.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SHARE BASED PAYMENT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2, 2023, the Company adopted the Stock Option and Incentive Plan Regulation 2023 (the “</w:t>
      </w:r>
      <w:r>
        <w:rPr>
          <w:rFonts w:ascii="Times New Roman" w:hAnsi="Times New Roman"/>
          <w:i/>
          <w:color w:val="000000"/>
          <w:sz w:val="20"/>
        </w:rPr>
        <w:t>2023 Plan”</w:t>
      </w:r>
      <w:r>
        <w:rPr>
          <w:rFonts w:ascii="Times New Roman" w:hAnsi="Times New Roman"/>
          <w:color w:val="000000"/>
          <w:sz w:val="20"/>
        </w:rPr>
        <w:t>) which allows for the grant of equity incentives, including share-based options, stock appreciation rights (“</w:t>
      </w:r>
      <w:r>
        <w:rPr>
          <w:rFonts w:ascii="Times New Roman" w:hAnsi="Times New Roman"/>
          <w:i/>
          <w:color w:val="000000"/>
          <w:sz w:val="20"/>
        </w:rPr>
        <w:t>SARs”</w:t>
      </w:r>
      <w:r>
        <w:rPr>
          <w:rFonts w:ascii="Times New Roman" w:hAnsi="Times New Roman"/>
          <w:color w:val="000000"/>
          <w:sz w:val="20"/>
        </w:rPr>
        <w:t>), restricted stock units (“</w:t>
      </w:r>
      <w:r>
        <w:rPr>
          <w:rFonts w:ascii="Times New Roman" w:hAnsi="Times New Roman"/>
          <w:i/>
          <w:color w:val="000000"/>
          <w:sz w:val="20"/>
        </w:rPr>
        <w:t>RSUs”</w:t>
      </w:r>
      <w:r>
        <w:rPr>
          <w:rFonts w:ascii="Times New Roman" w:hAnsi="Times New Roman"/>
          <w:color w:val="000000"/>
          <w:sz w:val="20"/>
        </w:rPr>
        <w:t xml:space="preserve">) and other awards. The 2023 Plan lays out the details for the equity incentives for talent acquisition and retention purposes.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grant of share-based options made under the 2023 Plan entitles the grantee to acquire ordinary shares from the Company with payment of the exercise price in cash. In the case of SARs, the intention of the Company is settling in equity. For each grant of share-based options or SARs, the Company issues a grant notice, which details the terms of the options or SARs, including number of shares, exercise price, vesting conditions and expiration date. Options granted under the 2023 Plan vest over periods ranging from one to four years and expire one day before the tenth anniversary of the grant date. The specific terms of each grant are set by the Board of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2023 Plan reflects the revised capital structure of the Company following completion of the Business Combination in March 2023. As a result, all option holders holding options under the prior Stock Option and Incentive Plan Regulation 2018 (the“</w:t>
      </w:r>
      <w:r>
        <w:rPr>
          <w:rFonts w:ascii="Times New Roman" w:hAnsi="Times New Roman"/>
          <w:i/>
          <w:color w:val="000000"/>
          <w:sz w:val="20"/>
        </w:rPr>
        <w:t>2018 Plan”</w:t>
      </w:r>
      <w:r>
        <w:rPr>
          <w:rFonts w:ascii="Times New Roman" w:hAnsi="Times New Roman"/>
          <w:color w:val="000000"/>
          <w:sz w:val="20"/>
        </w:rPr>
        <w:t>) prior to the close of the Business Combination exchanged their options held in Legacy Oculis for newly issued options to purchase ordinary shares of Oculis (“</w:t>
      </w:r>
      <w:r>
        <w:rPr>
          <w:rFonts w:ascii="Times New Roman" w:hAnsi="Times New Roman"/>
          <w:i/>
          <w:color w:val="000000"/>
          <w:sz w:val="20"/>
        </w:rPr>
        <w:t>Converted Options</w:t>
      </w:r>
      <w:r>
        <w:rPr>
          <w:rFonts w:ascii="Times New Roman" w:hAnsi="Times New Roman"/>
          <w:color w:val="000000"/>
          <w:sz w:val="20"/>
        </w:rPr>
        <w:t xml:space="preserve">”) and additional earnout options. The Converted Options continue to be subject to substantially the same terms and conditions except that the number of ordinary shares of Oculis issuable and related exercise prices were adjusted by the Exchange Ratio with all other terms remaining unchanged. The comparative fair value calculation of options using the Black-Scholes model before and after the merger concluded that there was no significant change in value. The exchange of equity awards under the prior 2018 Plan for equity awards under the 2023 Plan was determined to be a modification in accordance with IFRS 2 – Share-based payment. The Group has and will continue to record the related expense per the original valuation and vesting period without incremental charges. </w:t>
      </w:r>
    </w:p>
    <w:p>
      <w:pPr>
        <w:pStyle w:val="TextBody"/>
        <w:bidi w:val="0"/>
        <w:spacing w:before="200" w:after="283"/>
        <w:jc w:val="both"/>
        <w:rPr>
          <w:rFonts w:ascii="Times New Roman" w:hAnsi="Times New Roman"/>
          <w:sz w:val="20"/>
        </w:rPr>
      </w:pPr>
      <w:r>
        <w:rPr>
          <w:rFonts w:ascii="Times New Roman" w:hAnsi="Times New Roman"/>
          <w:i/>
          <w:color w:val="000000"/>
          <w:sz w:val="20"/>
        </w:rPr>
        <w:t>Option awards and SARs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share-based option or SAR granted under the 2023 Plan entitles the grantee to acquire common shares from the Company with cash payment of the exercise price. For each grant of share-based options or SARs, the Company provides a grant notice which details the terms of the option, including exercise price, vesting conditions and expiration date. The terms of each grant are set by the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option awards and SARs is determined using the Black-Scholes option-pricing model. The weighted average grant date fair value of options granted during the year ended December 31, 2025 was CHF 11.77 or $14.17 per share. The weighted average grant date fair value of options and SARs granted during the year ended December 31, 2024 was CHF 7.80 or $8.85 per share. The weighted average grant date fair value of options granted during the year ended December 31, 2023 was CHF 5.24 or $5.83 per share.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Black-Scholes fair value of SARs was determined using assumptions that were not materially different from those used to value options. The following assumptions were used in the Black-Scholes option-pricing model for determining the fair value of options and SARs granted during the years indicated: </w:t>
      </w:r>
    </w:p>
    <w:p>
      <w:pPr>
        <w:pStyle w:val="TextBody"/>
        <w:bidi w:val="0"/>
        <w:spacing w:before="200" w:after="283"/>
        <w:jc w:val="both"/>
        <w:rPr/>
      </w:pPr>
      <w:r>
        <w:rPr/>
        <w:t> </w:t>
      </w:r>
    </w:p>
    <w:tbl>
      <w:tblPr>
        <w:tblW w:w="9757" w:type="dxa"/>
        <w:jc w:val="left"/>
        <w:tblInd w:w="0" w:type="dxa"/>
        <w:tblLayout w:type="fixed"/>
        <w:tblCellMar>
          <w:top w:w="28" w:type="dxa"/>
          <w:left w:w="28" w:type="dxa"/>
          <w:bottom w:w="28" w:type="dxa"/>
          <w:right w:w="28" w:type="dxa"/>
        </w:tblCellMar>
      </w:tblPr>
      <w:tblGrid>
        <w:gridCol w:w="3736"/>
        <w:gridCol w:w="146"/>
        <w:gridCol w:w="1906"/>
        <w:gridCol w:w="146"/>
        <w:gridCol w:w="1906"/>
        <w:gridCol w:w="146"/>
        <w:gridCol w:w="177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Weighted average share price at the date of grant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18.39 (CHF 15.28)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11.63 (CHF 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8.30 (CHF 7.46)</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expected volatilities (%)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81.84-91.39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85.54-93.00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68.70-83.80</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expected terms (years)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Range of risk-free interest rates (%) </w:t>
            </w:r>
            <w:r>
              <w:rPr>
                <w:rFonts w:ascii="Times New Roman" w:hAnsi="Times New Roman"/>
                <w:color w:val="000000"/>
                <w:sz w:val="12"/>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3.5-4.8</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Following the NASDAQ U.S. listing in 2023, the equity award exercise price is denominated in USD and the applicable risk-free interest rate has been adjusted accordingly.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0"/>
        <w:jc w:val="both"/>
        <w:rPr/>
      </w:pPr>
      <w:r>
        <w:rPr>
          <w:rFonts w:ascii="Times New Roman" w:hAnsi="Times New Roman"/>
          <w:color w:val="000000"/>
          <w:sz w:val="13"/>
        </w:rPr>
        <w:t>The expected volatility was derived from the historical stock volatilities of comparable peer public companies within the Company</w:t>
      </w:r>
      <w:r>
        <w:rPr>
          <w:color w:val="000000"/>
        </w:rPr>
        <w:t>’</w:t>
      </w:r>
      <w:r>
        <w:rPr>
          <w:rFonts w:ascii="Times New Roman" w:hAnsi="Times New Roman"/>
          <w:color w:val="000000"/>
          <w:sz w:val="13"/>
        </w:rPr>
        <w:t>s industry.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0"/>
        <w:jc w:val="both"/>
        <w:rPr>
          <w:rFonts w:ascii="Times New Roman" w:hAnsi="Times New Roman"/>
          <w:color w:val="000000"/>
          <w:sz w:val="13"/>
        </w:rPr>
      </w:pPr>
      <w:r>
        <w:rPr>
          <w:rFonts w:ascii="Times New Roman" w:hAnsi="Times New Roman"/>
          <w:color w:val="000000"/>
          <w:sz w:val="13"/>
        </w:rPr>
        <w:t>The expected term represents the period that share-based awards are expected to be outstanding.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3"/>
        </w:rPr>
      </w:pPr>
      <w:r>
        <w:rPr>
          <w:rFonts w:ascii="Times New Roman" w:hAnsi="Times New Roman"/>
          <w:color w:val="000000"/>
          <w:sz w:val="13"/>
        </w:rPr>
        <w:t xml:space="preserve">The risk-free interest rates are based on the U.S. Treasury yield curve in effect at the measurement date with maturities approximately equal to the expected term.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summarizes the Company’s stock option and SARs activity under the 2023 Plan for 2023 to 2025: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88"/>
        <w:gridCol w:w="146"/>
        <w:gridCol w:w="250"/>
        <w:gridCol w:w="1422"/>
        <w:gridCol w:w="166"/>
        <w:gridCol w:w="146"/>
        <w:gridCol w:w="664"/>
        <w:gridCol w:w="2338"/>
        <w:gridCol w:w="146"/>
        <w:gridCol w:w="146"/>
        <w:gridCol w:w="1993"/>
      </w:tblGrid>
      <w:tr>
        <w:trPr/>
        <w:tc>
          <w:tcPr>
            <w:tcW w:w="2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Number of options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Weighted average exercise price </w:t>
            </w:r>
            <w:r>
              <w:rPr>
                <w:rFonts w:ascii="Times New Roman" w:hAnsi="Times New Roman"/>
                <w:b/>
                <w:color w:val="000000"/>
                <w:sz w:val="12"/>
              </w:rPr>
              <w:t>(1)</w:t>
            </w:r>
            <w:r>
              <w:rPr>
                <w:rFonts w:ascii="Times New Roman" w:hAnsi="Times New Roman"/>
                <w:color w:val="000000"/>
                <w:sz w:val="18"/>
              </w:rPr>
              <w:t> </w:t>
            </w:r>
            <w:r>
              <w:rPr>
                <w:rFonts w:ascii="Times New Roman" w:hAnsi="Times New Roman"/>
                <w:b/>
                <w:color w:val="000000"/>
                <w:sz w:val="18"/>
              </w:rPr>
              <w:t>(CHF)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1,762,949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2027-2031</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Options granted</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SARs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2028-2032</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3,466,210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3,466,210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2027-2033</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1,811,122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2027-2033</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4,687,054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1,935,101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4,687,054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2028-2034</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Forfeited</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2028-2035</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Exercised</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2028-2034</w:t>
            </w:r>
          </w:p>
        </w:tc>
      </w:tr>
      <w:tr>
        <w:trPr/>
        <w:tc>
          <w:tcPr>
            <w:tcW w:w="2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5,163,946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2028-2035</w:t>
            </w:r>
          </w:p>
        </w:tc>
      </w:tr>
      <w:tr>
        <w:trPr/>
        <w:tc>
          <w:tcPr>
            <w:tcW w:w="27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2028-2035</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Retroactive application of the recapitalization effect due to the BCA for activity prior to March 2, 2023, an Exchange Ratio of 1.1432 was applied to the number of options and the weighted average exercise price was divided by the same exchange ratio.</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pPr>
      <w:r>
        <w:rPr>
          <w:rFonts w:ascii="Times New Roman" w:hAnsi="Times New Roman"/>
          <w:color w:val="000000"/>
          <w:sz w:val="12"/>
        </w:rPr>
        <w:t xml:space="preserve">Pursuant to the BCA, all outstanding and unexercised options to purchase Legacy Oculis ordinary shares were assumed by Oculis and each option was replaced by an option to purchase ordinary shares of Oculis (the “Converted Options”). The exchange of Legacy Oculis 2018 Plan options for converted 2023 Plan options is not reflected in the table above. Refer to Note 5 - </w:t>
      </w:r>
      <w:r>
        <w:rPr>
          <w:rFonts w:ascii="Times New Roman" w:hAnsi="Times New Roman"/>
          <w:i/>
          <w:color w:val="000000"/>
          <w:sz w:val="12"/>
        </w:rPr>
        <w:t>Financing Activities</w:t>
      </w:r>
      <w:r>
        <w:rPr>
          <w:color w:val="000000"/>
        </w:rPr>
        <w:t xml:space="preserve"> </w:t>
      </w:r>
      <w:r>
        <w:rPr>
          <w:rFonts w:ascii="Times New Roman" w:hAnsi="Times New Roman"/>
          <w:color w:val="000000"/>
          <w:sz w:val="12"/>
        </w:rPr>
        <w:t>for further details.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2"/>
        </w:rPr>
      </w:pPr>
      <w:r>
        <w:rPr>
          <w:rFonts w:ascii="Times New Roman" w:hAnsi="Times New Roman"/>
          <w:color w:val="000000"/>
          <w:sz w:val="12"/>
        </w:rPr>
        <w:t>Forfeited amount includes earnout options forfeited during the years ended December 31, 2025, 2024, and 2023. No SARs have been exercised or forfeited during the years ended December 31, 2025, 2024, and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Excluding earnout options, which have an exercise price of CHF 0.01, options outstanding as of December 31, 2025 have exercise prices ranging from CHF 1.63 to CHF 17.10. The weighted average remaining contractual life of options and SARs outstanding as of December 31, 2025 and 2024 was seven and eight years, respectively.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RSU granted under the 2023 Plan entitles the grantee to one ordinary share upon vesting of the RSU. The Company intends to settle all outstanding RSUs in equity. The fair value of RSUs is determined by the closing stock price on the date of grant and the related compensation cost is amortized over the vesting period of the award using the graded method. RSU’s have time-based vesting conditions ranging from one to four years. Certain RSU’s also include a performance condition, for which the Company has evaluated the probability of achievement. Expense is only recorded for awards with vesting criteria linked to performance conditions that are deemed probable of achievement. The following table summarizes the Company’s RSU activity under the 2023 Plan for the years ended December 31, 2025 and 2024:</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394"/>
        <w:gridCol w:w="146"/>
        <w:gridCol w:w="163"/>
        <w:gridCol w:w="926"/>
        <w:gridCol w:w="166"/>
        <w:gridCol w:w="146"/>
        <w:gridCol w:w="309"/>
        <w:gridCol w:w="1089"/>
        <w:gridCol w:w="146"/>
        <w:gridCol w:w="146"/>
        <w:gridCol w:w="1124"/>
        <w:gridCol w:w="146"/>
        <w:gridCol w:w="171"/>
        <w:gridCol w:w="811"/>
        <w:gridCol w:w="166"/>
        <w:gridCol w:w="146"/>
        <w:gridCol w:w="309"/>
        <w:gridCol w:w="1089"/>
        <w:gridCol w:w="146"/>
        <w:gridCol w:w="146"/>
        <w:gridCol w:w="332"/>
        <w:gridCol w:w="791"/>
        <w:gridCol w:w="197"/>
      </w:tblGrid>
      <w:tr>
        <w:trPr/>
        <w:tc>
          <w:tcPr>
            <w:tcW w:w="1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5" w:type="dxa"/>
            <w:gridSpan w:val="9"/>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107"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 of expiration dates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 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Outstanding as of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1,007,636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467,478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sz w:val="20"/>
        </w:rPr>
      </w:pPr>
      <w:r>
        <w:rPr>
          <w:rFonts w:ascii="Times New Roman" w:hAnsi="Times New Roman"/>
          <w:i/>
          <w:color w:val="000000"/>
          <w:sz w:val="20"/>
        </w:rPr>
        <w:t>Restricted share awards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Each restricted share award (“</w:t>
      </w:r>
      <w:r>
        <w:rPr>
          <w:rFonts w:ascii="Times New Roman" w:hAnsi="Times New Roman"/>
          <w:i/>
          <w:color w:val="000000"/>
          <w:sz w:val="20"/>
        </w:rPr>
        <w:t>RSA</w:t>
      </w:r>
      <w:r>
        <w:rPr>
          <w:rFonts w:ascii="Times New Roman" w:hAnsi="Times New Roman"/>
          <w:color w:val="000000"/>
          <w:sz w:val="20"/>
        </w:rPr>
        <w:t xml:space="preserve">”) granted under the 2018 Plan was immediately exercised and the expense was recorded at fair value on the grant date in full. The Company held call options to repurchase shares diminishing ratably on a monthly basis over three years from grant date, the last of which expired during 2024. As of December 31, 2023, 98,094 RSA’s were subject to repurchase. No RSA’s were subject to repurchase at December 31, 2024 or 2025. For each grant of restricted shares, the Company issued a grant notice, which detailed the terms of the grant, including the number of awards, repurchase right start date and expiration date. The terms of each grant were set by the Board of Directors. No RSAs were granted under the 2023 Plan since plan adoption. No expense was recognized during the years ended December 31, 2025, 2024 or 2023 related to restricted stock awards.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Share-based compensation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details share-based compensation expense by award type for the years indicated:</w:t>
      </w:r>
    </w:p>
    <w:p>
      <w:pPr>
        <w:pStyle w:val="TextBody"/>
        <w:bidi w:val="0"/>
        <w:jc w:val="both"/>
        <w:rPr/>
      </w:pPr>
      <w:r>
        <w:rPr/>
        <w:t> </w:t>
      </w:r>
    </w:p>
    <w:tbl>
      <w:tblPr>
        <w:tblW w:w="6291" w:type="dxa"/>
        <w:jc w:val="left"/>
        <w:tblInd w:w="0" w:type="dxa"/>
        <w:tblLayout w:type="fixed"/>
        <w:tblCellMar>
          <w:top w:w="28" w:type="dxa"/>
          <w:left w:w="28" w:type="dxa"/>
          <w:bottom w:w="28" w:type="dxa"/>
          <w:right w:w="28" w:type="dxa"/>
        </w:tblCellMar>
      </w:tblPr>
      <w:tblGrid>
        <w:gridCol w:w="3256"/>
        <w:gridCol w:w="146"/>
        <w:gridCol w:w="149"/>
        <w:gridCol w:w="613"/>
        <w:gridCol w:w="149"/>
        <w:gridCol w:w="149"/>
        <w:gridCol w:w="149"/>
        <w:gridCol w:w="521"/>
        <w:gridCol w:w="149"/>
        <w:gridCol w:w="149"/>
        <w:gridCol w:w="149"/>
        <w:gridCol w:w="521"/>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6,382</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16,044</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9,782</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reserve for share-based payment increased from CHF 6.4 million as of December 31, 2023 to CHF 16.1 million as of December 31, 2024, and to CHF 30.4 million as of December 31, 2025. During the year ended December 31, 2025, certain RSUs that included a performance condition were modified such that the condition had been met, resulting in CHF 0.3 million of additional share-based compensation expense during the year ended December 31, 2025. During the year ended December 31, 2024, certain options were modified to accelerate vesting upon the death of an employee, resulting in the acceleration of expense recognition of CHF 1.0 million.</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jc w:val="both"/>
        <w:rPr>
          <w:rFonts w:ascii="Times New Roman" w:hAnsi="Times New Roman"/>
          <w:b/>
          <w:color w:val="000000"/>
          <w:sz w:val="22"/>
        </w:rPr>
      </w:pPr>
      <w:r>
        <w:rPr>
          <w:rFonts w:ascii="Times New Roman" w:hAnsi="Times New Roman"/>
          <w:b/>
          <w:color w:val="000000"/>
          <w:sz w:val="22"/>
        </w:rPr>
        <w:t>CASH AND CASH EQUIVALENTS AND SHORT-TERM FINANCIAL ASSETS</w:t>
      </w:r>
    </w:p>
    <w:p>
      <w:pPr>
        <w:pStyle w:val="TextBody"/>
        <w:bidi w:val="0"/>
        <w:jc w:val="both"/>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table below shows the breakdown of the cash and cash equivalents and short-term financial assets by currencies: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11"/>
        <w:gridCol w:w="146"/>
        <w:gridCol w:w="379"/>
        <w:gridCol w:w="1565"/>
        <w:gridCol w:w="174"/>
        <w:gridCol w:w="174"/>
        <w:gridCol w:w="379"/>
        <w:gridCol w:w="1565"/>
        <w:gridCol w:w="146"/>
        <w:gridCol w:w="146"/>
        <w:gridCol w:w="340"/>
        <w:gridCol w:w="1605"/>
        <w:gridCol w:w="167"/>
        <w:gridCol w:w="167"/>
        <w:gridCol w:w="379"/>
        <w:gridCol w:w="1565"/>
        <w:gridCol w:w="197"/>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Short-term financial assets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by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Swiss Franc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Iceland Krona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81,329</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131,684</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70,955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primarily of cash balances held at banks. Short-term financial assets consist of fixed term bank deposits with maturities between three and nine months.</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15. SHAREHOLDERS’ EQUITY</w:t>
      </w:r>
    </w:p>
    <w:p>
      <w:pPr>
        <w:pStyle w:val="TextBody"/>
        <w:bidi w:val="0"/>
        <w:jc w:val="left"/>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jc w:val="both"/>
        <w:rPr>
          <w:rFonts w:ascii="Times New Roman" w:hAnsi="Times New Roman"/>
          <w:b/>
          <w:color w:val="000000"/>
          <w:sz w:val="20"/>
        </w:rPr>
      </w:pPr>
      <w:r>
        <w:rPr>
          <w:rFonts w:ascii="Times New Roman" w:hAnsi="Times New Roman"/>
          <w:b/>
          <w:color w:val="000000"/>
          <w:sz w:val="20"/>
        </w:rPr>
        <w:t>Conditional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conditional capital at December 31, 2025 amounted to a maximum of CHF 235,752.08 split into 23,575,208 ordinary shares, in connection with the potential future issuances of:</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for new bonds and similar debt instruments</w:t>
      </w:r>
      <w:r>
        <w:rPr>
          <w:rFonts w:ascii="Times New Roman" w:hAnsi="Times New Roman"/>
          <w:i/>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67,500.00 through the issuance of a maximum of 6,750,000 fully paid-up registered shares, each with a par value of CHF 0.01 (ordinary shares), in connection with the exercise of convertible rights and/or option rights or warrants, new bonds and similar debt instruments.</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in connection with employee benefit plans</w:t>
      </w:r>
      <w:r>
        <w:rPr>
          <w:rFonts w:ascii="Times New Roman" w:hAnsi="Times New Roman"/>
          <w:i/>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124,800.00 through the issuance of a maximum of 12,480,000 fully paid-up registered shares, each with a par value of CHF 0.01 (ordinary shares), in connection with the exercise of option rights or other equity-linked instruments granted to any employee, consultant or member of the Board of Directors of Oculis.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363,093 stock options have been exercised and 174,655 RSUs vested resulting in the associated ordinary shares issued using the conditional share capital for employee benefit plans (refer to Note 13). These shares were not registered yet in the commercial register as of December 31, 2025.</w:t>
      </w:r>
    </w:p>
    <w:p>
      <w:pPr>
        <w:pStyle w:val="TextBody"/>
        <w:bidi w:val="0"/>
        <w:spacing w:before="180" w:after="283"/>
        <w:jc w:val="both"/>
        <w:rPr>
          <w:color w:val="000000"/>
        </w:rPr>
      </w:pPr>
      <w:r>
        <w:rPr>
          <w:color w:val="000000"/>
        </w:rPr>
        <w:t>•</w:t>
      </w:r>
    </w:p>
    <w:p>
      <w:pPr>
        <w:pStyle w:val="TextBody"/>
        <w:bidi w:val="0"/>
        <w:spacing w:before="180" w:after="283"/>
        <w:jc w:val="both"/>
        <w:rPr/>
      </w:pPr>
      <w:r>
        <w:rPr>
          <w:rFonts w:ascii="Times New Roman" w:hAnsi="Times New Roman"/>
          <w:b/>
          <w:i/>
          <w:color w:val="000000"/>
          <w:sz w:val="20"/>
        </w:rPr>
        <w:t>Conditional share capital for BCA public and private warrants</w:t>
      </w:r>
      <w:r>
        <w:rPr>
          <w:rFonts w:ascii="Times New Roman" w:hAnsi="Times New Roman"/>
          <w:i/>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39,751.05 through the issuance of a maximum of 3,975,105 fully paid up registered shares, each with a par value of CHF 0.01 (ordinary shares), in connection with the exercise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1,929,467 warrants have been exercised and associated ordinary shares have been issued using the conditional share capital for BCA public and private warrants (refer to Note 17). These shares were not registered yet in the commercial register as of December 31, 2025.</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 xml:space="preserve">Conditional share capital for earnout options: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Oculis. As of December 31, 2025, 159,453 earnout options were exercisable.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pPr>
      <w:r>
        <w:rPr>
          <w:rFonts w:ascii="Times New Roman" w:hAnsi="Times New Roman"/>
          <w:b/>
          <w:color w:val="000000"/>
          <w:sz w:val="20"/>
        </w:rPr>
        <w:t>Treasury shares</w:t>
      </w:r>
      <w:r>
        <w:rPr>
          <w:color w:val="00000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cancelled 100,000 treasury shares effective March 2, 2023 as a result of the Business Combination. In connection with the ATM Offering Program, the Company issued 1,000,000 ordinary shares during the year ended December 31, 2024 and 2,500,000 ordinary shares during the year ended December 31, 2025 out of its existing capital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band, each with a nominal value of CHF 0.01 to be held as treasury shares. There were no sales under the ATM Offering Program during the year ended December 31, 2025. In connection with the November 2025 Offerings, the Company issued 2,796,297 shares previously held in treasury by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 Capital band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Company’s capital band has a lower limit of CHF 545,336.74 and upper limit of CHF 818,005.11. The Company may effect an increase of the Company’s share capital in a maximum amount of CHF 272,668.37 by issuing up to 27,266,837 ordinary shares with a par value of CHF 0.01 each out of the Company’s capital band. The Board of Directors is authorized to increase the share capital to the upper limit or decrease the share capital to the lower limit at any time and as often as required until June 4, 2030.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16. TRADE PAYABLES, ACCRUED EXPENSES AND OTHER PAYABLES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Trade payables decreased from CHF 5.9 million as of December 31, 2024 to CHF 1.8 million as of December 31, 2025. The decrease in trade payables compared to prior year relates to the commencement of several clinical trials in the fourth quarter of 2024 requiring up-front invoicing by vendors.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table below shows the breakdown of the accrued expenses and other payables by category: </w:t>
      </w:r>
    </w:p>
    <w:p>
      <w:pPr>
        <w:pStyle w:val="TextBody"/>
        <w:bidi w:val="0"/>
        <w:jc w:val="both"/>
        <w:rPr/>
      </w:pPr>
      <w:r>
        <w:rPr/>
        <w:t> </w:t>
      </w:r>
    </w:p>
    <w:tbl>
      <w:tblPr>
        <w:tblW w:w="7845" w:type="dxa"/>
        <w:jc w:val="left"/>
        <w:tblInd w:w="0" w:type="dxa"/>
        <w:tblLayout w:type="fixed"/>
        <w:tblCellMar>
          <w:top w:w="28" w:type="dxa"/>
          <w:left w:w="28" w:type="dxa"/>
          <w:bottom w:w="28" w:type="dxa"/>
          <w:right w:w="28" w:type="dxa"/>
        </w:tblCellMar>
      </w:tblPr>
      <w:tblGrid>
        <w:gridCol w:w="3226"/>
        <w:gridCol w:w="146"/>
        <w:gridCol w:w="389"/>
        <w:gridCol w:w="1606"/>
        <w:gridCol w:w="146"/>
        <w:gridCol w:w="146"/>
        <w:gridCol w:w="389"/>
        <w:gridCol w:w="160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general and administrative related expenses and other payables primarily increased due to professional services and transaction costs incurred during 2025 related to the November 2025 Offerings.</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17. WARRANT LIABILITIES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outstanding warrant liabilities by warrant type as of December 31, 2025 and 2024:</w:t>
      </w:r>
    </w:p>
    <w:tbl>
      <w:tblPr>
        <w:tblW w:w="10205" w:type="dxa"/>
        <w:jc w:val="left"/>
        <w:tblInd w:w="0" w:type="dxa"/>
        <w:tblLayout w:type="fixed"/>
        <w:tblCellMar>
          <w:top w:w="28" w:type="dxa"/>
          <w:left w:w="28" w:type="dxa"/>
          <w:bottom w:w="28" w:type="dxa"/>
          <w:right w:w="28" w:type="dxa"/>
        </w:tblCellMar>
      </w:tblPr>
      <w:tblGrid>
        <w:gridCol w:w="1495"/>
        <w:gridCol w:w="177"/>
        <w:gridCol w:w="810"/>
        <w:gridCol w:w="166"/>
        <w:gridCol w:w="146"/>
        <w:gridCol w:w="392"/>
        <w:gridCol w:w="1015"/>
        <w:gridCol w:w="146"/>
        <w:gridCol w:w="146"/>
        <w:gridCol w:w="218"/>
        <w:gridCol w:w="995"/>
        <w:gridCol w:w="166"/>
        <w:gridCol w:w="146"/>
        <w:gridCol w:w="192"/>
        <w:gridCol w:w="795"/>
        <w:gridCol w:w="166"/>
        <w:gridCol w:w="146"/>
        <w:gridCol w:w="325"/>
        <w:gridCol w:w="840"/>
        <w:gridCol w:w="146"/>
        <w:gridCol w:w="146"/>
        <w:gridCol w:w="236"/>
        <w:gridCol w:w="976"/>
        <w:gridCol w:w="219"/>
      </w:tblGrid>
      <w:tr>
        <w:trPr/>
        <w:tc>
          <w:tcPr>
            <w:tcW w:w="14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1"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68"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Amended BlackRock Warrant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BCA 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BlackRock Warrant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Warrant Liabilities</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public BCA Warrants, which are traded on Nasdaq, is based on the quoted Nasdaq market prices at the end of the reporting period for such warrants. Since the private placement BCA Warrants have identical terms to the public BCA Warrants, the Company determined that the fair value of each private placement BCA Warrant is equivalent to that of each public BCA Warrant. The public BCA Warrants are included in Level 1 and the private placement BCA Warrants in Level 2 of the fair value hierarchy. The BCA Warrants are classified as short-term liabilities given that the Company cannot defer the settlement for at least 12 months.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BlackRock Warrant, described in Note 5, is classified as a liability because its exercise price is fixed in USD, which is not the functional currency of the Company and therefore it does not meet the requirements to be classified as equity under IFRS. The fair value of the BlackRock Warrant is determined using the Black-Scholes option-pricing model and is included in Level 3 of the fair value hierarchy.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assumptions were used in the Black-Scholes option-pricing model for determining the fair value of the BlackRock Warrant as of initial issuance date, December 31, 2024, Amended BlackRock Warrant issuance date and December 31, 2025 as indicated: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7"/>
        <w:gridCol w:w="146"/>
        <w:gridCol w:w="453"/>
        <w:gridCol w:w="1313"/>
        <w:gridCol w:w="146"/>
        <w:gridCol w:w="146"/>
        <w:gridCol w:w="385"/>
        <w:gridCol w:w="1353"/>
        <w:gridCol w:w="146"/>
        <w:gridCol w:w="146"/>
        <w:gridCol w:w="390"/>
        <w:gridCol w:w="1377"/>
        <w:gridCol w:w="146"/>
        <w:gridCol w:w="146"/>
        <w:gridCol w:w="386"/>
        <w:gridCol w:w="1353"/>
        <w:gridCol w:w="196"/>
      </w:tblGrid>
      <w:tr>
        <w:trPr/>
        <w:tc>
          <w:tcPr>
            <w:tcW w:w="1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May 29,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price on valuation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19.97 (CHF 15.83)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17.64 (CHF 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17.00 (CHF 15.38)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USD 11.93 (CHF 10.88)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Expected volatility (%)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Expected term (years)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Risk-free interest rate (%)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The expected volatility was derived from the historical stock volatilities of comparable peer public companies within the Company’s industry.</w:t>
      </w:r>
    </w:p>
    <w:p>
      <w:pPr>
        <w:pStyle w:val="TextBody"/>
        <w:bidi w:val="0"/>
        <w:jc w:val="left"/>
        <w:rPr>
          <w:rFonts w:ascii="Times New Roman" w:hAnsi="Times New Roman"/>
          <w:sz w:val="20"/>
        </w:rPr>
      </w:pPr>
      <w:r>
        <w:rPr>
          <w:rFonts w:ascii="Times New Roman" w:hAnsi="Times New Roman"/>
          <w:color w:val="000000"/>
          <w:sz w:val="7"/>
        </w:rPr>
        <w:t>(2)</w:t>
      </w:r>
      <w:r>
        <w:rPr>
          <w:rFonts w:ascii="Times New Roman" w:hAnsi="Times New Roman"/>
          <w:color w:val="000000"/>
          <w:sz w:val="20"/>
        </w:rPr>
        <w:t xml:space="preserve"> </w:t>
      </w:r>
      <w:r>
        <w:rPr>
          <w:rFonts w:ascii="Times New Roman" w:hAnsi="Times New Roman"/>
          <w:color w:val="000000"/>
          <w:sz w:val="16"/>
        </w:rPr>
        <w:t>The expected term represents the period that the BlackRock Warrant is expected to be outstanding.</w:t>
      </w:r>
    </w:p>
    <w:p>
      <w:pPr>
        <w:pStyle w:val="TextBody"/>
        <w:bidi w:val="0"/>
        <w:jc w:val="left"/>
        <w:rPr>
          <w:rFonts w:ascii="Times New Roman" w:hAnsi="Times New Roman"/>
          <w:sz w:val="20"/>
        </w:rPr>
      </w:pPr>
      <w:r>
        <w:rPr>
          <w:rFonts w:ascii="Times New Roman" w:hAnsi="Times New Roman"/>
          <w:color w:val="000000"/>
          <w:sz w:val="7"/>
        </w:rPr>
        <w:t>(4)</w:t>
      </w:r>
      <w:r>
        <w:rPr>
          <w:rFonts w:ascii="Times New Roman" w:hAnsi="Times New Roman"/>
          <w:color w:val="000000"/>
          <w:sz w:val="20"/>
        </w:rPr>
        <w:t xml:space="preserve"> </w:t>
      </w:r>
      <w:r>
        <w:rPr>
          <w:rFonts w:ascii="Times New Roman" w:hAnsi="Times New Roman"/>
          <w:color w:val="000000"/>
          <w:sz w:val="16"/>
        </w:rPr>
        <w:t>The risk-free interest rate is based on the U.S. Treasury yield curve in effect at the measurement date with maturities approximately equal to the expected terms.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 ended December 31, 2025, the Company recognized a fair value loss of CHF 12.3 million, primarily due to increase of the warrant share price. There were exercises of 1,929,467 warrant shares during the year ended December 31, 2025 at a price of CHF 9.55 or $11.50 per share, which resulted in a reduction of CHF 17.8 million to the warrant liability, an additional CHF 19.8 million of cash and an increase of CHF 37.8 million in shareholders’ equity. The warrant exercises, partially offset by the fair value loss resulted in a decrease of the warrant liability to CHF 14.5 million as of December 31, 2025. For the year ended December 31, 2024, the Company recognized a fair value loss of CHF 15.5 million, leading to an increase of the warrant liability to CHF 19.9 million as of December 31, 2024. The exercise of 279,033 public warrants at a price of CHF 10.13 or $11.50 per share during the year ended December 31, 2024 resulted in a reduction of CHF 1.3 million to the warrant liability, an additional CHF 2.7 million of cash and an increase of CHF 4.1 million in shareholders’ equity.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event of an exercise, warrant liabilities are reduced by the fair value on the date of exercise. The resulting fair value adjustment and cash received are recorded to share premium within the statements of changes in equity. The movement of the warrant liabilities during the years ended December 31, 2025 and 2024 is illustrated below:</w:t>
      </w:r>
    </w:p>
    <w:p>
      <w:pPr>
        <w:pStyle w:val="TextBody"/>
        <w:bidi w:val="0"/>
        <w:spacing w:before="1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344"/>
        <w:gridCol w:w="146"/>
        <w:gridCol w:w="237"/>
        <w:gridCol w:w="1076"/>
        <w:gridCol w:w="166"/>
        <w:gridCol w:w="146"/>
        <w:gridCol w:w="241"/>
        <w:gridCol w:w="1473"/>
        <w:gridCol w:w="166"/>
        <w:gridCol w:w="146"/>
        <w:gridCol w:w="254"/>
        <w:gridCol w:w="1052"/>
        <w:gridCol w:w="166"/>
        <w:gridCol w:w="146"/>
        <w:gridCol w:w="333"/>
        <w:gridCol w:w="1897"/>
        <w:gridCol w:w="216"/>
      </w:tblGrid>
      <w:tr>
        <w:trPr/>
        <w:tc>
          <w:tcPr>
            <w:tcW w:w="2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84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Number of outstanding </w:t>
              <w:br/>
              <w:t>warrants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outstanding warrants</w:t>
            </w:r>
          </w:p>
        </w:tc>
        <w:tc>
          <w:tcPr>
            <w:tcW w:w="2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4,254,096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18. COMMITMENTS AND CONTINGENCIES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Novartis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2018, Oculis entered into an agreement with Novartis, under which Oculis licensed a novel topical anti-TNFα antibody, now named as Licaminlimab, for ophthalmic indications. As consideration for the licenses, Oculis is obligated to pay non-refundable, upfront license fees, predefined development and commercial milestone payments and royalties on net sales of licensed products. Royalties range from high one digit to low teens, based on sales thresholds. As of December 31, 2019, Oculis had paid in full the contractual non-refundable upfront fee of CHF 4.7 million. Oculis has not reached any milestones or royalties thresholds according to the agreement. If all predefined milestones will be reached, Oculis will be obligated to pay additional CHF 76.9 million or $97.0 million. Royalties are based on net sales of licensed products, depending on the sales volumes reached.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Accure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January 29, 2022, the Company entered into a License Agreement with Accure for the exclusive global licensing of its Privosegtor technology. Under this agreement, Oculis licensed a novel neuroprotective drug candidate, now renamed as Privosegtor, for ophthalmic and other indications (refer to Note 9). As consideration for the licenses, Oculis is obligated to pay non-refundable, upfront license fees, predefined development and commercial milestone payments and royalties on net sales of licensed products. Royalties range from one digit to low teens, based on sales thresholds. As of December 31, 2025, Oculis has paid the full contractual non-refundable upfront fee of CHF 3.0 million and reimbursed costs in the amount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of CHF 0.5 million. During the fourth quarter of 2024, the Company met the first two milestones pursuant to the agreement, which were FDA IND clearance for the intravenous formulation of Privosegtor, and completion and positive readout of the first PoC clinical trial for AON, resulting in an accrual of CHF 1.1 million, for which payment was made in 2025. If all remaining predefined milestones are reached, Oculis will be obligated to pay a total of CHF 87.9 million or $110.9 million. The next clinical and regulatory milestone under the Accure Agreement will trigger a payment of CHF 2.1 million ($2.6 million) that the Company expects to pay in 2026. In case of a commercialization, sublicense revenues will be subject to further royalty payments.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Commitments related to Rennes University Collaboration Research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31, 2022, the Company entered into a collaboration research agreement with the Rennes University and CNRS in France. This agreement is for the research of Antisense Oligonucleotide (ASO) to modulate gene expressions. As consideration for the research performed by Rennes University and CNRS, Oculis is obligated to pay a non-refundable cost contribution of CHF 0.2 million or EUR 0.2 million. As of December 31, 2025, Oculis paid a contractual non-refundable cost contribution of CHF 0.1 million or EUR 0.1 million. Following completion of the research services, the parties shall sign a commercial agreement based on predefined development and commercial milestone payments and royalties on net sales of licensed products as defined in the collaboration research agreement. Oculis has not reached any milestones or royalties thresholds. If the commercial agreement was signed by the parties and development and commercial milestones were reached, Oculis would be obligated to pay an additional CHF 6.5 million or EUR 7.0 million and royalties ranging from low to mid-single digit percentage on net sales. In case of sublicense revenues, Oculis shall be subject to further royalty payments.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commitments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Group conducts product research and development programs through third party vendors that include, among others, arrangements with universities, contract research organizations and clinical research sites. Oculis has contractual arrangements with these organizations. As of December 31, 2025, commitments for external research and development projects amounted to CHF 42.0 million, compared to CHF 32.2 million as of December 31, 2024, as detailed in the schedule below. The increase in commitments year over year is primarily due to the progression of ongoing clinical trials during 2025, including the DIAMOND trials, as well as the initiation of the PIONEER program and PREDICT-1 trial in Q4 2025.</w:t>
      </w:r>
    </w:p>
    <w:p>
      <w:pPr>
        <w:pStyle w:val="TextBody"/>
        <w:bidi w:val="0"/>
        <w:jc w:val="both"/>
        <w:rPr/>
      </w:pPr>
      <w:r>
        <w:rPr/>
        <w:t> </w:t>
      </w:r>
    </w:p>
    <w:tbl>
      <w:tblPr>
        <w:tblW w:w="6400" w:type="dxa"/>
        <w:jc w:val="left"/>
        <w:tblInd w:w="0" w:type="dxa"/>
        <w:tblLayout w:type="fixed"/>
        <w:tblCellMar>
          <w:top w:w="28" w:type="dxa"/>
          <w:left w:w="28" w:type="dxa"/>
          <w:bottom w:w="28" w:type="dxa"/>
          <w:right w:w="28" w:type="dxa"/>
        </w:tblCellMar>
      </w:tblPr>
      <w:tblGrid>
        <w:gridCol w:w="2071"/>
        <w:gridCol w:w="146"/>
        <w:gridCol w:w="1996"/>
        <w:gridCol w:w="146"/>
        <w:gridCol w:w="204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21,933</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Between one and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10,232</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32,165</w:t>
            </w:r>
          </w:p>
        </w:tc>
      </w:tr>
    </w:tbl>
    <w:p>
      <w:pPr>
        <w:pStyle w:val="TextBody"/>
        <w:bidi w:val="0"/>
        <w:jc w:val="both"/>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19. RELATED PARTY DISCLOSURES</w:t>
      </w:r>
    </w:p>
    <w:p>
      <w:pPr>
        <w:pStyle w:val="TextBody"/>
        <w:bidi w:val="0"/>
        <w:jc w:val="both"/>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Key management, including the Board of Directors and the executive management team, compensation expenses were:</w:t>
      </w:r>
    </w:p>
    <w:p>
      <w:pPr>
        <w:pStyle w:val="TextBody"/>
        <w:bidi w:val="0"/>
        <w:jc w:val="both"/>
        <w:rPr/>
      </w:pPr>
      <w:r>
        <w:rPr/>
        <w:t> </w:t>
      </w:r>
    </w:p>
    <w:tbl>
      <w:tblPr>
        <w:tblW w:w="7258" w:type="dxa"/>
        <w:jc w:val="left"/>
        <w:tblInd w:w="0" w:type="dxa"/>
        <w:tblLayout w:type="fixed"/>
        <w:tblCellMar>
          <w:top w:w="28" w:type="dxa"/>
          <w:left w:w="28" w:type="dxa"/>
          <w:bottom w:w="28" w:type="dxa"/>
          <w:right w:w="28" w:type="dxa"/>
        </w:tblCellMar>
      </w:tblPr>
      <w:tblGrid>
        <w:gridCol w:w="4186"/>
        <w:gridCol w:w="146"/>
        <w:gridCol w:w="146"/>
        <w:gridCol w:w="601"/>
        <w:gridCol w:w="146"/>
        <w:gridCol w:w="146"/>
        <w:gridCol w:w="146"/>
        <w:gridCol w:w="601"/>
        <w:gridCol w:w="146"/>
        <w:gridCol w:w="146"/>
        <w:gridCol w:w="146"/>
        <w:gridCol w:w="511"/>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Salaries, cash compensation and other short-term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Salaries, cash compensation and other short-term benefits include social security, board member fees and insurance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key management individuals reported as receiving compensation in the table above decreased from 12 to 11 for the year ended December 31, 2025 as compared to the year ended December 31, 2024. The number of individuals receiving compensation for service on the Board of Directors as reported in the table above was 4 for the years ended December 31, 2025 and 2024.</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20. FINANCIAL INSTRUMENTS / RISK MANAGEMENT</w:t>
      </w:r>
    </w:p>
    <w:p>
      <w:pPr>
        <w:pStyle w:val="TextBody"/>
        <w:bidi w:val="0"/>
        <w:spacing w:before="200" w:after="283"/>
        <w:jc w:val="both"/>
        <w:rPr>
          <w:rFonts w:ascii="Times New Roman" w:hAnsi="Times New Roman"/>
          <w:sz w:val="20"/>
        </w:rPr>
      </w:pPr>
      <w:r>
        <w:rPr>
          <w:rFonts w:ascii="Times New Roman" w:hAnsi="Times New Roman"/>
          <w:b/>
          <w:color w:val="000000"/>
          <w:sz w:val="20"/>
        </w:rPr>
        <w:t>Categories of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indicated in Note 3, all financial assets and liabilities are shown at amortized cost, except for warrant liabilities that are held at fair value. The following table shows the carrying amounts of financial assets and liabilities:</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2956"/>
        <w:gridCol w:w="146"/>
        <w:gridCol w:w="346"/>
        <w:gridCol w:w="1649"/>
        <w:gridCol w:w="146"/>
        <w:gridCol w:w="146"/>
        <w:gridCol w:w="389"/>
        <w:gridCol w:w="160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assets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 excluding prepaids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215,056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99,581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395" w:type="dxa"/>
        <w:jc w:val="left"/>
        <w:tblInd w:w="0" w:type="dxa"/>
        <w:tblLayout w:type="fixed"/>
        <w:tblCellMar>
          <w:top w:w="28" w:type="dxa"/>
          <w:left w:w="28" w:type="dxa"/>
          <w:bottom w:w="28" w:type="dxa"/>
          <w:right w:w="28" w:type="dxa"/>
        </w:tblCellMar>
      </w:tblPr>
      <w:tblGrid>
        <w:gridCol w:w="2776"/>
        <w:gridCol w:w="146"/>
        <w:gridCol w:w="389"/>
        <w:gridCol w:w="1606"/>
        <w:gridCol w:w="146"/>
        <w:gridCol w:w="146"/>
        <w:gridCol w:w="389"/>
        <w:gridCol w:w="160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8"/>
              </w:rPr>
            </w:pPr>
            <w:r>
              <w:rPr>
                <w:rFonts w:ascii="Times New Roman" w:hAnsi="Times New Roman"/>
                <w:b/>
                <w:color w:val="000000"/>
                <w:sz w:val="18"/>
              </w:rPr>
              <w:t>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45,100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Below is the net debt table of liabilities from financing activities:</w:t>
      </w:r>
    </w:p>
    <w:p>
      <w:pPr>
        <w:pStyle w:val="TextBody"/>
        <w:bidi w:val="0"/>
        <w:jc w:val="both"/>
        <w:rPr/>
      </w:pPr>
      <w:r>
        <w:rPr/>
        <w:t> </w:t>
      </w:r>
    </w:p>
    <w:tbl>
      <w:tblPr>
        <w:tblW w:w="7231" w:type="dxa"/>
        <w:jc w:val="left"/>
        <w:tblInd w:w="0" w:type="dxa"/>
        <w:tblLayout w:type="fixed"/>
        <w:tblCellMar>
          <w:top w:w="28" w:type="dxa"/>
          <w:left w:w="28" w:type="dxa"/>
          <w:bottom w:w="28" w:type="dxa"/>
          <w:right w:w="28" w:type="dxa"/>
        </w:tblCellMar>
      </w:tblPr>
      <w:tblGrid>
        <w:gridCol w:w="3226"/>
        <w:gridCol w:w="146"/>
        <w:gridCol w:w="146"/>
        <w:gridCol w:w="571"/>
        <w:gridCol w:w="166"/>
        <w:gridCol w:w="146"/>
        <w:gridCol w:w="271"/>
        <w:gridCol w:w="1229"/>
        <w:gridCol w:w="166"/>
        <w:gridCol w:w="146"/>
        <w:gridCol w:w="146"/>
        <w:gridCol w:w="66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Leasing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 of Swiss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calculated on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 of US and Iceland amended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calculated on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Indexation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FX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debt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(2,313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2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(14,478</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(16,791</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Fair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their short-term nature, the carrying value of cash and cash equivalents, short-term financial assets, other current assets, excluding prepaid expenses, accrued income, trade payables and accrued expenses and other payables approximates their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 liabilities are measured at fair value on a recurring basis, refer to Note 3.</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assessment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an internal control system that includes an annual financial reporting risk assessment. The ultimate responsibility of the risk management is of the Board of Directors and a yearly review takes place during one of the Board of Directors meetings.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optimizing the return.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if the listed price of the warrants had moved by 5.0% with all other variables held constant, the net loss for the period would have been lower/higher by CHF 0.7 million. As of December 31, 2024, the change would have been CHF 1.0 million.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2020, Oculis has established a presence in the U.S., France and Hong Kong with local currencies in U.S. Dollar (USD), Euro (EUR) and Hong Kong Dollar (HKD), respectively. In 2025, foreign currency risks primarily relate to cash and cash equivalents, short term financial assets, prepaid expenses, trade payables and accrued expenses denominated in U.S. Dollar and Euro, with immaterial amounts recorded in ISK and HKD.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demonstrates the impact of a possible change in USD and EUR against CHF in regard to monetary assets and liabilities denominated in local functional currencies, as well as the impact of foreign currency risk on the Company’s consolidated net 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99"/>
        <w:gridCol w:w="367"/>
        <w:gridCol w:w="1291"/>
        <w:gridCol w:w="146"/>
        <w:gridCol w:w="596"/>
        <w:gridCol w:w="1788"/>
        <w:gridCol w:w="266"/>
        <w:gridCol w:w="246"/>
        <w:gridCol w:w="323"/>
        <w:gridCol w:w="1335"/>
        <w:gridCol w:w="146"/>
        <w:gridCol w:w="596"/>
        <w:gridCol w:w="1788"/>
        <w:gridCol w:w="218"/>
      </w:tblGrid>
      <w:tr>
        <w:trPr/>
        <w:tc>
          <w:tcPr>
            <w:tcW w:w="109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 in rate</w:t>
            </w:r>
          </w:p>
        </w:tc>
        <w:tc>
          <w:tcPr>
            <w:tcW w:w="16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exposure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Impact on loss</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5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exposure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Impact on loss</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USD</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USD</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EUR</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-5.0% EUR</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instruments of the Group are not bearing interest and are therefore not subject to interest rate risk.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Hedging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are no hedging activities within the Group.</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maximum exposure is the carrying amount of the Company’s cash, cash equivalents and short-term financial assets are mainly held with two financial institutions, each with a high credit rating of A+ assigned by international credit-rating agencies. Management focuses on diversification strategies and monitors counterparties’ ratings to minimize exposure.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through the issuance of preferred shares, the Business Combination, PIPE and CLA financings, and share offerings, discussed further in Note 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of the Company’s financial instruments, except for the long-term portion of lease liabilities, are due within one year. The following table shows the total future obligations related to these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6"/>
        <w:gridCol w:w="146"/>
        <w:gridCol w:w="283"/>
        <w:gridCol w:w="1171"/>
        <w:gridCol w:w="146"/>
        <w:gridCol w:w="146"/>
        <w:gridCol w:w="227"/>
        <w:gridCol w:w="935"/>
        <w:gridCol w:w="146"/>
        <w:gridCol w:w="146"/>
        <w:gridCol w:w="156"/>
        <w:gridCol w:w="548"/>
        <w:gridCol w:w="146"/>
        <w:gridCol w:w="146"/>
        <w:gridCol w:w="283"/>
        <w:gridCol w:w="1171"/>
        <w:gridCol w:w="146"/>
        <w:gridCol w:w="146"/>
        <w:gridCol w:w="227"/>
        <w:gridCol w:w="935"/>
        <w:gridCol w:w="146"/>
        <w:gridCol w:w="146"/>
        <w:gridCol w:w="179"/>
        <w:gridCol w:w="461"/>
        <w:gridCol w:w="197"/>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Over </w:t>
              <w:br/>
              <w:t>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Less than one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Over </w:t>
              <w:br/>
              <w:t>one year</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24,698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Capital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its incorporation, the Group has primarily funded its operations through capital increases, and at the current development stage, the Group frequently raises new funds to finance its development portfolio. </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21. LOSS PER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2025, the Company had 57,984,438 ordinary shares issued and outstanding with a share price of $19.97 or CHF 15.83. The following table sets forth the loss per share calculations for the years ended December 31, 2025, 2024 and 2023.</w:t>
      </w:r>
    </w:p>
    <w:p>
      <w:pPr>
        <w:pStyle w:val="TextBody"/>
        <w:bidi w:val="0"/>
        <w:jc w:val="left"/>
        <w:rPr/>
      </w:pPr>
      <w:r>
        <w:rPr/>
        <w:t> </w:t>
      </w:r>
    </w:p>
    <w:tbl>
      <w:tblPr>
        <w:tblW w:w="10142" w:type="dxa"/>
        <w:jc w:val="left"/>
        <w:tblInd w:w="0" w:type="dxa"/>
        <w:tblLayout w:type="fixed"/>
        <w:tblCellMar>
          <w:top w:w="28" w:type="dxa"/>
          <w:left w:w="28" w:type="dxa"/>
          <w:bottom w:w="28" w:type="dxa"/>
          <w:right w:w="28" w:type="dxa"/>
        </w:tblCellMar>
      </w:tblPr>
      <w:tblGrid>
        <w:gridCol w:w="6121"/>
        <w:gridCol w:w="146"/>
        <w:gridCol w:w="916"/>
        <w:gridCol w:w="166"/>
        <w:gridCol w:w="146"/>
        <w:gridCol w:w="146"/>
        <w:gridCol w:w="916"/>
        <w:gridCol w:w="166"/>
        <w:gridCol w:w="146"/>
        <w:gridCol w:w="146"/>
        <w:gridCol w:w="916"/>
        <w:gridCol w:w="211"/>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for the period attributable to Oculis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per share</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used to compute basic and diluted loss 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52,243,100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40,406,551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29,899,651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diluted net loss per share for the period, in CHF</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the Company has a loss for all periods presented, basic net loss per share is the same as diluted net loss per share. Potentially dilutive securities that were not included in the diluted loss per share calculations because they would be anti-dilutive were as follows:</w:t>
      </w:r>
    </w:p>
    <w:p>
      <w:pPr>
        <w:pStyle w:val="TextBody"/>
        <w:bidi w:val="0"/>
        <w:jc w:val="both"/>
        <w:rPr/>
      </w:pPr>
      <w:r>
        <w:rPr/>
        <w:t> </w:t>
      </w:r>
    </w:p>
    <w:tbl>
      <w:tblPr>
        <w:tblW w:w="7502" w:type="dxa"/>
        <w:jc w:val="left"/>
        <w:tblInd w:w="0" w:type="dxa"/>
        <w:tblLayout w:type="fixed"/>
        <w:tblCellMar>
          <w:top w:w="28" w:type="dxa"/>
          <w:left w:w="28" w:type="dxa"/>
          <w:bottom w:w="28" w:type="dxa"/>
          <w:right w:w="28" w:type="dxa"/>
        </w:tblCellMar>
      </w:tblPr>
      <w:tblGrid>
        <w:gridCol w:w="3631"/>
        <w:gridCol w:w="146"/>
        <w:gridCol w:w="826"/>
        <w:gridCol w:w="146"/>
        <w:gridCol w:w="146"/>
        <w:gridCol w:w="146"/>
        <w:gridCol w:w="916"/>
        <w:gridCol w:w="146"/>
        <w:gridCol w:w="146"/>
        <w:gridCol w:w="146"/>
        <w:gridCol w:w="916"/>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4,946,948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4,444,388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3,096,473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369,737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and earnout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5,163,946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 subject to future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shares subject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earnout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3,793,995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BlackRock Warrant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9,225,037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11,544,188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11,612,395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22. SUBSEQUENT EVENTS</w:t>
      </w:r>
    </w:p>
    <w:p>
      <w:pPr>
        <w:pStyle w:val="TextBody"/>
        <w:bidi w:val="0"/>
        <w:jc w:val="both"/>
        <w:rPr/>
      </w:pPr>
      <w:r>
        <w:rPr/>
        <w:t> </w:t>
      </w:r>
    </w:p>
    <w:p>
      <w:pPr>
        <w:pStyle w:val="TextBody"/>
        <w:bidi w:val="0"/>
        <w:spacing w:before="180" w:after="283"/>
        <w:jc w:val="both"/>
        <w:rPr>
          <w:rFonts w:ascii="Times New Roman" w:hAnsi="Times New Roman"/>
          <w:color w:val="000000"/>
          <w:sz w:val="20"/>
        </w:rPr>
      </w:pPr>
      <w:bookmarkStart w:id="24" w:name="end_ifrs_page"/>
      <w:bookmarkEnd w:id="24"/>
      <w:r>
        <w:rPr>
          <w:rFonts w:ascii="Times New Roman" w:hAnsi="Times New Roman"/>
          <w:color w:val="000000"/>
          <w:sz w:val="20"/>
        </w:rPr>
        <w:t>As a result of the BCA, Legacy Oculis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 acquisition-closing VWAP targets of Oculis of $15.00, $20.00 and $25.00, respectively, in each case, for any 20 trading days within any consecutive 30 trading day period during the earnout period. In February 2026, the third price target of $25.00 was met, resulting in 55,487 earnout options becoming exercisable and the immediate vesting of 948,549 earnout shares.</w:t>
      </w:r>
    </w:p>
    <w:p>
      <w:pPr>
        <w:pStyle w:val="TextBody"/>
        <w:bidi w:val="0"/>
        <w:jc w:val="both"/>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5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1" descr=""/>
                    <pic:cNvPicPr>
                      <a:picLocks noChangeAspect="1" noChangeArrowheads="1"/>
                    </pic:cNvPicPr>
                  </pic:nvPicPr>
                  <pic:blipFill>
                    <a:blip r:embed="rId36"/>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sz w:val="20"/>
        </w:rPr>
      </w:pPr>
      <w:bookmarkStart w:id="25" w:name="report_of_the_statutory_auditor_to_the1"/>
      <w:bookmarkEnd w:id="25"/>
      <w:r>
        <w:rPr>
          <w:rFonts w:ascii="Times New Roman" w:hAnsi="Times New Roman"/>
          <w:color w:val="000000"/>
          <w:sz w:val="32"/>
        </w:rPr>
        <w:t>Report of the Statutory Auditor to the</w:t>
      </w:r>
      <w:r>
        <w:rPr>
          <w:rFonts w:ascii="Times New Roman" w:hAnsi="Times New Roman"/>
          <w:color w:val="000000"/>
          <w:sz w:val="20"/>
        </w:rPr>
        <w:t xml:space="preserve"> </w:t>
      </w:r>
      <w:r>
        <w:rPr>
          <w:rFonts w:ascii="Times New Roman" w:hAnsi="Times New Roman"/>
          <w:color w:val="000000"/>
          <w:sz w:val="32"/>
        </w:rPr>
        <w:t>General Meeting on the Financial Statements of Oculis Holding AG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32"/>
        </w:rPr>
      </w:pPr>
      <w:r>
        <w:rPr>
          <w:rFonts w:ascii="Arial" w:hAnsi="Arial"/>
          <w:b/>
          <w:color w:val="000000"/>
          <w:sz w:val="32"/>
        </w:rPr>
        <w:t>Report of the statutory auditor to the General Meeting of Oculis Holding AG, Zug</w:t>
      </w:r>
    </w:p>
    <w:p>
      <w:pPr>
        <w:pStyle w:val="TextBody"/>
        <w:bidi w:val="0"/>
        <w:spacing w:before="480" w:after="60"/>
        <w:jc w:val="left"/>
        <w:rPr>
          <w:rFonts w:ascii="Arial" w:hAnsi="Arial"/>
          <w:b/>
          <w:color w:val="000000"/>
          <w:sz w:val="24"/>
        </w:rPr>
      </w:pPr>
      <w:r>
        <w:rPr>
          <w:rFonts w:ascii="Arial" w:hAnsi="Arial"/>
          <w:b/>
          <w:color w:val="000000"/>
          <w:sz w:val="24"/>
        </w:rPr>
        <w:t>Report on the audit of the financial statements</w:t>
      </w:r>
    </w:p>
    <w:p>
      <w:pPr>
        <w:pStyle w:val="TextBody"/>
        <w:bidi w:val="0"/>
        <w:spacing w:before="340" w:after="200"/>
        <w:jc w:val="left"/>
        <w:rPr>
          <w:rFonts w:ascii="Arial" w:hAnsi="Arial"/>
          <w:b/>
          <w:color w:val="000000"/>
          <w:sz w:val="20"/>
        </w:rPr>
      </w:pPr>
      <w:r>
        <w:rPr>
          <w:rFonts w:ascii="Arial" w:hAnsi="Arial"/>
          <w:b/>
          <w:color w:val="000000"/>
          <w:sz w:val="20"/>
        </w:rPr>
        <w:t>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have audited the financial statements of Oculis Holding AG (the Company), which comprise the balance sheet as at December 31, 2025, and the profit and loss statement for the year then ended, and notes to the financial statements, including a summary of significant accounting policies.</w:t>
      </w:r>
    </w:p>
    <w:p>
      <w:pPr>
        <w:pStyle w:val="TextBody"/>
        <w:bidi w:val="0"/>
        <w:spacing w:before="0" w:after="200"/>
        <w:jc w:val="left"/>
        <w:rPr>
          <w:rFonts w:ascii="Georgia;serif" w:hAnsi="Georgia;serif"/>
          <w:color w:val="000000"/>
          <w:sz w:val="20"/>
        </w:rPr>
      </w:pPr>
      <w:r>
        <w:rPr>
          <w:rFonts w:ascii="Georgia;serif" w:hAnsi="Georgia;serif"/>
          <w:color w:val="000000"/>
          <w:sz w:val="20"/>
        </w:rPr>
        <w:t>In our opinion, the financial statements (pages 123-133) comply with Swiss law and the Company’s articles of incorporation.</w:t>
      </w:r>
    </w:p>
    <w:p>
      <w:pPr>
        <w:pStyle w:val="TextBody"/>
        <w:bidi w:val="0"/>
        <w:spacing w:before="200" w:after="200"/>
        <w:jc w:val="left"/>
        <w:rPr>
          <w:rFonts w:ascii="Arial" w:hAnsi="Arial"/>
          <w:b/>
          <w:color w:val="000000"/>
          <w:sz w:val="20"/>
        </w:rPr>
      </w:pPr>
      <w:r>
        <w:rPr>
          <w:rFonts w:ascii="Arial" w:hAnsi="Arial"/>
          <w:b/>
          <w:color w:val="000000"/>
          <w:sz w:val="20"/>
        </w:rPr>
        <w:t>Basis for 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conducted our audit in accordance with Swiss law and Swiss Standards on Auditing (SA-CH). Our responsibilities under those provisions and standards are further described in the 'Auditor’s responsibilities for the audit of the financial statements' section of our report. We are independent of the Company in accordance with the provisions of Swiss law and the requirements of the Swiss audit profession that are relevant to audits of the financial statements of public interest entities. We have also fulfilled our other ethical responsibilities in accordance with these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believe that the audit evidence we have obtained is sufficient and appropriate to provide a basis for our opinion.</w:t>
      </w:r>
    </w:p>
    <w:p>
      <w:pPr>
        <w:pStyle w:val="TextBody"/>
        <w:bidi w:val="0"/>
        <w:spacing w:before="0" w:after="200"/>
        <w:jc w:val="left"/>
        <w:rPr>
          <w:rFonts w:ascii="Arial" w:hAnsi="Arial"/>
          <w:b/>
          <w:color w:val="000000"/>
          <w:sz w:val="20"/>
        </w:rPr>
      </w:pPr>
      <w:r>
        <w:rPr>
          <w:rFonts w:ascii="Arial" w:hAnsi="Arial"/>
          <w:b/>
          <w:color w:val="000000"/>
          <w:sz w:val="20"/>
        </w:rPr>
        <w:t>Our audit approach</w:t>
      </w:r>
    </w:p>
    <w:p>
      <w:pPr>
        <w:pStyle w:val="TextBody"/>
        <w:bidi w:val="0"/>
        <w:spacing w:before="200" w:after="200"/>
        <w:jc w:val="left"/>
        <w:rPr>
          <w:rFonts w:ascii="Arial" w:hAnsi="Arial"/>
          <w:b/>
          <w:color w:val="000000"/>
          <w:sz w:val="20"/>
        </w:rPr>
      </w:pPr>
      <w:r>
        <w:rPr>
          <w:rFonts w:ascii="Arial" w:hAnsi="Arial"/>
          <w:b/>
          <w:color w:val="000000"/>
          <w:sz w:val="20"/>
        </w:rPr>
        <w:t>Materiality</w:t>
      </w:r>
    </w:p>
    <w:p>
      <w:pPr>
        <w:pStyle w:val="TextBody"/>
        <w:bidi w:val="0"/>
        <w:spacing w:before="0" w:after="200"/>
        <w:jc w:val="left"/>
        <w:rPr>
          <w:rFonts w:ascii="Georgia;serif" w:hAnsi="Georgia;serif"/>
          <w:color w:val="000000"/>
          <w:sz w:val="20"/>
        </w:rPr>
      </w:pPr>
      <w:r>
        <w:rPr>
          <w:rFonts w:ascii="Georgia;serif" w:hAnsi="Georgia;serif"/>
          <w:color w:val="000000"/>
          <w:sz w:val="20"/>
        </w:rPr>
        <w:t>The scope of our audit was influenced by our application of materiality. Our audit opinion aims to provide reasonable assurance that the financial statements are free from material misstatement. Misstatements may arise due to fraud or error. They are considered material if, individually or in aggregate, they could reasonably be expected to influence the economic decisions of users taken on the basis of the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Based on our professional judgement, we determined certain quantitative thresholds for materiality, including the overall materiality for the financial statements as a whole as set out in the table below. These, together with qualitative considerations, helped us to determine the scope of our audit and the nature, timing and extent of our audit procedures and to evaluate the effect of misstatements, both individually and in aggregate, on the financial statements as a whole.</w:t>
      </w:r>
    </w:p>
    <w:tbl>
      <w:tblPr>
        <w:tblW w:w="9347" w:type="dxa"/>
        <w:jc w:val="left"/>
        <w:tblInd w:w="0" w:type="dxa"/>
        <w:tblLayout w:type="fixed"/>
        <w:tblCellMar>
          <w:top w:w="28" w:type="dxa"/>
          <w:left w:w="28" w:type="dxa"/>
          <w:bottom w:w="28" w:type="dxa"/>
          <w:right w:w="28" w:type="dxa"/>
        </w:tblCellMar>
      </w:tblPr>
      <w:tblGrid>
        <w:gridCol w:w="1381"/>
        <w:gridCol w:w="7966"/>
      </w:tblGrid>
      <w:tr>
        <w:trPr/>
        <w:tc>
          <w:tcPr>
            <w:tcW w:w="138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ind w:left="0" w:right="0" w:hanging="11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18"/>
              </w:rPr>
            </w:pPr>
            <w:r>
              <w:rPr>
                <w:rFonts w:ascii="Georgia;serif" w:hAnsi="Georgia;serif"/>
                <w:color w:val="000000"/>
                <w:sz w:val="18"/>
              </w:rPr>
              <w:t>PricewaterhouseCoopers SA, Avenue de la Rasude 5, 1006 Lausanne</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300"/>
              <w:ind w:left="0" w:right="0" w:hanging="113"/>
              <w:jc w:val="left"/>
              <w:rPr>
                <w:rFonts w:ascii="Georgia;serif" w:hAnsi="Georgia;serif"/>
                <w:color w:val="000000"/>
                <w:sz w:val="18"/>
              </w:rPr>
            </w:pPr>
            <w:r>
              <w:rPr>
                <w:rFonts w:ascii="Georgia;serif" w:hAnsi="Georgia;serif"/>
                <w:color w:val="000000"/>
                <w:sz w:val="18"/>
              </w:rPr>
              <w:t>+41 58 792 81 00</w:t>
            </w:r>
          </w:p>
        </w:tc>
      </w:tr>
      <w:tr>
        <w:trPr/>
        <w:tc>
          <w:tcPr>
            <w:tcW w:w="1381" w:type="dxa"/>
            <w:tcBorders/>
            <w:tcMar>
              <w:top w:w="0" w:type="dxa"/>
              <w:left w:w="0" w:type="dxa"/>
              <w:bottom w:w="0" w:type="dxa"/>
              <w:right w:w="0" w:type="dxa"/>
            </w:tcMar>
            <w:vAlign w:val="center"/>
          </w:tcPr>
          <w:p>
            <w:pPr>
              <w:pStyle w:val="TableContents"/>
              <w:bidi w:val="0"/>
              <w:spacing w:before="0" w:after="283"/>
              <w:ind w:left="0" w:right="0" w:hanging="113"/>
              <w:jc w:val="left"/>
              <w:rPr>
                <w:rFonts w:ascii="Georgia;serif" w:hAnsi="Georgia;serif"/>
                <w:color w:val="000000"/>
                <w:sz w:val="22"/>
              </w:rPr>
            </w:pPr>
            <w:r>
              <w:rPr>
                <w:rFonts w:ascii="Georgia;serif" w:hAnsi="Georgia;serif"/>
                <w:color w:val="000000"/>
                <w:sz w:val="22"/>
              </w:rPr>
              <w:t>www.pwc.ch</w:t>
            </w:r>
          </w:p>
        </w:tc>
        <w:tc>
          <w:tcPr>
            <w:tcW w:w="7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PricewaterhouseCoopers SA is a member of the global PricewaterhouseCoopers network of firms, each of which is a separate and independent legal entity.</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1"/>
        <w:gridCol w:w="7984"/>
      </w:tblGrid>
      <w:tr>
        <w:trPr/>
        <w:tc>
          <w:tcPr>
            <w:tcW w:w="2221" w:type="dxa"/>
            <w:tcBorders/>
            <w:vAlign w:val="center"/>
          </w:tcPr>
          <w:p>
            <w:pPr>
              <w:pStyle w:val="TableContents"/>
              <w:bidi w:val="0"/>
              <w:spacing w:before="0" w:after="283"/>
              <w:jc w:val="left"/>
              <w:rPr>
                <w:sz w:val="4"/>
                <w:szCs w:val="4"/>
              </w:rPr>
            </w:pPr>
            <w:r>
              <w:rPr>
                <w:sz w:val="4"/>
                <w:szCs w:val="4"/>
              </w:rPr>
            </w:r>
          </w:p>
        </w:tc>
        <w:tc>
          <w:tcPr>
            <w:tcW w:w="7984" w:type="dxa"/>
            <w:tcBorders/>
            <w:vAlign w:val="center"/>
          </w:tcPr>
          <w:p>
            <w:pPr>
              <w:pStyle w:val="TableContents"/>
              <w:bidi w:val="0"/>
              <w:spacing w:before="0" w:after="283"/>
              <w:ind w:left="0" w:right="0" w:hanging="11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80" w:after="56"/>
              <w:ind w:left="0" w:right="113" w:hanging="113"/>
              <w:jc w:val="left"/>
              <w:rPr>
                <w:rFonts w:ascii="Georgia;serif" w:hAnsi="Georgia;serif"/>
                <w:b/>
                <w:color w:val="000000"/>
                <w:sz w:val="20"/>
              </w:rPr>
            </w:pPr>
            <w:r>
              <w:rPr>
                <w:rFonts w:ascii="Georgia;serif" w:hAnsi="Georgia;serif"/>
                <w:b/>
                <w:color w:val="000000"/>
                <w:sz w:val="20"/>
              </w:rPr>
              <w:t>Overall materiality</w:t>
            </w:r>
          </w:p>
        </w:tc>
        <w:tc>
          <w:tcPr>
            <w:tcW w:w="7984" w:type="dxa"/>
            <w:tcBorders/>
            <w:tcMar>
              <w:top w:w="0" w:type="dxa"/>
              <w:left w:w="0" w:type="dxa"/>
              <w:bottom w:w="0" w:type="dxa"/>
              <w:right w:w="0" w:type="dxa"/>
            </w:tcMar>
            <w:vAlign w:val="center"/>
          </w:tcPr>
          <w:p>
            <w:pPr>
              <w:pStyle w:val="TableContents"/>
              <w:bidi w:val="0"/>
              <w:spacing w:before="80" w:after="56"/>
              <w:ind w:left="0" w:right="0" w:hanging="113"/>
              <w:jc w:val="left"/>
              <w:rPr>
                <w:rFonts w:ascii="Georgia;serif" w:hAnsi="Georgia;serif"/>
                <w:color w:val="000000"/>
                <w:sz w:val="20"/>
              </w:rPr>
            </w:pPr>
            <w:r>
              <w:rPr>
                <w:rFonts w:ascii="Georgia;serif" w:hAnsi="Georgia;serif"/>
                <w:color w:val="000000"/>
                <w:sz w:val="20"/>
              </w:rPr>
              <w:t>CHF 5,200 thousand</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80" w:after="56"/>
              <w:ind w:left="0" w:right="113" w:hanging="113"/>
              <w:jc w:val="left"/>
              <w:rPr>
                <w:rFonts w:ascii="Georgia;serif" w:hAnsi="Georgia;serif"/>
                <w:b/>
                <w:color w:val="000000"/>
                <w:sz w:val="20"/>
              </w:rPr>
            </w:pPr>
            <w:r>
              <w:rPr>
                <w:rFonts w:ascii="Georgia;serif" w:hAnsi="Georgia;serif"/>
                <w:b/>
                <w:color w:val="000000"/>
                <w:sz w:val="20"/>
              </w:rPr>
              <w:t>Benchmark applied</w:t>
            </w:r>
          </w:p>
        </w:tc>
        <w:tc>
          <w:tcPr>
            <w:tcW w:w="7984" w:type="dxa"/>
            <w:tcBorders/>
            <w:tcMar>
              <w:top w:w="0" w:type="dxa"/>
              <w:left w:w="0" w:type="dxa"/>
              <w:bottom w:w="0" w:type="dxa"/>
              <w:right w:w="0" w:type="dxa"/>
            </w:tcMar>
            <w:vAlign w:val="center"/>
          </w:tcPr>
          <w:p>
            <w:pPr>
              <w:pStyle w:val="TableContents"/>
              <w:bidi w:val="0"/>
              <w:spacing w:before="80" w:after="56"/>
              <w:ind w:left="0" w:right="0" w:hanging="113"/>
              <w:jc w:val="left"/>
              <w:rPr>
                <w:rFonts w:ascii="Georgia;serif" w:hAnsi="Georgia;serif"/>
                <w:color w:val="000000"/>
                <w:sz w:val="20"/>
              </w:rPr>
            </w:pPr>
            <w:r>
              <w:rPr>
                <w:rFonts w:ascii="Georgia;serif" w:hAnsi="Georgia;serif"/>
                <w:color w:val="000000"/>
                <w:sz w:val="20"/>
              </w:rPr>
              <w:t>Total assets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80" w:after="56"/>
              <w:ind w:left="0" w:right="113" w:hanging="113"/>
              <w:jc w:val="left"/>
              <w:rPr>
                <w:rFonts w:ascii="Times New Roman" w:hAnsi="Times New Roman"/>
                <w:sz w:val="20"/>
              </w:rPr>
            </w:pPr>
            <w:r>
              <w:rPr>
                <w:rFonts w:ascii="Georgia;serif" w:hAnsi="Georgia;serif"/>
                <w:b/>
                <w:color w:val="000000"/>
                <w:sz w:val="20"/>
              </w:rPr>
              <w:t>Rationale for the materiality benchmark applied</w:t>
            </w:r>
            <w:r>
              <w:rPr>
                <w:rFonts w:ascii="Times New Roman" w:hAnsi="Times New Roman"/>
                <w:color w:val="000000"/>
                <w:sz w:val="20"/>
              </w:rPr>
              <w:t xml:space="preserve"> </w:t>
            </w:r>
          </w:p>
        </w:tc>
        <w:tc>
          <w:tcPr>
            <w:tcW w:w="7984" w:type="dxa"/>
            <w:tcBorders/>
            <w:tcMar>
              <w:top w:w="0" w:type="dxa"/>
              <w:left w:w="0" w:type="dxa"/>
              <w:bottom w:w="0" w:type="dxa"/>
              <w:right w:w="0" w:type="dxa"/>
            </w:tcMar>
            <w:vAlign w:val="center"/>
          </w:tcPr>
          <w:p>
            <w:pPr>
              <w:pStyle w:val="TableContents"/>
              <w:bidi w:val="0"/>
              <w:spacing w:before="80" w:after="56"/>
              <w:ind w:left="0" w:right="0" w:hanging="113"/>
              <w:jc w:val="left"/>
              <w:rPr>
                <w:rFonts w:ascii="Georgia;serif" w:hAnsi="Georgia;serif"/>
                <w:color w:val="000000"/>
                <w:sz w:val="20"/>
              </w:rPr>
            </w:pPr>
            <w:r>
              <w:rPr>
                <w:rFonts w:ascii="Georgia;serif" w:hAnsi="Georgia;serif"/>
                <w:color w:val="000000"/>
                <w:sz w:val="20"/>
              </w:rPr>
              <w:t>We chose total assets as the benchmark, because, in our view, it is the benchmark against which the performance of the Company, which has limited operating activities and which mainly holds investments in subsidiaries and intra-group loans, is most commonly measured, and it is a generally accepted benchmark for holding companies.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hanging="113"/>
              <w:jc w:val="left"/>
              <w:rPr>
                <w:sz w:val="4"/>
                <w:szCs w:val="4"/>
              </w:rPr>
            </w:pPr>
            <w:r>
              <w:rPr>
                <w:sz w:val="4"/>
                <w:szCs w:val="4"/>
              </w:rPr>
            </w:r>
          </w:p>
        </w:tc>
      </w:tr>
    </w:tbl>
    <w:p>
      <w:pPr>
        <w:pStyle w:val="TextBody"/>
        <w:bidi w:val="0"/>
        <w:spacing w:before="0" w:after="200"/>
        <w:jc w:val="left"/>
        <w:rPr>
          <w:rFonts w:ascii="Georgia;serif" w:hAnsi="Georgia;serif"/>
          <w:color w:val="000000"/>
          <w:sz w:val="20"/>
        </w:rPr>
      </w:pPr>
      <w:r>
        <w:rPr>
          <w:rFonts w:ascii="Georgia;serif" w:hAnsi="Georgia;serif"/>
          <w:color w:val="000000"/>
          <w:sz w:val="20"/>
        </w:rPr>
        <w:t>We agreed with the Audit Committee that we would report to them misstatements above CHF 520 thousand identified during our audit as well as any misstatements below that amount which, in our view, warranted reporting for qualitative reasons.</w:t>
      </w:r>
    </w:p>
    <w:p>
      <w:pPr>
        <w:pStyle w:val="TextBody"/>
        <w:bidi w:val="0"/>
        <w:spacing w:before="200" w:after="200"/>
        <w:jc w:val="left"/>
        <w:rPr>
          <w:rFonts w:ascii="Arial" w:hAnsi="Arial"/>
          <w:b/>
          <w:color w:val="000000"/>
          <w:sz w:val="20"/>
        </w:rPr>
      </w:pPr>
      <w:r>
        <w:rPr>
          <w:rFonts w:ascii="Arial" w:hAnsi="Arial"/>
          <w:b/>
          <w:color w:val="000000"/>
          <w:sz w:val="20"/>
        </w:rPr>
        <w:t>Audit scope</w:t>
      </w:r>
    </w:p>
    <w:p>
      <w:pPr>
        <w:pStyle w:val="TextBody"/>
        <w:bidi w:val="0"/>
        <w:spacing w:before="0" w:after="200"/>
        <w:jc w:val="left"/>
        <w:rPr>
          <w:rFonts w:ascii="Georgia;serif" w:hAnsi="Georgia;serif"/>
          <w:color w:val="000000"/>
          <w:sz w:val="20"/>
        </w:rPr>
      </w:pPr>
      <w:r>
        <w:rPr>
          <w:rFonts w:ascii="Georgia;serif" w:hAnsi="Georgia;serif"/>
          <w:color w:val="000000"/>
          <w:sz w:val="20"/>
        </w:rPr>
        <w:t>We designed our audit by determining materiality and assessing the risks of material misstatement in the financial statements. In particular, we considered where subjective judgements were made; for example, in respect of significant accounting estimates that involved making assumptions and considering future events that are inherently uncertain. As in all of our audits, we also addressed the risk of management override of internal controls, including among other matters consideration of whether there was evidence of bias that represented a risk of material misstatement due to fraud.</w:t>
      </w:r>
    </w:p>
    <w:p>
      <w:pPr>
        <w:pStyle w:val="TextBody"/>
        <w:bidi w:val="0"/>
        <w:spacing w:before="0" w:after="200"/>
        <w:jc w:val="left"/>
        <w:rPr>
          <w:rFonts w:ascii="Georgia;serif" w:hAnsi="Georgia;serif"/>
          <w:color w:val="000000"/>
          <w:sz w:val="20"/>
        </w:rPr>
      </w:pPr>
      <w:r>
        <w:rPr>
          <w:rFonts w:ascii="Georgia;serif" w:hAnsi="Georgia;serif"/>
          <w:color w:val="000000"/>
          <w:sz w:val="20"/>
        </w:rPr>
        <w:t>We tailored the scope of our audit in order to perform sufficient work to enable us to provide an opinion on the financial statements as a whole, taking into account the structure of the Company, the accounting processes and controls, and the industry in which the Company operates.</w:t>
      </w:r>
    </w:p>
    <w:p>
      <w:pPr>
        <w:pStyle w:val="TextBody"/>
        <w:bidi w:val="0"/>
        <w:spacing w:before="200" w:after="200"/>
        <w:jc w:val="left"/>
        <w:rPr>
          <w:rFonts w:ascii="Arial" w:hAnsi="Arial"/>
          <w:b/>
          <w:color w:val="000000"/>
          <w:sz w:val="20"/>
        </w:rPr>
      </w:pPr>
      <w:r>
        <w:rPr>
          <w:rFonts w:ascii="Arial" w:hAnsi="Arial"/>
          <w:b/>
          <w:color w:val="000000"/>
          <w:sz w:val="20"/>
        </w:rPr>
        <w:t>Key audit matters</w:t>
      </w:r>
    </w:p>
    <w:p>
      <w:pPr>
        <w:pStyle w:val="TextBody"/>
        <w:bidi w:val="0"/>
        <w:spacing w:before="0" w:after="200"/>
        <w:jc w:val="left"/>
        <w:rPr>
          <w:rFonts w:ascii="Georgia;serif" w:hAnsi="Georgia;serif"/>
          <w:color w:val="000000"/>
          <w:sz w:val="20"/>
        </w:rPr>
      </w:pPr>
      <w:r>
        <w:rPr>
          <w:rFonts w:ascii="Georgia;serif" w:hAnsi="Georgia;serif"/>
          <w:color w:val="000000"/>
          <w:sz w:val="20"/>
        </w:rPr>
        <w:t>We have determined that there are no key audit matters to communicate in our report.</w:t>
      </w:r>
    </w:p>
    <w:p>
      <w:pPr>
        <w:pStyle w:val="TextBody"/>
        <w:bidi w:val="0"/>
        <w:spacing w:before="200" w:after="200"/>
        <w:jc w:val="left"/>
        <w:rPr>
          <w:rFonts w:ascii="Arial" w:hAnsi="Arial"/>
          <w:b/>
          <w:color w:val="000000"/>
          <w:sz w:val="20"/>
        </w:rPr>
      </w:pPr>
      <w:r>
        <w:rPr>
          <w:rFonts w:ascii="Arial" w:hAnsi="Arial"/>
          <w:b/>
          <w:color w:val="000000"/>
          <w:sz w:val="20"/>
        </w:rPr>
        <w:t>Other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other information. The other information comprises the information included in the annual report, which has partially been made available to us with the 6-K and 20-F filings, (but does not include the financial statements and the consolidated financial statements and our auditor’s reports thereon), which we obtained prior to the date of this auditor’s report, and the full annual report, which is expected to be made available to us after that date.</w:t>
      </w:r>
    </w:p>
    <w:p>
      <w:pPr>
        <w:pStyle w:val="TextBody"/>
        <w:bidi w:val="0"/>
        <w:spacing w:before="0" w:after="200"/>
        <w:jc w:val="left"/>
        <w:rPr>
          <w:rFonts w:ascii="Georgia;serif" w:hAnsi="Georgia;serif"/>
          <w:color w:val="000000"/>
          <w:sz w:val="20"/>
        </w:rPr>
      </w:pPr>
      <w:r>
        <w:rPr>
          <w:rFonts w:ascii="Georgia;serif" w:hAnsi="Georgia;serif"/>
          <w:color w:val="000000"/>
          <w:sz w:val="20"/>
        </w:rPr>
        <w:t>Our opinion on the financial statements does not cover the other information and we do not express any form of assurance conclusion thereon.</w:t>
      </w:r>
    </w:p>
    <w:p>
      <w:pPr>
        <w:pStyle w:val="TextBody"/>
        <w:bidi w:val="0"/>
        <w:spacing w:before="0" w:after="200"/>
        <w:jc w:val="left"/>
        <w:rPr>
          <w:rFonts w:ascii="Georgia;serif" w:hAnsi="Georgia;serif"/>
          <w:color w:val="000000"/>
          <w:sz w:val="20"/>
        </w:rPr>
      </w:pPr>
      <w:r>
        <w:rPr>
          <w:rFonts w:ascii="Georgia;serif" w:hAnsi="Georgia;serif"/>
          <w:color w:val="000000"/>
          <w:sz w:val="20"/>
        </w:rPr>
        <w:t>In connection with our audit of the financial statements, our responsibility is to read the other information and, in doing so, consider whether the other information is materially inconsistent with the financial statements or our knowledge obtained in the audit or otherwise appears to be materially misstated.</w:t>
      </w:r>
    </w:p>
    <w:p>
      <w:pPr>
        <w:pStyle w:val="TextBody"/>
        <w:bidi w:val="0"/>
        <w:spacing w:before="0" w:after="200"/>
        <w:jc w:val="left"/>
        <w:rPr>
          <w:rFonts w:ascii="Georgia;serif" w:hAnsi="Georgia;serif"/>
          <w:color w:val="000000"/>
          <w:sz w:val="20"/>
        </w:rPr>
      </w:pPr>
      <w:r>
        <w:rPr>
          <w:rFonts w:ascii="Georgia;serif" w:hAnsi="Georgia;serif"/>
          <w:color w:val="000000"/>
          <w:sz w:val="20"/>
        </w:rPr>
        <w:t>If, based on the work we have performed, we conclude that there is a material misstatement of this other information, we are required to report that fact. We have nothing to report in this regard.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0" w:after="200"/>
        <w:jc w:val="left"/>
        <w:rPr>
          <w:rFonts w:ascii="Arial" w:hAnsi="Arial"/>
          <w:b/>
          <w:color w:val="000000"/>
          <w:sz w:val="20"/>
        </w:rPr>
      </w:pPr>
      <w:r>
        <w:rPr>
          <w:rFonts w:ascii="Arial" w:hAnsi="Arial"/>
          <w:b/>
          <w:color w:val="000000"/>
          <w:sz w:val="20"/>
        </w:rPr>
        <w:t>Board of Directors’ responsibilities for the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preparation of financial statements in accordance with the provisions of Swiss law and the Company’s articles of incorporation, and for such internal control as the Board of Directors determines is necessary to enable the preparation of financial statements that are free from material misstatement, whether due to fraud or error.</w:t>
      </w:r>
    </w:p>
    <w:p>
      <w:pPr>
        <w:pStyle w:val="TextBody"/>
        <w:bidi w:val="0"/>
        <w:spacing w:before="0" w:after="200"/>
        <w:jc w:val="left"/>
        <w:rPr>
          <w:rFonts w:ascii="Georgia;serif" w:hAnsi="Georgia;serif"/>
          <w:color w:val="000000"/>
          <w:sz w:val="20"/>
        </w:rPr>
      </w:pPr>
      <w:r>
        <w:rPr>
          <w:rFonts w:ascii="Georgia;serif" w:hAnsi="Georgia;serif"/>
          <w:color w:val="000000"/>
          <w:sz w:val="20"/>
        </w:rPr>
        <w:t>In preparing the financial statements, the Board of Directors is responsible for assessing the Company’s ability to continue as a going concern, disclosing, as applicable, matters related to going concern and using the going concern basis of accounting unless the Board of Directors either intends to liquidate the Company or to cease operations, or has no realistic alternative but to do so.</w:t>
      </w:r>
    </w:p>
    <w:p>
      <w:pPr>
        <w:pStyle w:val="TextBody"/>
        <w:bidi w:val="0"/>
        <w:spacing w:before="200" w:after="200"/>
        <w:jc w:val="left"/>
        <w:rPr>
          <w:rFonts w:ascii="Arial" w:hAnsi="Arial"/>
          <w:b/>
          <w:color w:val="000000"/>
          <w:sz w:val="20"/>
        </w:rPr>
      </w:pPr>
      <w:r>
        <w:rPr>
          <w:rFonts w:ascii="Arial" w:hAnsi="Arial"/>
          <w:b/>
          <w:color w:val="000000"/>
          <w:sz w:val="20"/>
        </w:rPr>
        <w:t>Auditor’s responsibilities for the audit of the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Swiss law and SA-CH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As part of an audit in accordance with Swiss law and SA-CH, we exercise professional judgement and maintain professional scepticism throughout the audit. We also:</w:t>
      </w:r>
    </w:p>
    <w:p>
      <w:pPr>
        <w:pStyle w:val="TextBody"/>
        <w:bidi w:val="0"/>
        <w:spacing w:before="0" w:after="200"/>
        <w:jc w:val="left"/>
        <w:rPr>
          <w:color w:val="000000"/>
        </w:rPr>
      </w:pPr>
      <w:r>
        <w:rPr>
          <w:color w:val="000000"/>
        </w:rPr>
        <w:t>•</w:t>
      </w:r>
    </w:p>
    <w:p>
      <w:pPr>
        <w:pStyle w:val="TextBody"/>
        <w:bidi w:val="0"/>
        <w:spacing w:before="0" w:after="200"/>
        <w:jc w:val="left"/>
        <w:rPr>
          <w:rFonts w:ascii="Georgia;serif" w:hAnsi="Georgia;serif"/>
          <w:color w:val="000000"/>
          <w:sz w:val="20"/>
        </w:rPr>
      </w:pPr>
      <w:r>
        <w:rPr>
          <w:rFonts w:ascii="Georgia;serif" w:hAnsi="Georgia;serif"/>
          <w:color w:val="000000"/>
          <w:sz w:val="20"/>
        </w:rPr>
        <w:t>Identify and assess the risks of material misstatement of the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pStyle w:val="TextBody"/>
        <w:bidi w:val="0"/>
        <w:spacing w:before="0" w:after="200"/>
        <w:jc w:val="left"/>
        <w:rPr>
          <w:color w:val="000000"/>
        </w:rPr>
      </w:pPr>
      <w:r>
        <w:rPr>
          <w:color w:val="000000"/>
        </w:rPr>
        <w:t>•</w:t>
      </w:r>
    </w:p>
    <w:p>
      <w:pPr>
        <w:pStyle w:val="TextBody"/>
        <w:bidi w:val="0"/>
        <w:spacing w:before="0" w:after="200"/>
        <w:jc w:val="left"/>
        <w:rPr>
          <w:rFonts w:ascii="Georgia;serif" w:hAnsi="Georgia;serif"/>
          <w:color w:val="000000"/>
          <w:sz w:val="20"/>
        </w:rPr>
      </w:pPr>
      <w:r>
        <w:rPr>
          <w:rFonts w:ascii="Georgia;serif" w:hAnsi="Georgia;serif"/>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w:t>
      </w:r>
    </w:p>
    <w:p>
      <w:pPr>
        <w:pStyle w:val="TextBody"/>
        <w:bidi w:val="0"/>
        <w:spacing w:before="0" w:after="200"/>
        <w:jc w:val="left"/>
        <w:rPr>
          <w:color w:val="000000"/>
        </w:rPr>
      </w:pPr>
      <w:r>
        <w:rPr>
          <w:color w:val="000000"/>
        </w:rPr>
        <w:t>•</w:t>
      </w:r>
    </w:p>
    <w:p>
      <w:pPr>
        <w:pStyle w:val="TextBody"/>
        <w:bidi w:val="0"/>
        <w:spacing w:before="0" w:after="200"/>
        <w:jc w:val="left"/>
        <w:rPr>
          <w:rFonts w:ascii="Georgia;serif" w:hAnsi="Georgia;serif"/>
          <w:color w:val="000000"/>
          <w:sz w:val="20"/>
        </w:rPr>
      </w:pPr>
      <w:r>
        <w:rPr>
          <w:rFonts w:ascii="Georgia;serif" w:hAnsi="Georgia;serif"/>
          <w:color w:val="000000"/>
          <w:sz w:val="20"/>
        </w:rPr>
        <w:t>Evaluate the appropriateness of accounting policies used and the reasonableness of accounting estimates and related disclosures made.</w:t>
      </w:r>
    </w:p>
    <w:p>
      <w:pPr>
        <w:pStyle w:val="TextBody"/>
        <w:bidi w:val="0"/>
        <w:spacing w:before="0" w:after="200"/>
        <w:jc w:val="left"/>
        <w:rPr>
          <w:color w:val="000000"/>
        </w:rPr>
      </w:pPr>
      <w:r>
        <w:rPr>
          <w:color w:val="000000"/>
        </w:rPr>
        <w:t>•</w:t>
      </w:r>
    </w:p>
    <w:p>
      <w:pPr>
        <w:pStyle w:val="TextBody"/>
        <w:bidi w:val="0"/>
        <w:spacing w:before="0" w:after="200"/>
        <w:jc w:val="left"/>
        <w:rPr>
          <w:rFonts w:ascii="Georgia;serif" w:hAnsi="Georgia;serif"/>
          <w:color w:val="000000"/>
          <w:sz w:val="20"/>
        </w:rPr>
      </w:pPr>
      <w:r>
        <w:rPr>
          <w:rFonts w:ascii="Georgia;serif" w:hAnsi="Georgia;serif"/>
          <w:color w:val="000000"/>
          <w:sz w:val="20"/>
        </w:rPr>
        <w:t>Conclude on the appropriateness of the Board of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pStyle w:val="TextBody"/>
        <w:bidi w:val="0"/>
        <w:spacing w:before="40" w:after="200"/>
        <w:jc w:val="left"/>
        <w:rPr>
          <w:rFonts w:ascii="Georgia;serif" w:hAnsi="Georgia;serif"/>
          <w:color w:val="000000"/>
          <w:sz w:val="20"/>
        </w:rPr>
      </w:pPr>
      <w:r>
        <w:rPr>
          <w:rFonts w:ascii="Georgia;serif" w:hAnsi="Georgia;serif"/>
          <w:color w:val="000000"/>
          <w:sz w:val="20"/>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pStyle w:val="TextBody"/>
        <w:bidi w:val="0"/>
        <w:spacing w:before="0" w:after="200"/>
        <w:jc w:val="left"/>
        <w:rPr>
          <w:rFonts w:ascii="Times New Roman" w:hAnsi="Times New Roman"/>
          <w:sz w:val="20"/>
        </w:rPr>
      </w:pPr>
      <w:r>
        <w:rPr>
          <w:rFonts w:ascii="Georgia;serif" w:hAnsi="Georgia;serif"/>
          <w:color w:val="000000"/>
          <w:sz w:val="20"/>
        </w:rPr>
        <w:t>We also provide the Board of Directors or its relevant committee with a statement that we have complied with relevant ethical requirements regarding independence, and communicate with them regarding all</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relationships and other matters that may reasonably be thought to bear on our independence, and where applicable, actions taken to eliminate threats or safeguards applied.</w:t>
      </w:r>
    </w:p>
    <w:p>
      <w:pPr>
        <w:pStyle w:val="TextBody"/>
        <w:bidi w:val="0"/>
        <w:spacing w:before="0" w:after="200"/>
        <w:jc w:val="left"/>
        <w:rPr>
          <w:rFonts w:ascii="Georgia;serif" w:hAnsi="Georgia;serif"/>
          <w:color w:val="000000"/>
          <w:sz w:val="20"/>
        </w:rPr>
      </w:pPr>
      <w:r>
        <w:rPr>
          <w:rFonts w:ascii="Georgia;serif" w:hAnsi="Georgia;serif"/>
          <w:color w:val="000000"/>
          <w:sz w:val="20"/>
        </w:rPr>
        <w:t>From the matters communicated with the Board of Directors or its relevant committee, we determine those matters that were of most significance in the audit of the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pStyle w:val="TextBody"/>
        <w:bidi w:val="0"/>
        <w:spacing w:before="200" w:after="200"/>
        <w:jc w:val="left"/>
        <w:rPr>
          <w:rFonts w:ascii="Arial" w:hAnsi="Arial"/>
          <w:b/>
          <w:color w:val="000000"/>
          <w:sz w:val="24"/>
        </w:rPr>
      </w:pPr>
      <w:r>
        <w:rPr>
          <w:rFonts w:ascii="Arial" w:hAnsi="Arial"/>
          <w:b/>
          <w:color w:val="000000"/>
          <w:sz w:val="24"/>
        </w:rPr>
        <w:t>Report on other legal and regulatory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In accordance with article 728a para. 1 item 3 CO and PS-CH 890, we confirm the existence of an internal control system that has been designed, pursuant to the instructions of the Board of Directors, for the preparation of the financial statements.</w:t>
      </w:r>
    </w:p>
    <w:p>
      <w:pPr>
        <w:pStyle w:val="TextBody"/>
        <w:bidi w:val="0"/>
        <w:spacing w:before="0" w:after="200"/>
        <w:jc w:val="left"/>
        <w:rPr>
          <w:rFonts w:ascii="Georgia;serif" w:hAnsi="Georgia;serif"/>
          <w:color w:val="000000"/>
          <w:sz w:val="20"/>
        </w:rPr>
      </w:pPr>
      <w:r>
        <w:rPr>
          <w:rFonts w:ascii="Georgia;serif" w:hAnsi="Georgia;serif"/>
          <w:color w:val="000000"/>
          <w:sz w:val="20"/>
        </w:rPr>
        <w:t>Based on our audit according to article 728a para. 1 item 2 CO, we confirm that the Board of Directors' proposal complies with Swiss law and the Company’s articles of incorporation. We recommend that the financial statements submitted to you be approved.</w:t>
      </w:r>
    </w:p>
    <w:p>
      <w:pPr>
        <w:pStyle w:val="TextBody"/>
        <w:bidi w:val="0"/>
        <w:spacing w:before="0" w:after="20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PricewaterhouseCoopers SA</w:t>
      </w:r>
    </w:p>
    <w:tbl>
      <w:tblPr>
        <w:tblW w:w="3887" w:type="dxa"/>
        <w:jc w:val="left"/>
        <w:tblInd w:w="0" w:type="dxa"/>
        <w:tblLayout w:type="fixed"/>
        <w:tblCellMar>
          <w:top w:w="28" w:type="dxa"/>
          <w:left w:w="28" w:type="dxa"/>
          <w:bottom w:w="28" w:type="dxa"/>
          <w:right w:w="28" w:type="dxa"/>
        </w:tblCellMar>
      </w:tblPr>
      <w:tblGrid>
        <w:gridCol w:w="1936"/>
        <w:gridCol w:w="1951"/>
      </w:tblGrid>
      <w:tr>
        <w:trPr/>
        <w:tc>
          <w:tcPr>
            <w:tcW w:w="193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hanging="11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/s/ Alex Fuhrer</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/s/ Violina Eremciuc</w:t>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Licensed audit expert</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00"/>
              <w:ind w:left="0" w:right="0" w:hanging="113"/>
              <w:jc w:val="left"/>
              <w:rPr>
                <w:rFonts w:ascii="Georgia;serif" w:hAnsi="Georgia;serif"/>
                <w:color w:val="000000"/>
                <w:sz w:val="20"/>
              </w:rPr>
            </w:pPr>
            <w:r>
              <w:rPr>
                <w:rFonts w:ascii="Georgia;serif" w:hAnsi="Georgia;serif"/>
                <w:color w:val="000000"/>
                <w:sz w:val="20"/>
              </w:rPr>
              <w:t>Auditor in charge</w:t>
            </w:r>
          </w:p>
        </w:tc>
        <w:tc>
          <w:tcPr>
            <w:tcW w:w="1951" w:type="dxa"/>
            <w:tcBorders/>
            <w:tcMar>
              <w:top w:w="0" w:type="dxa"/>
              <w:left w:w="0" w:type="dxa"/>
              <w:bottom w:w="0" w:type="dxa"/>
              <w:right w:w="0" w:type="dxa"/>
            </w:tcMar>
            <w:vAlign w:val="center"/>
          </w:tcPr>
          <w:p>
            <w:pPr>
              <w:pStyle w:val="TableContents"/>
              <w:bidi w:val="0"/>
              <w:spacing w:before="0" w:after="200"/>
              <w:ind w:left="0" w:right="0" w:hanging="113"/>
              <w:jc w:val="left"/>
              <w:rPr/>
            </w:pPr>
            <w:r>
              <w:rPr/>
              <w:t> </w:t>
            </w:r>
          </w:p>
        </w:tc>
      </w:tr>
    </w:tbl>
    <w:p>
      <w:pPr>
        <w:pStyle w:val="TextBody"/>
        <w:bidi w:val="0"/>
        <w:spacing w:before="0" w:after="20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Lausanne, March 4, 2026</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60"/>
        <w:ind w:left="227" w:right="0" w:hanging="0"/>
        <w:jc w:val="left"/>
        <w:rPr/>
      </w:pPr>
      <w:r>
        <w:rPr/>
        <w:t> </w:t>
      </w:r>
    </w:p>
    <w:p>
      <w:pPr>
        <w:pStyle w:val="Heading2"/>
        <w:bidi w:val="0"/>
        <w:spacing w:before="140" w:after="283"/>
        <w:jc w:val="left"/>
        <w:rPr/>
      </w:pPr>
      <w:r>
        <w:rPr/>
        <w:drawing>
          <wp:inline distT="0" distB="0" distL="0" distR="0">
            <wp:extent cx="1476375" cy="400050"/>
            <wp:effectExtent l="0" t="0" r="0" b="0"/>
            <wp:docPr id="5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3" descr=""/>
                    <pic:cNvPicPr>
                      <a:picLocks noChangeAspect="1" noChangeArrowheads="1"/>
                    </pic:cNvPicPr>
                  </pic:nvPicPr>
                  <pic:blipFill>
                    <a:blip r:embed="rId37"/>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sz w:val="20"/>
        </w:rPr>
      </w:pPr>
      <w:bookmarkStart w:id="26" w:name="beg_stat_page"/>
      <w:bookmarkEnd w:id="26"/>
      <w:r>
        <w:rPr>
          <w:rFonts w:ascii="Times New Roman" w:hAnsi="Times New Roman"/>
          <w:color w:val="000000"/>
          <w:sz w:val="32"/>
        </w:rPr>
        <w:t>Statutory Financial Sta</w:t>
      </w:r>
      <w:bookmarkStart w:id="27" w:name="statutory_financial_stmts_oculis_holding"/>
      <w:bookmarkEnd w:id="27"/>
      <w:r>
        <w:rPr>
          <w:rFonts w:ascii="Times New Roman" w:hAnsi="Times New Roman"/>
          <w:color w:val="000000"/>
          <w:sz w:val="32"/>
        </w:rPr>
        <w:t>tements of Oculis Holding AG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Oculis Holding AG, Zug</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p>
      <w:pPr>
        <w:pStyle w:val="TextBody"/>
        <w:bidi w:val="0"/>
        <w:jc w:val="left"/>
        <w:rPr/>
      </w:pPr>
      <w:r>
        <w:rPr/>
        <w:t> </w:t>
      </w:r>
    </w:p>
    <w:tbl>
      <w:tblPr>
        <w:tblW w:w="6332" w:type="dxa"/>
        <w:jc w:val="left"/>
        <w:tblInd w:w="0" w:type="dxa"/>
        <w:tblLayout w:type="fixed"/>
        <w:tblCellMar>
          <w:top w:w="28" w:type="dxa"/>
          <w:left w:w="28" w:type="dxa"/>
          <w:bottom w:w="28" w:type="dxa"/>
          <w:right w:w="28" w:type="dxa"/>
        </w:tblCellMar>
      </w:tblPr>
      <w:tblGrid>
        <w:gridCol w:w="5866"/>
        <w:gridCol w:w="466"/>
      </w:tblGrid>
      <w:tr>
        <w:trPr/>
        <w:tc>
          <w:tcPr>
            <w:tcW w:w="58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statfs_fs">
              <w:r>
                <w:rPr>
                  <w:rStyle w:val="InternetLink"/>
                  <w:rFonts w:ascii="Times New Roman" w:hAnsi="Times New Roman"/>
                  <w:color w:val="0000FF"/>
                  <w:sz w:val="20"/>
                  <w:u w:val="single"/>
                </w:rPr>
                <w:t>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statfs_fns">
              <w:r>
                <w:rPr>
                  <w:rStyle w:val="InternetLink"/>
                  <w:rFonts w:ascii="Times New Roman" w:hAnsi="Times New Roman"/>
                  <w:color w:val="0000FF"/>
                  <w:sz w:val="20"/>
                  <w:u w:val="single"/>
                </w:rPr>
                <w:t>Notes to the statutory financial statements</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APPROPRIATION OF AVAILABLE EARNINGS</w:t>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866" w:type="dxa"/>
            <w:tcBorders/>
            <w:tcMar>
              <w:top w:w="0" w:type="dxa"/>
              <w:left w:w="0" w:type="dxa"/>
              <w:bottom w:w="0" w:type="dxa"/>
              <w:right w:w="0" w:type="dxa"/>
            </w:tcMar>
            <w:vAlign w:val="center"/>
          </w:tcPr>
          <w:p>
            <w:pPr>
              <w:pStyle w:val="TableContents"/>
              <w:bidi w:val="0"/>
              <w:spacing w:before="0" w:after="283"/>
              <w:jc w:val="left"/>
              <w:rPr/>
            </w:pPr>
            <w:hyperlink w:anchor="statfs_appropriationearnings">
              <w:r>
                <w:rPr>
                  <w:rStyle w:val="InternetLink"/>
                  <w:rFonts w:ascii="Times New Roman" w:hAnsi="Times New Roman"/>
                  <w:color w:val="0000FF"/>
                  <w:sz w:val="20"/>
                  <w:u w:val="single"/>
                </w:rPr>
                <w:t>Appropriation of available earnings and reserves of Oculis Holding AG</w:t>
              </w:r>
            </w:hyperlink>
          </w:p>
        </w:tc>
        <w:tc>
          <w:tcPr>
            <w:tcW w:w="4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8" w:name="stat_beg_page_v2"/>
      <w:bookmarkStart w:id="29" w:name="statfs_fs"/>
      <w:bookmarkEnd w:id="28"/>
      <w:bookmarkEnd w:id="29"/>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Balance Sheet</w:t>
      </w:r>
    </w:p>
    <w:p>
      <w:pPr>
        <w:pStyle w:val="TextBody"/>
        <w:bidi w:val="0"/>
        <w:jc w:val="left"/>
        <w:rPr>
          <w:rFonts w:ascii="Times New Roman" w:hAnsi="Times New Roman"/>
          <w:b/>
          <w:color w:val="000000"/>
          <w:sz w:val="20"/>
        </w:rPr>
      </w:pPr>
      <w:r>
        <w:rPr>
          <w:rFonts w:ascii="Times New Roman" w:hAnsi="Times New Roman"/>
          <w:b/>
          <w:color w:val="000000"/>
          <w:sz w:val="20"/>
        </w:rPr>
        <w:t>(in CHF thousands)</w:t>
      </w:r>
    </w:p>
    <w:tbl>
      <w:tblPr>
        <w:tblW w:w="7650" w:type="dxa"/>
        <w:jc w:val="left"/>
        <w:tblInd w:w="0" w:type="dxa"/>
        <w:tblLayout w:type="fixed"/>
        <w:tblCellMar>
          <w:top w:w="28" w:type="dxa"/>
          <w:left w:w="28" w:type="dxa"/>
          <w:bottom w:w="28" w:type="dxa"/>
          <w:right w:w="28" w:type="dxa"/>
        </w:tblCellMar>
      </w:tblPr>
      <w:tblGrid>
        <w:gridCol w:w="4471"/>
        <w:gridCol w:w="496"/>
        <w:gridCol w:w="146"/>
        <w:gridCol w:w="146"/>
        <w:gridCol w:w="781"/>
        <w:gridCol w:w="146"/>
        <w:gridCol w:w="146"/>
        <w:gridCol w:w="146"/>
        <w:gridCol w:w="781"/>
        <w:gridCol w:w="391"/>
      </w:tblGrid>
      <w:tr>
        <w:trPr/>
        <w:tc>
          <w:tcPr>
            <w:tcW w:w="44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From third parties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395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From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10,270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2,483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to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receivables - From group subsidiaries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355,768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830" w:type="dxa"/>
        <w:jc w:val="left"/>
        <w:tblInd w:w="0" w:type="dxa"/>
        <w:tblLayout w:type="fixed"/>
        <w:tblCellMar>
          <w:top w:w="28" w:type="dxa"/>
          <w:left w:w="28" w:type="dxa"/>
          <w:bottom w:w="28" w:type="dxa"/>
          <w:right w:w="28" w:type="dxa"/>
        </w:tblCellMar>
      </w:tblPr>
      <w:tblGrid>
        <w:gridCol w:w="3631"/>
        <w:gridCol w:w="496"/>
        <w:gridCol w:w="146"/>
        <w:gridCol w:w="146"/>
        <w:gridCol w:w="781"/>
        <w:gridCol w:w="166"/>
        <w:gridCol w:w="146"/>
        <w:gridCol w:w="146"/>
        <w:gridCol w:w="781"/>
        <w:gridCol w:w="391"/>
      </w:tblGrid>
      <w:tr>
        <w:trPr/>
        <w:tc>
          <w:tcPr>
            <w:tcW w:w="36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49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To third parties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To group subsidiaries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short-term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capital reserves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Reserves from capital contribution</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492,464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293,879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Other statutory capital reserves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110,237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 held by Oculis Holding AG</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of the period</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523,109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357,999</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362,811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Profit and loss statement</w:t>
      </w:r>
    </w:p>
    <w:p>
      <w:pPr>
        <w:pStyle w:val="TextBody"/>
        <w:bidi w:val="0"/>
        <w:jc w:val="left"/>
        <w:rPr>
          <w:rFonts w:ascii="Times New Roman" w:hAnsi="Times New Roman"/>
          <w:b/>
          <w:color w:val="000000"/>
          <w:sz w:val="20"/>
        </w:rPr>
      </w:pPr>
      <w:r>
        <w:rPr>
          <w:rFonts w:ascii="Times New Roman" w:hAnsi="Times New Roman"/>
          <w:b/>
          <w:color w:val="000000"/>
          <w:sz w:val="20"/>
        </w:rPr>
        <w:t>(in CHF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5789" w:type="dxa"/>
        <w:jc w:val="left"/>
        <w:tblInd w:w="0" w:type="dxa"/>
        <w:tblLayout w:type="fixed"/>
        <w:tblCellMar>
          <w:top w:w="28" w:type="dxa"/>
          <w:left w:w="28" w:type="dxa"/>
          <w:bottom w:w="28" w:type="dxa"/>
          <w:right w:w="28" w:type="dxa"/>
        </w:tblCellMar>
      </w:tblPr>
      <w:tblGrid>
        <w:gridCol w:w="2176"/>
        <w:gridCol w:w="556"/>
        <w:gridCol w:w="146"/>
        <w:gridCol w:w="204"/>
        <w:gridCol w:w="1030"/>
        <w:gridCol w:w="232"/>
        <w:gridCol w:w="204"/>
        <w:gridCol w:w="1030"/>
        <w:gridCol w:w="211"/>
      </w:tblGrid>
      <w:tr>
        <w:trPr/>
        <w:tc>
          <w:tcPr>
            <w:tcW w:w="217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w:t>
            </w:r>
          </w:p>
        </w:tc>
        <w:tc>
          <w:tcPr>
            <w:tcW w:w="146" w:type="dxa"/>
            <w:tcBorders>
              <w:bottom w:val="single" w:sz="4" w:space="0" w:color="000000"/>
              <w:right w:val="single" w:sz="4" w:space="0" w:color="FFFFFF"/>
            </w:tcBorders>
            <w:shd w:fill="FFFFFF" w:val="clear"/>
            <w:tcMar>
              <w:top w:w="0" w:type="dxa"/>
              <w:lef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4" w:type="dxa"/>
            <w:gridSpan w:val="2"/>
            <w:tcBorders>
              <w:left w:val="single" w:sz="4" w:space="0" w:color="FFFFFF"/>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(20,488</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(23,212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(22,074</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taxes</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(33,670</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taxes</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of the period</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(33,670</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form an integral part of the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0" w:name="statfs_fns"/>
      <w:bookmarkEnd w:id="30"/>
      <w:r>
        <w:rPr>
          <w:rFonts w:ascii="Times New Roman" w:hAnsi="Times New Roman"/>
          <w:b/>
          <w:color w:val="000000"/>
          <w:sz w:val="20"/>
        </w:rPr>
        <w:t>Oculis Holding AG, Zug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NOTES TO THE STATUTORY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(All amounts presented in CHF thousands, except share numbers, unless otherwise noted)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 GENERAL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Oculis Holding AG (the “</w:t>
      </w:r>
      <w:r>
        <w:rPr>
          <w:rFonts w:ascii="Times New Roman" w:hAnsi="Times New Roman"/>
          <w:i/>
          <w:color w:val="000000"/>
          <w:sz w:val="20"/>
        </w:rPr>
        <w:t>Company”</w:t>
      </w:r>
      <w:r>
        <w:rPr>
          <w:rFonts w:ascii="Times New Roman" w:hAnsi="Times New Roman"/>
          <w:color w:val="000000"/>
          <w:sz w:val="20"/>
        </w:rPr>
        <w:t xml:space="preserve"> or “</w:t>
      </w:r>
      <w:r>
        <w:rPr>
          <w:rFonts w:ascii="Times New Roman" w:hAnsi="Times New Roman"/>
          <w:i/>
          <w:color w:val="000000"/>
          <w:sz w:val="20"/>
        </w:rPr>
        <w:t>Oculis”</w:t>
      </w:r>
      <w:r>
        <w:rPr>
          <w:rFonts w:ascii="Times New Roman" w:hAnsi="Times New Roman"/>
          <w:color w:val="000000"/>
          <w:sz w:val="20"/>
        </w:rPr>
        <w:t>) is a stock corporation (Aktiengesellschaft) with its registered office at Bahnhofstrasse 20, CH-6300, Zug, Switzerland. It was incorporated under the laws of Switzerland in accordance with article 620 et seq. of the Swiss Code of Obligations (“</w:t>
      </w:r>
      <w:r>
        <w:rPr>
          <w:rFonts w:ascii="Times New Roman" w:hAnsi="Times New Roman"/>
          <w:i/>
          <w:color w:val="000000"/>
          <w:sz w:val="20"/>
        </w:rPr>
        <w:t>CO”</w:t>
      </w:r>
      <w:r>
        <w:rPr>
          <w:rFonts w:ascii="Times New Roman" w:hAnsi="Times New Roman"/>
          <w:color w:val="000000"/>
          <w:sz w:val="20"/>
        </w:rPr>
        <w:t>) and registered as of October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December 31, 2025, the Company controls a wholly-owned subsidiary Oculis Operations Sàrl (“</w:t>
      </w:r>
      <w:r>
        <w:rPr>
          <w:rFonts w:ascii="Times New Roman" w:hAnsi="Times New Roman"/>
          <w:i/>
          <w:color w:val="000000"/>
          <w:sz w:val="20"/>
        </w:rPr>
        <w:t>Oculis Operations”</w:t>
      </w:r>
      <w:r>
        <w:rPr>
          <w:rFonts w:ascii="Times New Roman" w:hAnsi="Times New Roman"/>
          <w:color w:val="000000"/>
          <w:sz w:val="20"/>
        </w:rPr>
        <w:t>). Oculis Operations has a registered office in Lausanne, Switzerland, which was incorporated in Zug, Switzerland on December 27, 2022, and has six wholly-owned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ehf (</w:t>
      </w:r>
      <w:r>
        <w:rPr>
          <w:color w:val="000000"/>
        </w:rPr>
        <w:t>“</w:t>
      </w:r>
      <w:r>
        <w:rPr>
          <w:rFonts w:ascii="Times New Roman" w:hAnsi="Times New Roman"/>
          <w:i/>
          <w:color w:val="000000"/>
          <w:sz w:val="20"/>
        </w:rPr>
        <w:t>Oculis Iceland”</w:t>
      </w:r>
      <w:r>
        <w:rPr>
          <w:rFonts w:ascii="Times New Roman" w:hAnsi="Times New Roman"/>
          <w:color w:val="000000"/>
          <w:sz w:val="20"/>
        </w:rPr>
        <w:t xml:space="preserve">), which was incorporated in Reykjavik, Iceland on October 28, 2003,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France Sàrl (</w:t>
      </w:r>
      <w:r>
        <w:rPr>
          <w:color w:val="000000"/>
        </w:rPr>
        <w:t>“</w:t>
      </w:r>
      <w:r>
        <w:rPr>
          <w:rFonts w:ascii="Times New Roman" w:hAnsi="Times New Roman"/>
          <w:i/>
          <w:color w:val="000000"/>
          <w:sz w:val="20"/>
        </w:rPr>
        <w:t>Oculis France”</w:t>
      </w:r>
      <w:r>
        <w:rPr>
          <w:rFonts w:ascii="Times New Roman" w:hAnsi="Times New Roman"/>
          <w:color w:val="000000"/>
          <w:sz w:val="20"/>
        </w:rPr>
        <w:t xml:space="preserve">) which was incorporated in Paris, France on March 27,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US, Inc. (</w:t>
      </w:r>
      <w:r>
        <w:rPr>
          <w:color w:val="000000"/>
        </w:rPr>
        <w:t>“</w:t>
      </w:r>
      <w:r>
        <w:rPr>
          <w:rFonts w:ascii="Times New Roman" w:hAnsi="Times New Roman"/>
          <w:i/>
          <w:color w:val="000000"/>
          <w:sz w:val="20"/>
        </w:rPr>
        <w:t>Oculis US”</w:t>
      </w:r>
      <w:r>
        <w:rPr>
          <w:rFonts w:ascii="Times New Roman" w:hAnsi="Times New Roman"/>
          <w:color w:val="000000"/>
          <w:sz w:val="20"/>
        </w:rPr>
        <w:t xml:space="preserve">), which was incorporated in Delaware, USA, on May 26, 2020,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Oculis HK, Limited (</w:t>
      </w:r>
      <w:r>
        <w:rPr>
          <w:color w:val="000000"/>
        </w:rPr>
        <w:t>“</w:t>
      </w:r>
      <w:r>
        <w:rPr>
          <w:rFonts w:ascii="Times New Roman" w:hAnsi="Times New Roman"/>
          <w:i/>
          <w:color w:val="000000"/>
          <w:sz w:val="20"/>
        </w:rPr>
        <w:t>Oculis HK”</w:t>
      </w:r>
      <w:r>
        <w:rPr>
          <w:rFonts w:ascii="Times New Roman" w:hAnsi="Times New Roman"/>
          <w:color w:val="000000"/>
          <w:sz w:val="20"/>
        </w:rPr>
        <w:t>), which was incorporated in Hong Kong, China on June 1,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Neurocol IP Sàrl (</w:t>
      </w:r>
      <w:r>
        <w:rPr>
          <w:color w:val="000000"/>
        </w:rPr>
        <w:t>“</w:t>
      </w:r>
      <w:r>
        <w:rPr>
          <w:rFonts w:ascii="Times New Roman" w:hAnsi="Times New Roman"/>
          <w:i/>
          <w:color w:val="000000"/>
          <w:sz w:val="20"/>
        </w:rPr>
        <w:t>Neurocol IP”</w:t>
      </w:r>
      <w:r>
        <w:rPr>
          <w:rFonts w:ascii="Times New Roman" w:hAnsi="Times New Roman"/>
          <w:color w:val="000000"/>
          <w:sz w:val="20"/>
        </w:rPr>
        <w:t xml:space="preserve">), which was incorporated in Lausanne, Switzerland on December 4, 2025,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color w:val="000000"/>
          <w:sz w:val="20"/>
        </w:rPr>
        <w:t>Neurocol Operations Sàrl (</w:t>
      </w:r>
      <w:r>
        <w:rPr>
          <w:color w:val="000000"/>
        </w:rPr>
        <w:t>“</w:t>
      </w:r>
      <w:r>
        <w:rPr>
          <w:rFonts w:ascii="Times New Roman" w:hAnsi="Times New Roman"/>
          <w:i/>
          <w:color w:val="000000"/>
          <w:sz w:val="20"/>
        </w:rPr>
        <w:t>Neurocol Operations”</w:t>
      </w:r>
      <w:r>
        <w:rPr>
          <w:rFonts w:ascii="Times New Roman" w:hAnsi="Times New Roman"/>
          <w:color w:val="000000"/>
          <w:sz w:val="20"/>
        </w:rPr>
        <w:t>), which was incorporated in Lausanne, Switzerland on December 4, 2025.</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Oculis is a global late clinical-stage biopharmaceutical company with substantial expertise in therapeutics for the treatment of ophthalmic and neuro-ophthalmic diseases. Oculis is engaged in developing innovative drug candidates with the potential to address significant unmet medical needs for many eye-related and neuro-ophthalmic conditions. The Company's mission is to save sight and improve eye care for patients worldwide and it intends to become a global leader in ophthalmic and neuro-ophthalmic therapeutics to realize this mission. The purpose of the Company is the research, study, development, manufacture, promotion, sale and marketing of biopharmaceutical products and substances as well as the purchase, sale and exploitation of intellectual property rights, such as patents and licenses, in the field of ophthalmology. Oculis’ pipeline product candidates in clinical development include: OCS-01, a topical eye drop candidate for diabetic macular edema (“</w:t>
      </w:r>
      <w:r>
        <w:rPr>
          <w:rFonts w:ascii="Times New Roman" w:hAnsi="Times New Roman"/>
          <w:i/>
          <w:color w:val="000000"/>
          <w:sz w:val="20"/>
        </w:rPr>
        <w:t>DME”</w:t>
      </w:r>
      <w:r>
        <w:rPr>
          <w:rFonts w:ascii="Times New Roman" w:hAnsi="Times New Roman"/>
          <w:color w:val="000000"/>
          <w:sz w:val="20"/>
        </w:rPr>
        <w:t>); Licaminlimab (OCS-02), a topical biologic anti-TNFα eye drop candidate for dry eye disease (“</w:t>
      </w:r>
      <w:r>
        <w:rPr>
          <w:rFonts w:ascii="Times New Roman" w:hAnsi="Times New Roman"/>
          <w:i/>
          <w:color w:val="000000"/>
          <w:sz w:val="20"/>
        </w:rPr>
        <w:t>DED”</w:t>
      </w:r>
      <w:r>
        <w:rPr>
          <w:rFonts w:ascii="Times New Roman" w:hAnsi="Times New Roman"/>
          <w:color w:val="000000"/>
          <w:sz w:val="20"/>
        </w:rPr>
        <w:t>); and Privosegtor (OCS-05), a neuroprotective candidate for optic neuritis (“</w:t>
      </w:r>
      <w:r>
        <w:rPr>
          <w:rFonts w:ascii="Times New Roman" w:hAnsi="Times New Roman"/>
          <w:i/>
          <w:color w:val="000000"/>
          <w:sz w:val="20"/>
        </w:rPr>
        <w:t>ON”</w:t>
      </w:r>
      <w:r>
        <w:rPr>
          <w:rFonts w:ascii="Times New Roman" w:hAnsi="Times New Roman"/>
          <w:color w:val="000000"/>
          <w:sz w:val="20"/>
        </w:rPr>
        <w:t>), non-arteritic anterior ischemic optic neuropathy (“</w:t>
      </w:r>
      <w:r>
        <w:rPr>
          <w:rFonts w:ascii="Times New Roman" w:hAnsi="Times New Roman"/>
          <w:i/>
          <w:color w:val="000000"/>
          <w:sz w:val="20"/>
        </w:rPr>
        <w:t>NAION”</w:t>
      </w:r>
      <w:r>
        <w:rPr>
          <w:rFonts w:ascii="Times New Roman" w:hAnsi="Times New Roman"/>
          <w:color w:val="000000"/>
          <w:sz w:val="20"/>
        </w:rPr>
        <w:t>) with broad potential for other neuro-ophthalmic diseases.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SIGNIFICANT EVENTS IN THE CURRENT REPORTING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Public Offerings of Ordinary Shares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rFonts w:ascii="Times New Roman" w:hAnsi="Times New Roman"/>
          <w:color w:val="000000"/>
          <w:sz w:val="20"/>
        </w:rPr>
      </w:pPr>
      <w:r>
        <w:rPr>
          <w:rFonts w:ascii="Times New Roman" w:hAnsi="Times New Roman"/>
          <w:color w:val="000000"/>
          <w:sz w:val="20"/>
        </w:rPr>
        <w:t>On November 3, 2025, the Company closed offerings of an aggregate of 5,432,098 ordinary shares, CHF 0.01 nominal value per share, at a price of $20.25 (CHF 16.33) per share for total gross proceeds of $110.0 million (CHF 88.7 million), before deducting underwriting discounts and commissions and offering expenses. The Company issued 2,635,801 shares out of the Company’s existing capital band and transferred to offering participants 2,796,297 shares previously held in treasury by the Company.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Loan Facility</w:t>
      </w:r>
    </w:p>
    <w:p>
      <w:pPr>
        <w:pStyle w:val="TextBody"/>
        <w:bidi w:val="0"/>
        <w:spacing w:before="180" w:after="160"/>
        <w:jc w:val="both"/>
        <w:rPr>
          <w:rFonts w:ascii="Times New Roman" w:hAnsi="Times New Roman"/>
          <w:sz w:val="20"/>
        </w:rPr>
      </w:pPr>
      <w:r>
        <w:rPr>
          <w:rFonts w:ascii="Times New Roman" w:hAnsi="Times New Roman"/>
          <w:color w:val="000000"/>
          <w:sz w:val="20"/>
        </w:rPr>
        <w:t>On July 31, 2025, the Company entered into an amended and restated agreement for its existing loan facility (the “</w:t>
      </w:r>
      <w:r>
        <w:rPr>
          <w:rFonts w:ascii="Times New Roman" w:hAnsi="Times New Roman"/>
          <w:i/>
          <w:color w:val="000000"/>
          <w:sz w:val="20"/>
        </w:rPr>
        <w:t>Amended Loan Agreement”</w:t>
      </w:r>
      <w:r>
        <w:rPr>
          <w:rFonts w:ascii="Times New Roman" w:hAnsi="Times New Roman"/>
          <w:color w:val="000000"/>
          <w:sz w:val="20"/>
        </w:rPr>
        <w:t>) with Kreos Capital VII (UK) Limited (the “</w:t>
      </w:r>
      <w:r>
        <w:rPr>
          <w:rFonts w:ascii="Times New Roman" w:hAnsi="Times New Roman"/>
          <w:i/>
          <w:color w:val="000000"/>
          <w:sz w:val="20"/>
        </w:rPr>
        <w:t>Lender”</w:t>
      </w:r>
      <w:r>
        <w:rPr>
          <w:rFonts w:ascii="Times New Roman" w:hAnsi="Times New Roman"/>
          <w:color w:val="000000"/>
          <w:sz w:val="20"/>
        </w:rPr>
        <w:t xml:space="preserve">), which are funds and accounts managed by Blackrock, Inc. The Amended Loan Agreement replaces the prior loan agreement between the Company and the Lender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60"/>
        <w:jc w:val="both"/>
        <w:rPr>
          <w:rFonts w:ascii="Times New Roman" w:hAnsi="Times New Roman"/>
          <w:sz w:val="20"/>
        </w:rPr>
      </w:pPr>
      <w:r>
        <w:rPr>
          <w:rFonts w:ascii="Times New Roman" w:hAnsi="Times New Roman"/>
          <w:color w:val="000000"/>
          <w:sz w:val="20"/>
        </w:rPr>
        <w:t>dated May 29, 2024, with an upsized structure to provide the EUR equivalent of up to CHF 75.0 million in borrowing capacity (which may be increased to up to CHF 100.0 million) (the “</w:t>
      </w:r>
      <w:r>
        <w:rPr>
          <w:rFonts w:ascii="Times New Roman" w:hAnsi="Times New Roman"/>
          <w:i/>
          <w:color w:val="000000"/>
          <w:sz w:val="20"/>
        </w:rPr>
        <w:t>Loan”</w:t>
      </w:r>
      <w:r>
        <w:rPr>
          <w:rFonts w:ascii="Times New Roman" w:hAnsi="Times New Roman"/>
          <w:color w:val="000000"/>
          <w:sz w:val="20"/>
        </w:rPr>
        <w:t xml:space="preserve">), comprising tranches 1, 2 and 3, in the amounts of the EUR equivalents of CHF 25.0 million each, as well as an additional loan of the EUR equivalent of up to CHF 25.0 million, which may be made available by the Lender to the Company if mutually agreed in writing by the Lender and the Company. No amounts were drawn under the Amended Loan Agreement during the year ended December 31, 2025. Pursuant to the Amended Loan Agreement, the Company is subject to a non-utilization fee of 0.75% per annum of any undrawn amount under tranches 1 and 2. Additionally, to the extent Loan 1 has not been drawn prior to its expiry date, an additional one-time fee of the EUR equivalent of CHF 2.6 million shall be payable, subject to certain conditions. </w:t>
      </w:r>
    </w:p>
    <w:p>
      <w:pPr>
        <w:pStyle w:val="TextBody"/>
        <w:bidi w:val="0"/>
        <w:spacing w:before="20" w:after="283"/>
        <w:jc w:val="both"/>
        <w:rPr>
          <w:rFonts w:ascii="Times New Roman" w:hAnsi="Times New Roman"/>
          <w:sz w:val="20"/>
        </w:rPr>
      </w:pPr>
      <w:r>
        <w:rPr>
          <w:rFonts w:ascii="Times New Roman" w:hAnsi="Times New Roman"/>
          <w:color w:val="000000"/>
          <w:sz w:val="20"/>
        </w:rPr>
        <w:t>As additional consideration for the Loan, Kreos Capital VII Aggregator SCSp, an affiliate of the Lender (the “</w:t>
      </w:r>
      <w:r>
        <w:rPr>
          <w:rFonts w:ascii="Times New Roman" w:hAnsi="Times New Roman"/>
          <w:i/>
          <w:color w:val="000000"/>
          <w:sz w:val="20"/>
        </w:rPr>
        <w:t>Holder”</w:t>
      </w:r>
      <w:r>
        <w:rPr>
          <w:rFonts w:ascii="Times New Roman" w:hAnsi="Times New Roman"/>
          <w:color w:val="000000"/>
          <w:sz w:val="20"/>
        </w:rPr>
        <w:t>) and the Company entered into an amended warrant (the “</w:t>
      </w:r>
      <w:r>
        <w:rPr>
          <w:rFonts w:ascii="Times New Roman" w:hAnsi="Times New Roman"/>
          <w:i/>
          <w:color w:val="000000"/>
          <w:sz w:val="20"/>
        </w:rPr>
        <w:t>Amended Blackrock Warrant”</w:t>
      </w:r>
      <w:r>
        <w:rPr>
          <w:rFonts w:ascii="Times New Roman" w:hAnsi="Times New Roman"/>
          <w:color w:val="000000"/>
          <w:sz w:val="20"/>
        </w:rPr>
        <w:t>)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 The Blackrock Warrant had not been exercised in part or in full as of December 31,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May 8, 2024, the Company entered into a sales agreement with Leerink Partners, LLC (“</w:t>
      </w:r>
      <w:r>
        <w:rPr>
          <w:rFonts w:ascii="Times New Roman" w:hAnsi="Times New Roman"/>
          <w:i/>
          <w:color w:val="000000"/>
          <w:sz w:val="20"/>
        </w:rPr>
        <w:t>Leerink Partners</w:t>
      </w:r>
      <w:r>
        <w:rPr>
          <w:rFonts w:ascii="Times New Roman" w:hAnsi="Times New Roman"/>
          <w:color w:val="000000"/>
          <w:sz w:val="20"/>
        </w:rPr>
        <w:t>”) with respect to an at-the-market offering program (the “</w:t>
      </w:r>
      <w:r>
        <w:rPr>
          <w:rFonts w:ascii="Times New Roman" w:hAnsi="Times New Roman"/>
          <w:i/>
          <w:color w:val="000000"/>
          <w:sz w:val="20"/>
        </w:rPr>
        <w:t>ATM Offering Program</w:t>
      </w:r>
      <w:r>
        <w:rPr>
          <w:rFonts w:ascii="Times New Roman" w:hAnsi="Times New Roman"/>
          <w:color w:val="000000"/>
          <w:sz w:val="20"/>
        </w:rPr>
        <w:t xml:space="preserve">”) under which the Company may offer and sell, from time to time at its sole discretion, ordinary shares of the Company having an aggregate offering price of up to $100.0 million (CHF 79.3 million) through Leerink Partners as its sales agent. Any such sales, made through the sales agent, can be made by any method that is deemed an “at-the-market offering” as defined in Rule 415 promulgated under the Securities Act of 1933, as amended, or in other transactions pursuant to an effective shelf registration statement on Form F-3. The Company agreed to pay Leerink Partners a commission of up to 3.0% of the gross proceeds of any sales of ordinary shares sold pursuant to the sales agreement. Following the execution of the agreement, the Company issued 1,000,000 ordinary shares during the year ended December 31, 2024 and 2,500,000 ordinary shares during the year ended December 31, 2025 out of its existing capital band, each with a nominal value of CHF 0.01 to be held as treasury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29, 2025, in conjunction with the November 2025 Underwritten Offering, the Company suspended the ATM Offering Program. The sales agreement with Leerink Partners remains in full force and effect. As of October 29, 2025, we had not sold any ordinary shares under the ATM Offering Program. Of the ordinary shares held as treasury shares, 2,796,297 were issued in connection with the November 2025 Offerings discussed below.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Registered Direct Offering and Nasdaq Iceland Main Market Listing</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its ordinary shares, nominal value CHF 0.01 per share, at a purchase price of CHF 10.70 or $11.75 per share to investors (the “</w:t>
      </w:r>
      <w:r>
        <w:rPr>
          <w:rFonts w:ascii="Times New Roman" w:hAnsi="Times New Roman"/>
          <w:i/>
          <w:color w:val="000000"/>
          <w:sz w:val="20"/>
        </w:rPr>
        <w:t>Registered Direct Offering</w:t>
      </w:r>
      <w:r>
        <w:rPr>
          <w:rFonts w:ascii="Times New Roman" w:hAnsi="Times New Roman"/>
          <w:color w:val="000000"/>
          <w:sz w:val="20"/>
        </w:rPr>
        <w:t xml:space="preserve">”), and commenced trading of its ordinary shares on the Nasdaq Iceland Main Market under the ticker symbol “OCS” on April 23, 2024.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Business Combination with European Biotech Acquisition Corp (</w:t>
      </w:r>
      <w:r>
        <w:rPr>
          <w:rFonts w:ascii="Times New Roman" w:hAnsi="Times New Roman"/>
          <w:color w:val="000000"/>
          <w:sz w:val="20"/>
        </w:rPr>
        <w:t>“</w:t>
      </w:r>
      <w:r>
        <w:rPr>
          <w:rFonts w:ascii="Times New Roman" w:hAnsi="Times New Roman"/>
          <w:b/>
          <w:i/>
          <w:color w:val="000000"/>
          <w:sz w:val="20"/>
        </w:rPr>
        <w:t>EBAC”</w:t>
      </w:r>
      <w:r>
        <w:rPr>
          <w:rFonts w:ascii="Times New Roman" w:hAnsi="Times New Roman"/>
          <w:b/>
          <w:color w:val="000000"/>
          <w:sz w:val="20"/>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On March 2, 2023, the Company consummated a business combination with EBAC (the “</w:t>
      </w:r>
      <w:r>
        <w:rPr>
          <w:rFonts w:ascii="Times New Roman" w:hAnsi="Times New Roman"/>
          <w:i/>
          <w:color w:val="000000"/>
          <w:sz w:val="20"/>
        </w:rPr>
        <w:t>Business Combination</w:t>
      </w:r>
      <w:r>
        <w:rPr>
          <w:rFonts w:ascii="Times New Roman" w:hAnsi="Times New Roman"/>
          <w:color w:val="000000"/>
          <w:sz w:val="20"/>
        </w:rPr>
        <w:t>”) pursuant to the Business Combination Agreement (“</w:t>
      </w:r>
      <w:r>
        <w:rPr>
          <w:rFonts w:ascii="Times New Roman" w:hAnsi="Times New Roman"/>
          <w:i/>
          <w:color w:val="000000"/>
          <w:sz w:val="20"/>
        </w:rPr>
        <w:t>BCA”</w:t>
      </w:r>
      <w:r>
        <w:rPr>
          <w:rFonts w:ascii="Times New Roman" w:hAnsi="Times New Roman"/>
          <w:color w:val="000000"/>
          <w:sz w:val="20"/>
        </w:rPr>
        <w:t>) between Oculis SA (“</w:t>
      </w:r>
      <w:r>
        <w:rPr>
          <w:rFonts w:ascii="Times New Roman" w:hAnsi="Times New Roman"/>
          <w:i/>
          <w:color w:val="000000"/>
          <w:sz w:val="20"/>
        </w:rPr>
        <w:t>Legacy Oculis</w:t>
      </w:r>
      <w:r>
        <w:rPr>
          <w:rFonts w:ascii="Times New Roman" w:hAnsi="Times New Roman"/>
          <w:color w:val="000000"/>
          <w:sz w:val="20"/>
        </w:rPr>
        <w:t>”) and EBAC dated as of October 17, 2022. The Company received gross proceeds of CHF 97.6 million or $103.7 million comprising CHF 12.0 million or $12.8 million of cash held in EBAC’s trust account and CHF 85.6 million or $90.9 million from private placement (“</w:t>
      </w:r>
      <w:r>
        <w:rPr>
          <w:rFonts w:ascii="Times New Roman" w:hAnsi="Times New Roman"/>
          <w:i/>
          <w:color w:val="000000"/>
          <w:sz w:val="20"/>
        </w:rPr>
        <w:t>PIPE</w:t>
      </w:r>
      <w:r>
        <w:rPr>
          <w:rFonts w:ascii="Times New Roman" w:hAnsi="Times New Roman"/>
          <w:color w:val="000000"/>
          <w:sz w:val="20"/>
        </w:rPr>
        <w:t>”) investments and conversion of notes issued under Convertible Loan Agreements (“</w:t>
      </w:r>
      <w:r>
        <w:rPr>
          <w:rFonts w:ascii="Times New Roman" w:hAnsi="Times New Roman"/>
          <w:i/>
          <w:color w:val="000000"/>
          <w:sz w:val="20"/>
        </w:rPr>
        <w:t>CLA</w:t>
      </w:r>
      <w:r>
        <w:rPr>
          <w:rFonts w:ascii="Times New Roman" w:hAnsi="Times New Roman"/>
          <w:color w:val="000000"/>
          <w:sz w:val="20"/>
        </w:rPr>
        <w:t xml:space="preserve">”) into Oculis' ordinary shares. In connection with the Business Combination, Oculis was listed on the Nasdaq Global Market with the ticker symbol “OCS” for its ordinary shares and “OCSAW” for its public warrants.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BASIS OF PREPARATION AND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preparation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statutory Financial Statements of Oculis, with registered office in Zug, Switzerland, were prepared according to the principles of the Swiss Law on Accounting and Financial Reporting (32nd title of the Swiss Code of Obligations). Where not prescribed by law, the significant accounting and valuation principles applied are described below.</w:t>
      </w:r>
    </w:p>
    <w:p>
      <w:pPr>
        <w:pStyle w:val="TextBody"/>
        <w:bidi w:val="0"/>
        <w:spacing w:before="200" w:after="283"/>
        <w:jc w:val="both"/>
        <w:rPr>
          <w:rFonts w:ascii="Times New Roman" w:hAnsi="Times New Roman"/>
          <w:sz w:val="20"/>
        </w:rPr>
      </w:pPr>
      <w:r>
        <w:rPr>
          <w:rFonts w:ascii="Times New Roman" w:hAnsi="Times New Roman"/>
          <w:color w:val="000000"/>
          <w:sz w:val="20"/>
        </w:rPr>
        <w:t>Oculis is presenting its Consolidated Financial Statements according to IFRS (“</w:t>
      </w:r>
      <w:r>
        <w:rPr>
          <w:rFonts w:ascii="Times New Roman" w:hAnsi="Times New Roman"/>
          <w:i/>
          <w:color w:val="000000"/>
          <w:sz w:val="20"/>
        </w:rPr>
        <w:t>IFRS Accounting Standards”</w:t>
      </w:r>
      <w:r>
        <w:rPr>
          <w:rFonts w:ascii="Times New Roman" w:hAnsi="Times New Roman"/>
          <w:color w:val="000000"/>
          <w:sz w:val="20"/>
        </w:rPr>
        <w:t xml:space="preserve">). As a result, Oculis has applied the exemption included in art. 961d of the Swiss Code of Obligations and has not included additional disclosures and a cash flow statement in its Statutory Financial Statements.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Oculis accounts are prepared on a going concern basis. To date, the Group has financed its cash requirements primarily from share issuances, as well as government research and development grants. The recent Registered Direct Offering and listing on the NASDAQ Iceland Main Market in April 2024, as well as the February and November 2025 follow-on offerings discussed in Note 2 raised funding to secure business continuity. The Board of Directors believes that cash, cash equivalents and short-term investments as of December 31, 2025, will be sufficient to fund the Group’s operations and capital expenditure requirements for at least the next 12 months.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and cash equivalents are valued at nominal value.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Investments are initially recognized at cost, assessed annually for impairment triggers, and adjusted to their recoverable amount as needed.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Loans to group subsidiaries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Short and long term loans to Oculis Group subsidiaries are valued at nominal value under consideration of any impairment if needed.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Foreign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books are expressed in Swiss Francs (CHF). During the year, transactions denominated in foreign currencies are converted into Swiss Francs at the rate in effect at the transaction date. At year-end, assets and liabilities denominated in foreign currencies are converted into Swiss Francs using the year-end exchange rates. Realized and unrealized exchange gains and losses are recorded net as financial income or financial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Liabilities related to warrants are recorded at nominal value. Given warrants have no nominal or intrinsic value, these are not recognized in the statutory Financial Statements. The exercise of warrants by their holders does not lead to any cash outflows from the Company.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Earnout consideration</w:t>
      </w:r>
    </w:p>
    <w:p>
      <w:pPr>
        <w:pStyle w:val="TextBody"/>
        <w:bidi w:val="0"/>
        <w:jc w:val="both"/>
        <w:rPr>
          <w:rFonts w:ascii="Times New Roman" w:hAnsi="Times New Roman"/>
          <w:sz w:val="20"/>
        </w:rPr>
      </w:pPr>
      <w:r>
        <w:rPr>
          <w:rFonts w:ascii="Times New Roman" w:hAnsi="Times New Roman"/>
          <w:color w:val="000000"/>
          <w:sz w:val="20"/>
        </w:rPr>
        <w:t>In accordance with the BCA (note 2), Legacy Oculis preferred, ordinary and option holders (collectively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post-acquisition volume weighted average share price targets (“</w:t>
      </w:r>
      <w:r>
        <w:rPr>
          <w:rFonts w:ascii="Times New Roman" w:hAnsi="Times New Roman"/>
          <w:i/>
          <w:color w:val="000000"/>
          <w:sz w:val="20"/>
        </w:rPr>
        <w:t>VWAP</w:t>
      </w:r>
      <w:r>
        <w:rPr>
          <w:rFonts w:ascii="Times New Roman" w:hAnsi="Times New Roman"/>
          <w:color w:val="000000"/>
          <w:sz w:val="20"/>
        </w:rPr>
        <w:t xml:space="preserve">”) of Oculis of CHF 11.89 or $15.00, CHF 15.86 or $20.00 and CHF 19.82 or $25.00, respectively, in each case, for any 20 trading days within any consecutive 30 trading day period commencing after the acquisition closing date and ending on or prior to March 2, 2028. A given share price target described above will also be deemed to be achieved if there is a change of control transaction, as defined in the BCA.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earnout shares have been registered in the Registry of Commerce of the Canton of Zug and are included in the number of outstanding shares as of December 31, 2025. The earnout shares are recorded at nominal value. Upon meeting the criteria, Oculis would not further increase its reserve from capital contribution. The price targets of $15.00 or CHF 11.89,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$20.00 or CHF 15.86 and $25.00 or CHF 19.82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INCOME AND EXPENSES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 OTHER OPERATING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year ended December 31, 2025, the Company recorded CHF 20.5 million of other operating expenses, as compared to CHF 11.3 million for the year ended December 31, 2024. The increase is primarily related to professional fees incurred related to the February 2025 and November 2025 Offerings.</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FINANCIAL INCOME AND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Foreign exchange gain / (losses) reported into financial income and expenses are presented net per currency.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0"/>
        <w:gridCol w:w="146"/>
        <w:gridCol w:w="261"/>
        <w:gridCol w:w="1020"/>
        <w:gridCol w:w="260"/>
        <w:gridCol w:w="260"/>
        <w:gridCol w:w="260"/>
        <w:gridCol w:w="1315"/>
        <w:gridCol w:w="166"/>
        <w:gridCol w:w="146"/>
        <w:gridCol w:w="321"/>
        <w:gridCol w:w="1255"/>
        <w:gridCol w:w="320"/>
        <w:gridCol w:w="320"/>
        <w:gridCol w:w="327"/>
        <w:gridCol w:w="832"/>
        <w:gridCol w:w="216"/>
      </w:tblGrid>
      <w:tr>
        <w:trPr/>
        <w:tc>
          <w:tcPr>
            <w:tcW w:w="2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gain /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7,584</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6,113</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2025 and 2024, the Company had approximately CHF 7.4 million and CHF 4.0 million, respectively, of interest income from the intercompany loan, as described in Notes 6 and 7. For the year ended December 31, 2025, the foreign currency exchange loss of CHF 19.0 million is primarily related to overall weakening of the U.S. dollar against the Swiss Franc on intra-group loans denominated in U.S. dollars.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LOAN TO GROUP SUBSIDIARIES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intra-group loan between Oculis and its subsidiary Oculis Operations:</w:t>
      </w:r>
    </w:p>
    <w:p>
      <w:pPr>
        <w:pStyle w:val="TextBody"/>
        <w:bidi w:val="0"/>
        <w:jc w:val="left"/>
        <w:rPr/>
      </w:pPr>
      <w:r>
        <w:rPr/>
        <w:t> </w:t>
      </w:r>
    </w:p>
    <w:tbl>
      <w:tblPr>
        <w:tblW w:w="9269" w:type="dxa"/>
        <w:jc w:val="left"/>
        <w:tblInd w:w="0" w:type="dxa"/>
        <w:tblLayout w:type="fixed"/>
        <w:tblCellMar>
          <w:top w:w="28" w:type="dxa"/>
          <w:left w:w="28" w:type="dxa"/>
          <w:bottom w:w="28" w:type="dxa"/>
          <w:right w:w="28" w:type="dxa"/>
        </w:tblCellMar>
      </w:tblPr>
      <w:tblGrid>
        <w:gridCol w:w="2206"/>
        <w:gridCol w:w="146"/>
        <w:gridCol w:w="1021"/>
        <w:gridCol w:w="146"/>
        <w:gridCol w:w="1276"/>
        <w:gridCol w:w="146"/>
        <w:gridCol w:w="146"/>
        <w:gridCol w:w="691"/>
        <w:gridCol w:w="146"/>
        <w:gridCol w:w="146"/>
        <w:gridCol w:w="146"/>
        <w:gridCol w:w="511"/>
        <w:gridCol w:w="146"/>
        <w:gridCol w:w="146"/>
        <w:gridCol w:w="146"/>
        <w:gridCol w:w="691"/>
        <w:gridCol w:w="146"/>
        <w:gridCol w:w="146"/>
        <w:gridCol w:w="162"/>
        <w:gridCol w:w="768"/>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Original Borrower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Repayment</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EUR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CHF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loans were made to support the Group's clinical and business development activities and bear interest using the rate published by the Swiss federal Tax Administration for CHF, USD and Euro denominated loans to shareholders and intercompany entities.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OTHER RECEIVABLES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other current receivables of CHF 10.7 million, compared to CHF 2.9 million as of December 31, 2024. The increase is primarily related to higher loan interest on both USD and CHF loans due to higher loan balances, refer to Note 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December 31, 2024, the Company had recognized accrued income from the intercompany loan interest (as described in Note 5). The interest had not been billed to the Oculis Operations subsidiary as it related to the CHF 146.0 million subordinated portion of the intercompany loan at December 31, 2024, as per the subordination agreement then in effect signed between both entities. </w:t>
      </w:r>
      <w:r>
        <w:rPr>
          <w:rFonts w:ascii="Times New Roman" w:hAnsi="Times New Roman"/>
          <w:color w:val="2B333D"/>
          <w:sz w:val="20"/>
        </w:rPr>
        <w:t>As of December 31, 2025 no subordination was in effect, and accordingly no interest income was accrued on the intercompany loan.</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60" w:type="dxa"/>
        <w:jc w:val="left"/>
        <w:tblInd w:w="0" w:type="dxa"/>
        <w:tblLayout w:type="fixed"/>
        <w:tblCellMar>
          <w:top w:w="28" w:type="dxa"/>
          <w:left w:w="28" w:type="dxa"/>
          <w:bottom w:w="28" w:type="dxa"/>
          <w:right w:w="28" w:type="dxa"/>
        </w:tblCellMar>
      </w:tblPr>
      <w:tblGrid>
        <w:gridCol w:w="2851"/>
        <w:gridCol w:w="146"/>
        <w:gridCol w:w="649"/>
        <w:gridCol w:w="1541"/>
        <w:gridCol w:w="146"/>
        <w:gridCol w:w="146"/>
        <w:gridCol w:w="485"/>
        <w:gridCol w:w="1705"/>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on intercompany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2025, the Company had seven direct and indirect subsidiaries. As of December 31, 2024, the Company had five direct and indirect subsidiaries as Neurocol IP Sàrl and Neurocol Operations Sàrl were incorporated in December 2025. The following table describes the principal subsidiaries, the countries of incorporation and the percentage of ownership and voting interest held by the Company.</w:t>
      </w:r>
    </w:p>
    <w:p>
      <w:pPr>
        <w:pStyle w:val="TextBody"/>
        <w:bidi w:val="0"/>
        <w:jc w:val="left"/>
        <w:rPr/>
      </w:pPr>
      <w:r>
        <w:rPr/>
        <w:t> </w:t>
      </w:r>
    </w:p>
    <w:tbl>
      <w:tblPr>
        <w:tblW w:w="9709" w:type="dxa"/>
        <w:jc w:val="left"/>
        <w:tblInd w:w="0" w:type="dxa"/>
        <w:tblLayout w:type="fixed"/>
        <w:tblCellMar>
          <w:top w:w="28" w:type="dxa"/>
          <w:left w:w="28" w:type="dxa"/>
          <w:bottom w:w="28" w:type="dxa"/>
          <w:right w:w="28" w:type="dxa"/>
        </w:tblCellMar>
      </w:tblPr>
      <w:tblGrid>
        <w:gridCol w:w="1936"/>
        <w:gridCol w:w="146"/>
        <w:gridCol w:w="961"/>
        <w:gridCol w:w="146"/>
        <w:gridCol w:w="1741"/>
        <w:gridCol w:w="146"/>
        <w:gridCol w:w="1201"/>
        <w:gridCol w:w="146"/>
        <w:gridCol w:w="328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Domicile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capital and vote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Direct/indirect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Main activities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ehf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Iceland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France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US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and clinical development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Oculis HK,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and clinical development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Neurocol IP Sàrl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Holding of intellectual property rights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Neurocol Operations Sàrl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Indirect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business and clinical development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SHARE CAPITAL AND TREASURY SHARES</w:t>
      </w:r>
    </w:p>
    <w:p>
      <w:pPr>
        <w:pStyle w:val="TextBody"/>
        <w:bidi w:val="0"/>
        <w:spacing w:before="200" w:after="283"/>
        <w:jc w:val="left"/>
        <w:rPr>
          <w:rFonts w:ascii="Times New Roman" w:hAnsi="Times New Roman"/>
          <w:i/>
          <w:color w:val="000000"/>
          <w:sz w:val="20"/>
          <w:u w:val="single"/>
        </w:rPr>
      </w:pPr>
      <w:r>
        <w:rPr>
          <w:rFonts w:ascii="Times New Roman" w:hAnsi="Times New Roman"/>
          <w:i/>
          <w:color w:val="000000"/>
          <w:sz w:val="20"/>
          <w:u w:val="single"/>
        </w:rPr>
        <w:t>Share capital and treasury shares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had a share capital of CHF 0.6 million. The Company's share capital consists of 59,636,690 shares with a nominal value of CHF 0.01.</w:t>
      </w:r>
    </w:p>
    <w:tbl>
      <w:tblPr>
        <w:tblW w:w="10205" w:type="dxa"/>
        <w:jc w:val="left"/>
        <w:tblInd w:w="0" w:type="dxa"/>
        <w:tblLayout w:type="fixed"/>
        <w:tblCellMar>
          <w:top w:w="28" w:type="dxa"/>
          <w:left w:w="28" w:type="dxa"/>
          <w:bottom w:w="28" w:type="dxa"/>
          <w:right w:w="28" w:type="dxa"/>
        </w:tblCellMar>
      </w:tblPr>
      <w:tblGrid>
        <w:gridCol w:w="3663"/>
        <w:gridCol w:w="146"/>
        <w:gridCol w:w="146"/>
        <w:gridCol w:w="916"/>
        <w:gridCol w:w="146"/>
        <w:gridCol w:w="146"/>
        <w:gridCol w:w="303"/>
        <w:gridCol w:w="782"/>
        <w:gridCol w:w="146"/>
        <w:gridCol w:w="146"/>
        <w:gridCol w:w="192"/>
        <w:gridCol w:w="1169"/>
        <w:gridCol w:w="166"/>
        <w:gridCol w:w="146"/>
        <w:gridCol w:w="525"/>
        <w:gridCol w:w="1252"/>
        <w:gridCol w:w="215"/>
      </w:tblGrid>
      <w:tr>
        <w:trPr/>
        <w:tc>
          <w:tcPr>
            <w:tcW w:w="3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Treasury share capital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40,443,700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to treasury under the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vesting of Restricted Shares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47,033,674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Registered Direct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7,635,801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to treasury under the ATM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vesting of Restricted Shares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for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59,636,690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(703,703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the Company closed an underwritten follow-on offering of 5,000,000 ordinary shares, CHF 0.01 nominal value per share, at a price of $20.00 (CHF 18.05) per share, for total gross proceeds of $100.0 million (CHF 90.2 million). New shares were issued out of the Company’s existing capital band.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November 2025 Offerings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3, 2025, the Company closed offerings of an aggregate of 5,432,098 ordinary shares, CHF 0.01 nominal value per share, at a price of $20.25 (CHF 16.33) per share for total gross proceeds of $110.0 million (CHF 88.7 million),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before deducting underwriting discounts and commissions and offering expenses. The Company issued 2,635,801 shares out of the Company’s existing capital band and transferred to offering participants 2,796,297 shares previously held in treasury by the Company.</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Registered Direct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22, 2024, the Company closed its Registered Direct Offering with gross proceeds of CHF 53.5 million or $58.8 million through the issuance and sale of 5,000,000 of our ordinary shares, at a purchase price of CHF 10.70 or $11.75 per share to investors. This capital increase was made using the capital band.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ATM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May 8, 2024, the Company entered into the ATM Program under which the Company may offer and sell, from time to time at its sole discretion, ordinary shares of the Company having an aggregate offering price of up to $100.0 million (CHF 79.3 million) through Leerink Partners as its sales agent. Following the execution of the agreement, the Company issued 1,000,000 ordinary shares out of its existing capital band, each with a nominal value of CHF 0.01 to be held as treasury shares. On October 29, 2025, in conjunction with the November 2025 Offerings, the Company suspended the ATM Offering Program. The sales agreement with Leerink Partners remains in full force and effect.</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Earnout shares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the BCA, Legacy Oculis “equity holders” received consideration in the form of 3,793,995 earnout shares and 369,737 earnout options with an exercise price of CHF 0.01. The price targets of $15.00 or CHF 11.89, $20.00 or CHF 15.86 and $25.00 or CHF 19.82 were met in November 2024, February 2025 and February 2026, respectively, resulting in an aggregate of 2,845,446 earnout shares vested and 159,453 earnout options outstanding and exercisable as of December 31, 2025, and an additional 948,549 earnout shares vested and 55,487 earnout options becoming exercisable in February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Reserves from capital contribution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reserves from capital contribution amounted to CHF 492.5 million. Of this amount, CHF 255.3 million has not yet been confirmed by the Swiss Federal Tax administration for purposes of recognition as reserves from capital contributions in accordance with art. 20 para. 3 of the Federal Act on Direct Federal Taxation.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Capital band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December 31, 2025, the Company has a capital band between CHF 545,336.74 (lower limit) and CHF 818,005.11 (upper limit). The Company may effect an increase of the Company’s share capital in a maximum amount of CHF 272,668.37 by issuing up to 27,266,837 ordinary shares with a par value of CHF 0.01 each out of the Company’s capital band, of which 2,635,801 ordinary shares with a par value of CHF 0.01 each have been used in the November 2025 Offerings. The Board of Directors is authorized to increase the share capital up to the upper limit or decrease the share capital up to the lower limit at any time and as often as required until June 4, 2030.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Conditional share capital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conditional capital at December 31, 2025 amounts to a maximum of CHF 235,752.08 split into 23,575,208 ordinary shares, in connection with the potential future issuances of:</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for new bonds and similar debt instruments</w:t>
      </w:r>
      <w:r>
        <w:rPr>
          <w:rFonts w:ascii="Times New Roman" w:hAnsi="Times New Roman"/>
          <w:i/>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67,500.00 through the issuance of a maximum of 6,750,000 fully paid up registered shares, each with a par value of CHF 0.01 (ordinary shares), in connection with the exercise of convertible rights and/or option rights or warrants, new bonds and similar debt instruments.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in connection with employee benefit plans</w:t>
      </w:r>
      <w:r>
        <w:rPr>
          <w:rFonts w:ascii="Times New Roman" w:hAnsi="Times New Roman"/>
          <w:i/>
          <w:color w:val="000000"/>
          <w:sz w:val="20"/>
        </w:rPr>
        <w: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124,800.00 through the issuance of a maximum of 12,480,000 fully paid up registered shares, each with a par value of CHF 0.01 (ordinary shares), in connection with the exercise of option rights or other equity-linked instruments granted to any employee, consultant or member of the Board of Directors of the Group.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2025, 363,093 stock options have been exercised and 174,655 RSUs vested resulting in the associated ordinary shares issued using the conditional share capital for employee benefit plans. These shares have not been registered yet in the commercial register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Conditional share capital for BCA public and private warrants</w:t>
      </w:r>
      <w:r>
        <w:rPr>
          <w:rFonts w:ascii="Times New Roman" w:hAnsi="Times New Roman"/>
          <w:i/>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39,751.05 through the issuance of a maximum of 3,975,105 fully paid up registered shares, each with a par value of CHF 0.01 (ordinary shares), in connection with the exercise of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2025, 1,929,467 warrants were exercised and the associated ordinary shares have been issued using the conditional share capital for BCA public and private warrants. These shares have not been registered yet in the commercial register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 xml:space="preserve">Conditional share capital for earnout options: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CHF 3,701.03 through the issuance of a maximum of 370,103 fully paid up registered shares, each with a par value of CHF 0.01 (ordinary shares), in connection with the exercise of option rights or other equity-linked instruments granted to any employee, consultant or member of the Board of Directors of the Group. As of December 31, 2025, 159,453 earnout options were exercisable.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Treasury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ATM Offering Program, the Company issued a total of 1,000,000 ordinary shares during the year ended December 31, 2024 and 2,500,000 ordinary shares during the year ended December 31, 2025, each with a nominal value of CHF 0.01 to be held as treasury shares. There were no sales under the ATM Offering Program during the year ended December 31, 2025. In connection with the November 2025 Offerings, the Company transferred to offering participants 2,796,297 of the shares previously issued and held in treasury by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DECLARATION OF FULL TIME EQUIVALENT EMPLOYEES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had three employees during the year ended December 31, 2025 and no employees during the year ended December 31, 2024.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WARRANTS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Public and Private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BCA and the Warrant Assignment and Assumption Agreement executed in connection with the BCA, described in Note 2, the Company has assumed 4,251,595 BCA public warrants and 151,699 BCA private warrants from EBAC, and issued 4,403,294 warrants as of March 2, 2023 with substantially the same terms. Each warrant entitles the registered holder to purchase one ordinary share at a price of CHF 9.55 or $11.50 per share, subject to certain adjustments, exercisable at any time commencing 30 days after the acquisition closing date, provided that the Company has an effective registration statement under the Securities Act covering the issuance of the ordinary shares issuable upon exercise of the warrants. This registration statement was filed with the SEC and declared effective on May 1, 2023. The warrants will expire on March 2, 2028.</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Blackrock Warrants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additional consideration for the Loan, Kreos Capital VII Aggregator SCSp, an affiliate of Kreos Capital VII (UK) Limited, which are funds and accounts managed by Blackrock, Inc. and the Company entered into an amended warrant to purchase up to 494,259 of the Company’s ordinary shares, subject to vesting, at a price per ordinary share equal to $12.17 (CHF 9.65) with respect to 361,011 shares from the prior warrant agreement, and $18.64 (CHF 14.78) with respect to the remaining 133,248 shares reflecting the upsized facility, subject to adjustment. The Amended Blackrock Warrant amends the prior warrant issued to Holder on May 29, 2024. As of the signing date, the Amended Blackrock Warrant is exercisable for 59,310 ordinary shares, of which 43,321 shares were previously granted. Following the drawdown of each of Loans 1, 2 and 3, the Amended Blackrock Warrant will become exercisable for additional amounts of ordinary shares ratably based on the amounts of Loans 1, 2 and 3 that are drawn. Each tranche of the Amended Blackrock Warrant in connection with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Loans 1, 2 and 3, will be exercisable for a period of up to seven years from the date of vesting and the Amended Blackrock Warrant will terminate at the earliest of (i) December 31, 2033, (ii) such earlier date on which the Amended Blackrock Warrant is no longer exercisable for any warrant shares in accordance with its terms and (iii) the acceptance by the shareholders of the Company of a third-party bona fide offer for all outstanding shares of the Company (subject to any prior exercise by the Holder, if applicable). The Amended Blackrock Warrant had not been exercised in part or in full as of December 31,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movement of the number of outstanding warrants is illustrated below:</w:t>
      </w:r>
    </w:p>
    <w:p>
      <w:pPr>
        <w:pStyle w:val="TextBody"/>
        <w:bidi w:val="0"/>
        <w:jc w:val="left"/>
        <w:rPr/>
      </w:pPr>
      <w:r>
        <w:rPr/>
        <w:t> </w:t>
      </w:r>
    </w:p>
    <w:tbl>
      <w:tblPr>
        <w:tblW w:w="5907" w:type="dxa"/>
        <w:jc w:val="left"/>
        <w:tblInd w:w="0" w:type="dxa"/>
        <w:tblLayout w:type="fixed"/>
        <w:tblCellMar>
          <w:top w:w="28" w:type="dxa"/>
          <w:left w:w="28" w:type="dxa"/>
          <w:bottom w:w="28" w:type="dxa"/>
          <w:right w:w="28" w:type="dxa"/>
        </w:tblCellMar>
      </w:tblPr>
      <w:tblGrid>
        <w:gridCol w:w="1021"/>
        <w:gridCol w:w="926"/>
        <w:gridCol w:w="933"/>
        <w:gridCol w:w="146"/>
        <w:gridCol w:w="376"/>
        <w:gridCol w:w="2294"/>
        <w:gridCol w:w="211"/>
      </w:tblGrid>
      <w:tr>
        <w:trPr/>
        <w:tc>
          <w:tcPr>
            <w:tcW w:w="10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outstanding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4,254,096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Blackrock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4,018,384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Blackrock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public and private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(1,929,467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SHARES AND OPTIONS ON SHARES GRANTED TO EXECUTIVE OFFICERS, DIRECTORS AND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on the allocation of shares and equity awards to executive officers, directors and employees in accordance with Article 959c, paragraph 2, number 11 of the Swiss Code of Obligations (CO) during the periods January 1, 2024 through December 31, 2024 and January 1, 2025 through December 31, 2025.</w:t>
      </w:r>
    </w:p>
    <w:p>
      <w:pPr>
        <w:pStyle w:val="TextBody"/>
        <w:bidi w:val="0"/>
        <w:spacing w:before="200" w:after="283"/>
        <w:jc w:val="both"/>
        <w:rPr>
          <w:rFonts w:ascii="Times New Roman" w:hAnsi="Times New Roman"/>
          <w:sz w:val="20"/>
        </w:rPr>
      </w:pPr>
      <w:r>
        <w:rPr>
          <w:rFonts w:ascii="Times New Roman" w:hAnsi="Times New Roman"/>
          <w:color w:val="000000"/>
          <w:sz w:val="20"/>
        </w:rPr>
        <w:t>Shares and earnout shares values are based on the Company's closing share price of USD 19.97 (CHF 15.83) and USD 17.00 (CHF 15.38) as of December 31, 2025 and December 31, 2024, respectively. Options, restricted stock units (“</w:t>
      </w:r>
      <w:r>
        <w:rPr>
          <w:rFonts w:ascii="Times New Roman" w:hAnsi="Times New Roman"/>
          <w:i/>
          <w:color w:val="000000"/>
          <w:sz w:val="20"/>
        </w:rPr>
        <w:t>RSUs</w:t>
      </w:r>
      <w:r>
        <w:rPr>
          <w:rFonts w:ascii="Times New Roman" w:hAnsi="Times New Roman"/>
          <w:color w:val="000000"/>
          <w:sz w:val="20"/>
        </w:rPr>
        <w:t>”), stock appreciation rights (“</w:t>
      </w:r>
      <w:r>
        <w:rPr>
          <w:rFonts w:ascii="Times New Roman" w:hAnsi="Times New Roman"/>
          <w:i/>
          <w:color w:val="000000"/>
          <w:sz w:val="20"/>
        </w:rPr>
        <w:t>SARs</w:t>
      </w:r>
      <w:r>
        <w:rPr>
          <w:rFonts w:ascii="Times New Roman" w:hAnsi="Times New Roman"/>
          <w:color w:val="000000"/>
          <w:sz w:val="20"/>
        </w:rPr>
        <w:t>”) and earnout options are recognized at fair value at grant date. The fair value of the Company's options, SARs and earnout options is determined using the Black-Scholes Model. The fair value of RSUs is equal to the closing share price on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equity award activity for the year ended December 31, 2025:</w:t>
      </w:r>
    </w:p>
    <w:p>
      <w:pPr>
        <w:pStyle w:val="TextBody"/>
        <w:bidi w:val="0"/>
        <w:spacing w:before="200" w:after="283"/>
        <w:jc w:val="left"/>
        <w:rPr/>
      </w:pPr>
      <w:r>
        <w:rPr/>
        <w:t> </w:t>
      </w:r>
    </w:p>
    <w:tbl>
      <w:tblPr>
        <w:tblW w:w="6201" w:type="dxa"/>
        <w:jc w:val="left"/>
        <w:tblInd w:w="0" w:type="dxa"/>
        <w:tblLayout w:type="fixed"/>
        <w:tblCellMar>
          <w:top w:w="28" w:type="dxa"/>
          <w:left w:w="28" w:type="dxa"/>
          <w:bottom w:w="28" w:type="dxa"/>
          <w:right w:w="28" w:type="dxa"/>
        </w:tblCellMar>
      </w:tblPr>
      <w:tblGrid>
        <w:gridCol w:w="1421"/>
        <w:gridCol w:w="795"/>
        <w:gridCol w:w="799"/>
        <w:gridCol w:w="146"/>
        <w:gridCol w:w="146"/>
        <w:gridCol w:w="826"/>
        <w:gridCol w:w="146"/>
        <w:gridCol w:w="146"/>
        <w:gridCol w:w="290"/>
        <w:gridCol w:w="1195"/>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 RSUs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in CHF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consultants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1,941,944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25,429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equity award activity for the year ended December 31, 2024:</w:t>
      </w:r>
    </w:p>
    <w:p>
      <w:pPr>
        <w:pStyle w:val="TextBody"/>
        <w:bidi w:val="0"/>
        <w:spacing w:before="200" w:after="283"/>
        <w:jc w:val="both"/>
        <w:rPr/>
      </w:pPr>
      <w:r>
        <w:rPr/>
        <w:t> </w:t>
      </w:r>
    </w:p>
    <w:tbl>
      <w:tblPr>
        <w:tblW w:w="6347" w:type="dxa"/>
        <w:jc w:val="left"/>
        <w:tblInd w:w="0" w:type="dxa"/>
        <w:tblLayout w:type="fixed"/>
        <w:tblCellMar>
          <w:top w:w="28" w:type="dxa"/>
          <w:left w:w="28" w:type="dxa"/>
          <w:bottom w:w="28" w:type="dxa"/>
          <w:right w:w="28" w:type="dxa"/>
        </w:tblCellMar>
      </w:tblPr>
      <w:tblGrid>
        <w:gridCol w:w="1421"/>
        <w:gridCol w:w="795"/>
        <w:gridCol w:w="799"/>
        <w:gridCol w:w="146"/>
        <w:gridCol w:w="146"/>
        <w:gridCol w:w="826"/>
        <w:gridCol w:w="146"/>
        <w:gridCol w:w="146"/>
        <w:gridCol w:w="290"/>
        <w:gridCol w:w="1195"/>
        <w:gridCol w:w="146"/>
        <w:gridCol w:w="291"/>
      </w:tblGrid>
      <w:tr>
        <w:trPr/>
        <w:tc>
          <w:tcPr>
            <w:tcW w:w="142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in CHF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Issued to consultants of the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2,288,030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CONTINGENT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no contingent liabilities as of December 31, 2025 and 2024.</w:t>
      </w:r>
    </w:p>
    <w:p>
      <w:pPr>
        <w:pStyle w:val="TextBody"/>
        <w:bidi w:val="0"/>
        <w:spacing w:before="20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EVENTS AFTER THE BALANCE SHEET DATE</w:t>
      </w:r>
    </w:p>
    <w:p>
      <w:pPr>
        <w:pStyle w:val="TextBody"/>
        <w:bidi w:val="0"/>
        <w:spacing w:before="180" w:after="283"/>
        <w:jc w:val="both"/>
        <w:rPr>
          <w:rFonts w:ascii="Times New Roman" w:hAnsi="Times New Roman"/>
          <w:color w:val="000000"/>
          <w:sz w:val="20"/>
        </w:rPr>
      </w:pPr>
      <w:bookmarkStart w:id="31" w:name="stat_end_page"/>
      <w:bookmarkEnd w:id="31"/>
      <w:r>
        <w:rPr>
          <w:rFonts w:ascii="Times New Roman" w:hAnsi="Times New Roman"/>
          <w:color w:val="000000"/>
          <w:sz w:val="20"/>
        </w:rPr>
        <w:t>As a result of the BCA, Legacy Oculis equity holders received consideration in the form of 3,793,995 earnout shares and 369,737 earnout options with an exercise price of CHF 0.01. The earnout consideration is subject to forfeiture in the event of a failure to achieve the price targets during the earnout period defined as follows: (i) 1,500,000, (ii) 1,500,000 and (iii) 1,000,000 earned based on the achievement of post acquisition-closing VWAP targets of Oculis of $15.00 or CHF 11.89, $20.00 or CHF 15.86 and $25.00 or CHF 19.82, respectively, in each case, for any 20 trading days within any consecutive 30 trading day period during the earnout period. In February 2026, the third price target of $25.00 or CHF 19.82 was met, resulting in 55,487 earnout options becoming exercisable and the immediate vesting of 948,549 earnout shares.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32" w:name="statfs_appropriationearnings"/>
      <w:bookmarkEnd w:id="32"/>
      <w:r>
        <w:rPr>
          <w:rFonts w:ascii="Times New Roman" w:hAnsi="Times New Roman"/>
          <w:b/>
          <w:color w:val="000000"/>
          <w:sz w:val="22"/>
        </w:rPr>
        <w:t xml:space="preserve">Appropriation of available earnings and reserves of Oculis Holding </w:t>
      </w:r>
      <w:bookmarkStart w:id="33" w:name="end_stat_page"/>
      <w:bookmarkEnd w:id="33"/>
      <w:r>
        <w:rPr>
          <w:rFonts w:ascii="Times New Roman" w:hAnsi="Times New Roman"/>
          <w:b/>
          <w:color w:val="000000"/>
          <w:sz w:val="22"/>
        </w:rPr>
        <w:t>AG</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80"/>
        <w:gridCol w:w="146"/>
        <w:gridCol w:w="347"/>
        <w:gridCol w:w="1753"/>
        <w:gridCol w:w="166"/>
        <w:gridCol w:w="146"/>
        <w:gridCol w:w="371"/>
        <w:gridCol w:w="1783"/>
        <w:gridCol w:w="213"/>
      </w:tblGrid>
      <w:tr>
        <w:trPr/>
        <w:tc>
          <w:tcPr>
            <w:tcW w:w="5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year ended </w:t>
              <w:b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FFFFFF"/>
            </w:tcBorders>
            <w:shd w:fill="FFFFFF" w:val="clear"/>
            <w:tcMar>
              <w:top w:w="0" w:type="dxa"/>
              <w:left w:w="0" w:type="dxa"/>
              <w:bottom w:w="0" w:type="dxa"/>
            </w:tcMar>
            <w:vAlign w:val="center"/>
          </w:tcPr>
          <w:p>
            <w:pPr>
              <w:pStyle w:val="TableContents"/>
              <w:bidi w:val="0"/>
              <w:spacing w:before="0" w:after="283"/>
              <w:jc w:val="left"/>
              <w:rPr/>
            </w:pPr>
            <w:r>
              <w:rPr/>
              <w:t> </w:t>
            </w:r>
          </w:p>
        </w:tc>
        <w:tc>
          <w:tcPr>
            <w:tcW w:w="2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year ended </w:t>
              <w:br/>
              <w:t>December 31,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losses carried 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available to the ordinary general meeting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(46,577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Motion of the Board of Directors on the proposed carry forward of the accumulation of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Motion of the Board of Directors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br/>
              <w:t>Resolution of the general meeting</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losses available to the general meeting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to be carried 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(46,577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2"/>
        <w:bidi w:val="0"/>
        <w:jc w:val="left"/>
        <w:rPr/>
      </w:pPr>
      <w:r>
        <w:rPr/>
        <w:drawing>
          <wp:inline distT="0" distB="0" distL="0" distR="0">
            <wp:extent cx="1476375" cy="400050"/>
            <wp:effectExtent l="0" t="0" r="0" b="0"/>
            <wp:docPr id="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4" descr=""/>
                    <pic:cNvPicPr>
                      <a:picLocks noChangeAspect="1" noChangeArrowheads="1"/>
                    </pic:cNvPicPr>
                  </pic:nvPicPr>
                  <pic:blipFill>
                    <a:blip r:embed="rId38"/>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sz w:val="20"/>
        </w:rPr>
      </w:pPr>
      <w:bookmarkStart w:id="34" w:name="report_of_the_statutory_auditor_to_the2"/>
      <w:bookmarkEnd w:id="34"/>
      <w:r>
        <w:rPr>
          <w:rFonts w:ascii="Times New Roman" w:hAnsi="Times New Roman"/>
          <w:color w:val="000000"/>
          <w:sz w:val="32"/>
        </w:rPr>
        <w:t>Report of the Statutory Auditor to the</w:t>
      </w:r>
      <w:r>
        <w:rPr>
          <w:rFonts w:ascii="Times New Roman" w:hAnsi="Times New Roman"/>
          <w:color w:val="000000"/>
          <w:sz w:val="20"/>
        </w:rPr>
        <w:t xml:space="preserve"> </w:t>
      </w:r>
      <w:r>
        <w:rPr>
          <w:rFonts w:ascii="Times New Roman" w:hAnsi="Times New Roman"/>
          <w:color w:val="000000"/>
          <w:sz w:val="32"/>
        </w:rPr>
        <w:t>General Meeting on the Compensation Report 2025</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rFonts w:ascii="Arial" w:hAnsi="Arial"/>
          <w:b/>
          <w:color w:val="000000"/>
          <w:sz w:val="32"/>
        </w:rPr>
      </w:pPr>
      <w:r>
        <w:rPr>
          <w:rFonts w:ascii="Arial" w:hAnsi="Arial"/>
          <w:b/>
          <w:color w:val="000000"/>
          <w:sz w:val="32"/>
        </w:rPr>
        <w:t>Report of the statutory auditor to the General Meeting of Oculis Holding AG, Zug</w:t>
      </w:r>
    </w:p>
    <w:p>
      <w:pPr>
        <w:pStyle w:val="TextBody"/>
        <w:bidi w:val="0"/>
        <w:spacing w:before="400" w:after="200"/>
        <w:jc w:val="left"/>
        <w:rPr>
          <w:rFonts w:ascii="Arial" w:hAnsi="Arial"/>
          <w:b/>
          <w:color w:val="000000"/>
          <w:sz w:val="20"/>
        </w:rPr>
      </w:pPr>
      <w:r>
        <w:rPr>
          <w:rFonts w:ascii="Arial" w:hAnsi="Arial"/>
          <w:b/>
          <w:color w:val="000000"/>
          <w:sz w:val="20"/>
        </w:rPr>
        <w:t>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have audited the compensation report of Oculis Holding AG (the Company) for the year ended December 31, 2025. The audit was limited to the information pursuant to article 734a-734f of the Swiss Code of Obligations (CO) in the tables 2.c., 3.c., 4 and 5 and the information in sections 2.b. and 4 of the compensation report.</w:t>
      </w:r>
    </w:p>
    <w:p>
      <w:pPr>
        <w:pStyle w:val="TextBody"/>
        <w:bidi w:val="0"/>
        <w:spacing w:before="0" w:after="200"/>
        <w:jc w:val="left"/>
        <w:rPr>
          <w:rFonts w:ascii="Georgia;serif" w:hAnsi="Georgia;serif"/>
          <w:color w:val="000000"/>
          <w:sz w:val="20"/>
        </w:rPr>
      </w:pPr>
      <w:r>
        <w:rPr>
          <w:rFonts w:ascii="Georgia;serif" w:hAnsi="Georgia;serif"/>
          <w:color w:val="000000"/>
          <w:sz w:val="20"/>
        </w:rPr>
        <w:t>In our opinion, the information pursuant to article 734a-734f CO in the compensation report (pages 140-152) complies with Swiss law and the Company’s articles of incorporation.</w:t>
      </w:r>
    </w:p>
    <w:p>
      <w:pPr>
        <w:pStyle w:val="TextBody"/>
        <w:bidi w:val="0"/>
        <w:spacing w:before="200" w:after="200"/>
        <w:jc w:val="left"/>
        <w:rPr>
          <w:rFonts w:ascii="Arial" w:hAnsi="Arial"/>
          <w:b/>
          <w:color w:val="000000"/>
          <w:sz w:val="20"/>
        </w:rPr>
      </w:pPr>
      <w:r>
        <w:rPr>
          <w:rFonts w:ascii="Arial" w:hAnsi="Arial"/>
          <w:b/>
          <w:color w:val="000000"/>
          <w:sz w:val="20"/>
        </w:rPr>
        <w:t>Basis for opinion</w:t>
      </w:r>
    </w:p>
    <w:p>
      <w:pPr>
        <w:pStyle w:val="TextBody"/>
        <w:bidi w:val="0"/>
        <w:spacing w:before="0" w:after="200"/>
        <w:jc w:val="left"/>
        <w:rPr>
          <w:rFonts w:ascii="Georgia;serif" w:hAnsi="Georgia;serif"/>
          <w:color w:val="000000"/>
          <w:sz w:val="20"/>
        </w:rPr>
      </w:pPr>
      <w:r>
        <w:rPr>
          <w:rFonts w:ascii="Georgia;serif" w:hAnsi="Georgia;serif"/>
          <w:color w:val="000000"/>
          <w:sz w:val="20"/>
        </w:rPr>
        <w:t>We conducted our audit in accordance with Swiss law and Swiss Standards on Auditing (SA-CH). Our responsibilities under those provisions and standards are further described in the 'Auditor’s responsibilities for the audit of the compensation report' section of our report. We are independent of the Company in accordance with the provisions of Swiss law and the requirements of the Swiss audit profession, and we have fulfilled our other ethical responsibilities in accordance with these requirements.</w:t>
      </w:r>
    </w:p>
    <w:p>
      <w:pPr>
        <w:pStyle w:val="TextBody"/>
        <w:bidi w:val="0"/>
        <w:spacing w:before="0" w:after="200"/>
        <w:jc w:val="left"/>
        <w:rPr>
          <w:rFonts w:ascii="Georgia;serif" w:hAnsi="Georgia;serif"/>
          <w:color w:val="000000"/>
          <w:sz w:val="20"/>
        </w:rPr>
      </w:pPr>
      <w:r>
        <w:rPr>
          <w:rFonts w:ascii="Georgia;serif" w:hAnsi="Georgia;serif"/>
          <w:color w:val="000000"/>
          <w:sz w:val="20"/>
        </w:rPr>
        <w:t>We believe that the audit evidence we have obtained is sufficient and appropriate to provide a basis for our opinion.</w:t>
      </w:r>
    </w:p>
    <w:p>
      <w:pPr>
        <w:pStyle w:val="TextBody"/>
        <w:bidi w:val="0"/>
        <w:spacing w:before="200" w:after="200"/>
        <w:jc w:val="left"/>
        <w:rPr>
          <w:rFonts w:ascii="Arial" w:hAnsi="Arial"/>
          <w:b/>
          <w:color w:val="000000"/>
          <w:sz w:val="20"/>
        </w:rPr>
      </w:pPr>
      <w:r>
        <w:rPr>
          <w:rFonts w:ascii="Arial" w:hAnsi="Arial"/>
          <w:b/>
          <w:color w:val="000000"/>
          <w:sz w:val="20"/>
        </w:rPr>
        <w:t>Other information</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other information. The other information comprises the information included in the annual report, but does not include the tables 2.c., 3.c., 4 and 5 and the information in sections 2.b. and 4 in the compensation report, the consolidated financial statements, the financial statements and our auditor’s reports thereon.</w:t>
      </w:r>
    </w:p>
    <w:p>
      <w:pPr>
        <w:pStyle w:val="TextBody"/>
        <w:bidi w:val="0"/>
        <w:spacing w:before="0" w:after="200"/>
        <w:jc w:val="left"/>
        <w:rPr>
          <w:rFonts w:ascii="Georgia;serif" w:hAnsi="Georgia;serif"/>
          <w:color w:val="000000"/>
          <w:sz w:val="20"/>
        </w:rPr>
      </w:pPr>
      <w:r>
        <w:rPr>
          <w:rFonts w:ascii="Georgia;serif" w:hAnsi="Georgia;serif"/>
          <w:color w:val="000000"/>
          <w:sz w:val="20"/>
        </w:rPr>
        <w:t>Our opinion on the compensation report does not cover the other information and we do not express any form of assurance conclusion thereon.</w:t>
      </w:r>
    </w:p>
    <w:p>
      <w:pPr>
        <w:pStyle w:val="TextBody"/>
        <w:bidi w:val="0"/>
        <w:spacing w:before="0" w:after="200"/>
        <w:jc w:val="left"/>
        <w:rPr>
          <w:rFonts w:ascii="Georgia;serif" w:hAnsi="Georgia;serif"/>
          <w:color w:val="000000"/>
          <w:sz w:val="20"/>
        </w:rPr>
      </w:pPr>
      <w:r>
        <w:rPr>
          <w:rFonts w:ascii="Georgia;serif" w:hAnsi="Georgia;serif"/>
          <w:color w:val="000000"/>
          <w:sz w:val="20"/>
        </w:rPr>
        <w:t>In connection with our audit of the compensation report, our responsibility is to read the other information and, in doing so, consider whether the other information is materially inconsistent with the audited financial information in the compensation report or our knowledge obtained in the audit, or otherwise appears to be materially misstated.</w:t>
      </w:r>
    </w:p>
    <w:p>
      <w:pPr>
        <w:pStyle w:val="TextBody"/>
        <w:bidi w:val="0"/>
        <w:spacing w:before="0" w:after="200"/>
        <w:jc w:val="left"/>
        <w:rPr>
          <w:rFonts w:ascii="Georgia;serif" w:hAnsi="Georgia;serif"/>
          <w:color w:val="000000"/>
          <w:sz w:val="20"/>
        </w:rPr>
      </w:pPr>
      <w:r>
        <w:rPr>
          <w:rFonts w:ascii="Georgia;serif" w:hAnsi="Georgia;serif"/>
          <w:color w:val="000000"/>
          <w:sz w:val="20"/>
        </w:rPr>
        <w:t>If, based on the work we have performed, we conclude that there is a material misstatement of this other information, we are required to report that fact. We have nothing to report in this regard.</w:t>
      </w:r>
    </w:p>
    <w:p>
      <w:pPr>
        <w:pStyle w:val="TextBody"/>
        <w:bidi w:val="0"/>
        <w:spacing w:before="180" w:after="283"/>
        <w:jc w:val="left"/>
        <w:rPr>
          <w:rFonts w:ascii="Georgia;serif" w:hAnsi="Georgia;serif"/>
          <w:color w:val="000000"/>
          <w:sz w:val="18"/>
        </w:rPr>
      </w:pPr>
      <w:r>
        <w:rPr>
          <w:rFonts w:ascii="Georgia;serif" w:hAnsi="Georgia;serif"/>
          <w:color w:val="000000"/>
          <w:sz w:val="18"/>
        </w:rPr>
        <w:t>136</w:t>
      </w:r>
    </w:p>
    <w:tbl>
      <w:tblPr>
        <w:tblW w:w="9347" w:type="dxa"/>
        <w:jc w:val="left"/>
        <w:tblInd w:w="0" w:type="dxa"/>
        <w:tblLayout w:type="fixed"/>
        <w:tblCellMar>
          <w:top w:w="28" w:type="dxa"/>
          <w:left w:w="28" w:type="dxa"/>
          <w:bottom w:w="28" w:type="dxa"/>
          <w:right w:w="28" w:type="dxa"/>
        </w:tblCellMar>
      </w:tblPr>
      <w:tblGrid>
        <w:gridCol w:w="1381"/>
        <w:gridCol w:w="7966"/>
      </w:tblGrid>
      <w:tr>
        <w:trPr/>
        <w:tc>
          <w:tcPr>
            <w:tcW w:w="138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r>
      <w:tr>
        <w:trPr/>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18"/>
              </w:rPr>
            </w:pPr>
            <w:r>
              <w:rPr>
                <w:rFonts w:ascii="Georgia;serif" w:hAnsi="Georgia;serif"/>
                <w:color w:val="000000"/>
                <w:sz w:val="18"/>
              </w:rPr>
              <w:t>PricewaterhouseCoopers SA, Avenue de la Rasude 5, 1006 Lausanne</w:t>
            </w:r>
          </w:p>
        </w:tc>
      </w:tr>
      <w:tr>
        <w:trPr/>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6" w:type="dxa"/>
            <w:tcBorders/>
            <w:tcMar>
              <w:top w:w="0" w:type="dxa"/>
              <w:left w:w="0" w:type="dxa"/>
              <w:bottom w:w="0" w:type="dxa"/>
              <w:right w:w="0" w:type="dxa"/>
            </w:tcMar>
            <w:vAlign w:val="center"/>
          </w:tcPr>
          <w:p>
            <w:pPr>
              <w:pStyle w:val="TableContents"/>
              <w:bidi w:val="0"/>
              <w:spacing w:before="0" w:after="300"/>
              <w:jc w:val="left"/>
              <w:rPr>
                <w:rFonts w:ascii="Georgia;serif" w:hAnsi="Georgia;serif"/>
                <w:color w:val="000000"/>
                <w:sz w:val="18"/>
              </w:rPr>
            </w:pPr>
            <w:r>
              <w:rPr>
                <w:rFonts w:ascii="Georgia;serif" w:hAnsi="Georgia;serif"/>
                <w:color w:val="000000"/>
                <w:sz w:val="18"/>
              </w:rPr>
              <w:t>+41 58 792 81 00</w:t>
            </w:r>
          </w:p>
        </w:tc>
      </w:tr>
      <w:tr>
        <w:trPr/>
        <w:tc>
          <w:tcPr>
            <w:tcW w:w="1381"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22"/>
              </w:rPr>
            </w:pPr>
            <w:r>
              <w:rPr>
                <w:rFonts w:ascii="Georgia;serif" w:hAnsi="Georgia;serif"/>
                <w:color w:val="000000"/>
                <w:sz w:val="22"/>
              </w:rPr>
              <w:t>www.pwc.ch</w:t>
            </w:r>
          </w:p>
        </w:tc>
        <w:tc>
          <w:tcPr>
            <w:tcW w:w="7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PricewaterhouseCoopers SA is a member of the global PricewaterhouseCoopers network of firms, each of which is a separate and independent legal entity.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400" w:after="200"/>
        <w:jc w:val="left"/>
        <w:rPr>
          <w:rFonts w:ascii="Arial" w:hAnsi="Arial"/>
          <w:b/>
          <w:color w:val="000000"/>
          <w:sz w:val="20"/>
        </w:rPr>
      </w:pPr>
      <w:r>
        <w:rPr>
          <w:rFonts w:ascii="Arial" w:hAnsi="Arial"/>
          <w:b/>
          <w:color w:val="000000"/>
          <w:sz w:val="20"/>
        </w:rPr>
        <w:t>Board of Directors’ responsibilities for the compensation report</w:t>
      </w:r>
    </w:p>
    <w:p>
      <w:pPr>
        <w:pStyle w:val="TextBody"/>
        <w:bidi w:val="0"/>
        <w:spacing w:before="0" w:after="200"/>
        <w:jc w:val="left"/>
        <w:rPr>
          <w:rFonts w:ascii="Georgia;serif" w:hAnsi="Georgia;serif"/>
          <w:color w:val="000000"/>
          <w:sz w:val="20"/>
        </w:rPr>
      </w:pPr>
      <w:r>
        <w:rPr>
          <w:rFonts w:ascii="Georgia;serif" w:hAnsi="Georgia;serif"/>
          <w:color w:val="000000"/>
          <w:sz w:val="20"/>
        </w:rPr>
        <w:t>The Board of Directors is responsible for the preparation of a compensation report in accordance with the provisions of Swiss law and the Company’s articles of incorporation, and for such internal control as the Board of Directors determines is necessary to enable the preparation of a compensation report that is free from material misstatement, whether due to fraud or error. It is also charged with structuring the remuneration principles and specifying the individual remuneration components.</w:t>
      </w:r>
    </w:p>
    <w:p>
      <w:pPr>
        <w:pStyle w:val="TextBody"/>
        <w:bidi w:val="0"/>
        <w:spacing w:before="200" w:after="200"/>
        <w:jc w:val="left"/>
        <w:rPr>
          <w:rFonts w:ascii="Arial" w:hAnsi="Arial"/>
          <w:b/>
          <w:color w:val="000000"/>
          <w:sz w:val="20"/>
        </w:rPr>
      </w:pPr>
      <w:r>
        <w:rPr>
          <w:rFonts w:ascii="Arial" w:hAnsi="Arial"/>
          <w:b/>
          <w:color w:val="000000"/>
          <w:sz w:val="20"/>
        </w:rPr>
        <w:t>Auditor’s responsibilities for the audit of the compensation report</w:t>
      </w:r>
    </w:p>
    <w:p>
      <w:pPr>
        <w:pStyle w:val="TextBody"/>
        <w:bidi w:val="0"/>
        <w:spacing w:before="0" w:after="200"/>
        <w:jc w:val="left"/>
        <w:rPr>
          <w:rFonts w:ascii="Georgia;serif" w:hAnsi="Georgia;serif"/>
          <w:color w:val="000000"/>
          <w:sz w:val="20"/>
        </w:rPr>
      </w:pPr>
      <w:r>
        <w:rPr>
          <w:rFonts w:ascii="Georgia;serif" w:hAnsi="Georgia;serif"/>
          <w:color w:val="000000"/>
          <w:sz w:val="20"/>
        </w:rPr>
        <w:t>Our objectives are to obtain reasonable assurance about whether the information pursuant to article 734a-734f CO is free from material misstatement, whether due to fraud or error, and to issue an auditor’s report that includes our opinion. Reasonable assurance is a high level of assurance, but is not a guarantee that an audit conducted in accordance with Swiss law and SA-CH will always detect a material misstatement when it exists. Misstatements can arise from fraud or error and are considered material if, individually or in the aggregate, they could reasonably be expected to influence the economic decisions of users taken on the basis of this compensation report.</w:t>
      </w:r>
    </w:p>
    <w:p>
      <w:pPr>
        <w:pStyle w:val="TextBody"/>
        <w:bidi w:val="0"/>
        <w:spacing w:before="0" w:after="200"/>
        <w:jc w:val="left"/>
        <w:rPr>
          <w:rFonts w:ascii="Georgia;serif" w:hAnsi="Georgia;serif"/>
          <w:color w:val="000000"/>
          <w:sz w:val="20"/>
        </w:rPr>
      </w:pPr>
      <w:r>
        <w:rPr>
          <w:rFonts w:ascii="Georgia;serif" w:hAnsi="Georgia;serif"/>
          <w:color w:val="000000"/>
          <w:sz w:val="20"/>
        </w:rPr>
        <w:t>As part of an audit in accordance with Swiss law and SA-CH, we exercise professional judgement and maintain professional scepticism throughout the audit. We also:</w:t>
      </w:r>
    </w:p>
    <w:p>
      <w:pPr>
        <w:pStyle w:val="TextBody"/>
        <w:bidi w:val="0"/>
        <w:spacing w:before="0" w:after="120"/>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Georgia;serif" w:hAnsi="Georgia;serif"/>
          <w:color w:val="000000"/>
          <w:sz w:val="20"/>
        </w:rPr>
      </w:pPr>
      <w:r>
        <w:rPr>
          <w:rFonts w:ascii="Georgia;serif" w:hAnsi="Georgia;serif"/>
          <w:color w:val="000000"/>
          <w:sz w:val="20"/>
        </w:rPr>
        <w:t>Identify and assess the risks of material misstatement in the compensation report,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Georgia;serif" w:hAnsi="Georgia;serif"/>
          <w:color w:val="000000"/>
          <w:sz w:val="20"/>
        </w:rPr>
      </w:pPr>
      <w:r>
        <w:rPr>
          <w:rFonts w:ascii="Georgia;serif" w:hAnsi="Georgia;serif"/>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rFonts w:ascii="Georgia;serif" w:hAnsi="Georgia;serif"/>
          <w:color w:val="000000"/>
          <w:sz w:val="20"/>
        </w:rPr>
      </w:pPr>
      <w:r>
        <w:rPr>
          <w:rFonts w:ascii="Georgia;serif" w:hAnsi="Georgia;serif"/>
          <w:color w:val="000000"/>
          <w:sz w:val="20"/>
        </w:rPr>
        <w:t>Evaluate the appropriateness of accounting policies used and the reasonableness of accounting estimates and related disclosures made.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00"/>
        <w:jc w:val="left"/>
        <w:rPr>
          <w:rFonts w:ascii="Georgia;serif" w:hAnsi="Georgia;serif"/>
          <w:color w:val="000000"/>
          <w:sz w:val="20"/>
        </w:rPr>
      </w:pPr>
      <w:r>
        <w:rPr>
          <w:rFonts w:ascii="Georgia;serif" w:hAnsi="Georgia;serif"/>
          <w:color w:val="000000"/>
          <w:sz w:val="20"/>
        </w:rPr>
        <w:t>We communicate with the Board of Directors or its relevant committee regarding, among other matters, the planned scope and timing of the audit and significant audit findings, including any significant deficiencies in internal control that we identify during our audit.</w:t>
      </w:r>
    </w:p>
    <w:p>
      <w:pPr>
        <w:pStyle w:val="TextBody"/>
        <w:bidi w:val="0"/>
        <w:spacing w:before="0" w:after="200"/>
        <w:jc w:val="left"/>
        <w:rPr>
          <w:rFonts w:ascii="Georgia;serif" w:hAnsi="Georgia;serif"/>
          <w:color w:val="000000"/>
          <w:sz w:val="20"/>
        </w:rPr>
      </w:pPr>
      <w:r>
        <w:rPr>
          <w:rFonts w:ascii="Georgia;serif" w:hAnsi="Georgia;serif"/>
          <w:color w:val="000000"/>
          <w:sz w:val="20"/>
        </w:rPr>
        <w:t>We also provide the Board of Directors or its relevant committee with a statement that we have complied with relevant ethical requirements regarding independence, and communicate with them all relationships and other matters that may reasonably be thought to bear on our independence, and where applicable, actions taken to eliminate threats or safeguards applied.</w:t>
      </w:r>
    </w:p>
    <w:p>
      <w:pPr>
        <w:pStyle w:val="TextBody"/>
        <w:bidi w:val="0"/>
        <w:spacing w:before="180" w:after="283"/>
        <w:jc w:val="left"/>
        <w:rPr/>
      </w:pPr>
      <w:r>
        <w:rPr/>
        <w:t> </w:t>
      </w:r>
    </w:p>
    <w:tbl>
      <w:tblPr>
        <w:tblW w:w="6347" w:type="dxa"/>
        <w:jc w:val="left"/>
        <w:tblInd w:w="0" w:type="dxa"/>
        <w:tblLayout w:type="fixed"/>
        <w:tblCellMar>
          <w:top w:w="28" w:type="dxa"/>
          <w:left w:w="28" w:type="dxa"/>
          <w:bottom w:w="28" w:type="dxa"/>
          <w:right w:w="28" w:type="dxa"/>
        </w:tblCellMar>
      </w:tblPr>
      <w:tblGrid>
        <w:gridCol w:w="391"/>
        <w:gridCol w:w="5956"/>
      </w:tblGrid>
      <w:tr>
        <w:trPr/>
        <w:tc>
          <w:tcPr>
            <w:tcW w:w="391"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137</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0" w:after="200"/>
        <w:jc w:val="left"/>
        <w:rPr>
          <w:rFonts w:ascii="Georgia;serif" w:hAnsi="Georgia;serif"/>
          <w:color w:val="000000"/>
          <w:sz w:val="20"/>
        </w:rPr>
      </w:pPr>
      <w:r>
        <w:rPr>
          <w:rFonts w:ascii="Georgia;serif" w:hAnsi="Georgia;serif"/>
          <w:color w:val="000000"/>
          <w:sz w:val="20"/>
        </w:rPr>
        <w:t>PricewaterhouseCoopers SA</w:t>
      </w:r>
    </w:p>
    <w:tbl>
      <w:tblPr>
        <w:tblW w:w="3887" w:type="dxa"/>
        <w:jc w:val="left"/>
        <w:tblInd w:w="0" w:type="dxa"/>
        <w:tblLayout w:type="fixed"/>
        <w:tblCellMar>
          <w:top w:w="28" w:type="dxa"/>
          <w:left w:w="28" w:type="dxa"/>
          <w:bottom w:w="28" w:type="dxa"/>
          <w:right w:w="28" w:type="dxa"/>
        </w:tblCellMar>
      </w:tblPr>
      <w:tblGrid>
        <w:gridCol w:w="1936"/>
        <w:gridCol w:w="1951"/>
      </w:tblGrid>
      <w:tr>
        <w:trPr/>
        <w:tc>
          <w:tcPr>
            <w:tcW w:w="193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Georgia;serif" w:hAnsi="Georgia;serif"/>
                <w:color w:val="000000"/>
                <w:sz w:val="20"/>
              </w:rPr>
              <w:t>/s/ Alex Fuhrer</w:t>
            </w:r>
          </w:p>
        </w:tc>
        <w:tc>
          <w:tcPr>
            <w:tcW w:w="1951"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/s/ Violina Eremciuc</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Licensed audit expert</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Georgia;serif" w:hAnsi="Georgia;serif"/>
                <w:color w:val="000000"/>
                <w:sz w:val="20"/>
              </w:rPr>
            </w:pPr>
            <w:r>
              <w:rPr>
                <w:rFonts w:ascii="Georgia;serif" w:hAnsi="Georgia;serif"/>
                <w:color w:val="000000"/>
                <w:sz w:val="20"/>
              </w:rPr>
              <w:t>Auditor in charge</w:t>
            </w:r>
          </w:p>
        </w:tc>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rFonts w:ascii="Georgia;serif" w:hAnsi="Georgia;serif"/>
          <w:color w:val="000000"/>
          <w:sz w:val="20"/>
        </w:rPr>
      </w:pPr>
      <w:r>
        <w:rPr>
          <w:rFonts w:ascii="Georgia;serif" w:hAnsi="Georgia;serif"/>
          <w:color w:val="000000"/>
          <w:sz w:val="20"/>
        </w:rPr>
        <w:t>Lausanne, April 21, 2026</w:t>
      </w:r>
    </w:p>
    <w:p>
      <w:pPr>
        <w:pStyle w:val="TextBody"/>
        <w:bidi w:val="0"/>
        <w:spacing w:before="0" w:after="80"/>
        <w:ind w:left="227" w:right="0" w:hanging="0"/>
        <w:jc w:val="left"/>
        <w:rPr/>
      </w:pPr>
      <w:r>
        <w:rPr/>
        <w:t> </w:t>
      </w:r>
    </w:p>
    <w:p>
      <w:pPr>
        <w:pStyle w:val="TextBody"/>
        <w:bidi w:val="0"/>
        <w:spacing w:before="180" w:after="283"/>
        <w:jc w:val="left"/>
        <w:rPr/>
      </w:pPr>
      <w:r>
        <w:rPr/>
        <w:t> </w:t>
      </w:r>
    </w:p>
    <w:tbl>
      <w:tblPr>
        <w:tblW w:w="6347" w:type="dxa"/>
        <w:jc w:val="left"/>
        <w:tblInd w:w="0" w:type="dxa"/>
        <w:tblLayout w:type="fixed"/>
        <w:tblCellMar>
          <w:top w:w="28" w:type="dxa"/>
          <w:left w:w="28" w:type="dxa"/>
          <w:bottom w:w="28" w:type="dxa"/>
          <w:right w:w="28" w:type="dxa"/>
        </w:tblCellMar>
      </w:tblPr>
      <w:tblGrid>
        <w:gridCol w:w="391"/>
        <w:gridCol w:w="5956"/>
      </w:tblGrid>
      <w:tr>
        <w:trPr/>
        <w:tc>
          <w:tcPr>
            <w:tcW w:w="391" w:type="dxa"/>
            <w:tcBorders/>
            <w:vAlign w:val="center"/>
          </w:tcPr>
          <w:p>
            <w:pPr>
              <w:pStyle w:val="TableContents"/>
              <w:bidi w:val="0"/>
              <w:spacing w:before="0" w:after="283"/>
              <w:jc w:val="left"/>
              <w:rPr>
                <w:sz w:val="4"/>
                <w:szCs w:val="4"/>
              </w:rPr>
            </w:pPr>
            <w:r>
              <w:rPr>
                <w:sz w:val="4"/>
                <w:szCs w:val="4"/>
              </w:rPr>
            </w:r>
          </w:p>
        </w:tc>
        <w:tc>
          <w:tcPr>
            <w:tcW w:w="595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138</w:t>
            </w:r>
          </w:p>
        </w:tc>
        <w:tc>
          <w:tcPr>
            <w:tcW w:w="59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Report of the statutory auditor to the General Meeting of Oculis Holding AG, Zug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sz w:val="20"/>
        </w:rPr>
      </w:pPr>
      <w:bookmarkStart w:id="35" w:name="beg_comp_page"/>
      <w:bookmarkEnd w:id="35"/>
      <w:r>
        <w:rPr>
          <w:rFonts w:ascii="Times New Roman" w:hAnsi="Times New Roman"/>
          <w:color w:val="000000"/>
          <w:sz w:val="32"/>
        </w:rPr>
        <w:t xml:space="preserve">Compensation </w:t>
      </w:r>
      <w:bookmarkStart w:id="36" w:name="compensation_report_2024_of_oculis"/>
      <w:bookmarkEnd w:id="36"/>
      <w:r>
        <w:rPr>
          <w:rFonts w:ascii="Times New Roman" w:hAnsi="Times New Roman"/>
          <w:color w:val="000000"/>
          <w:sz w:val="32"/>
        </w:rPr>
        <w:t>Report 2025 of Oculis Holding AG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7" w:name="comp_beg_page_v2"/>
      <w:bookmarkEnd w:id="37"/>
      <w:r>
        <w:rPr>
          <w:rFonts w:ascii="Times New Roman" w:hAnsi="Times New Roman"/>
          <w:b/>
          <w:color w:val="000000"/>
          <w:sz w:val="20"/>
        </w:rPr>
        <w:t>Compensation Report 2025</w:t>
      </w:r>
    </w:p>
    <w:p>
      <w:pPr>
        <w:pStyle w:val="TextBody"/>
        <w:bidi w:val="0"/>
        <w:jc w:val="left"/>
        <w:rPr>
          <w:rFonts w:ascii="Times New Roman" w:hAnsi="Times New Roman"/>
          <w:b/>
          <w:color w:val="000000"/>
          <w:sz w:val="20"/>
        </w:rPr>
      </w:pPr>
      <w:r>
        <w:rPr>
          <w:rFonts w:ascii="Times New Roman" w:hAnsi="Times New Roman"/>
          <w:b/>
          <w:color w:val="000000"/>
          <w:sz w:val="20"/>
        </w:rPr>
        <w:t>to the Shareholders’ Meeting of Oculis Holding AG</w:t>
      </w:r>
    </w:p>
    <w:p>
      <w:pPr>
        <w:pStyle w:val="TextBody"/>
        <w:bidi w:val="0"/>
        <w:spacing w:before="68"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This compensation report (the “</w:t>
      </w:r>
      <w:r>
        <w:rPr>
          <w:rFonts w:ascii="Times New Roman" w:hAnsi="Times New Roman"/>
          <w:i/>
          <w:color w:val="000000"/>
          <w:sz w:val="20"/>
        </w:rPr>
        <w:t>Compensation Report</w:t>
      </w:r>
      <w:r>
        <w:rPr>
          <w:rFonts w:ascii="Times New Roman" w:hAnsi="Times New Roman"/>
          <w:color w:val="000000"/>
          <w:sz w:val="20"/>
        </w:rPr>
        <w:t>”) of Oculis Holding AG (the “</w:t>
      </w:r>
      <w:r>
        <w:rPr>
          <w:rFonts w:ascii="Times New Roman" w:hAnsi="Times New Roman"/>
          <w:i/>
          <w:color w:val="000000"/>
          <w:sz w:val="20"/>
        </w:rPr>
        <w:t>Company</w:t>
      </w:r>
      <w:r>
        <w:rPr>
          <w:rFonts w:ascii="Times New Roman" w:hAnsi="Times New Roman"/>
          <w:color w:val="000000"/>
          <w:sz w:val="20"/>
        </w:rPr>
        <w:t>”) has been prepared in accordance with the Swiss Code of Obligations (“</w:t>
      </w:r>
      <w:r>
        <w:rPr>
          <w:rFonts w:ascii="Times New Roman" w:hAnsi="Times New Roman"/>
          <w:i/>
          <w:color w:val="000000"/>
          <w:sz w:val="20"/>
        </w:rPr>
        <w:t>SCO</w:t>
      </w:r>
      <w:r>
        <w:rPr>
          <w:rFonts w:ascii="Times New Roman" w:hAnsi="Times New Roman"/>
          <w:color w:val="000000"/>
          <w:sz w:val="20"/>
        </w:rPr>
        <w:t>”). Unless otherwise indicated or the context otherwise requires, all references in the Compensation Report to the “Company”, “we”, “our”, “us” or similar terms refer to the Company and its consolidated subsidiaries.</w:t>
      </w:r>
    </w:p>
    <w:p>
      <w:pPr>
        <w:pStyle w:val="TextBody"/>
        <w:bidi w:val="0"/>
        <w:spacing w:before="28" w:after="283"/>
        <w:jc w:val="righ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w:t>
      </w:r>
    </w:p>
    <w:p>
      <w:pPr>
        <w:pStyle w:val="TextBody"/>
        <w:bidi w:val="0"/>
        <w:jc w:val="left"/>
        <w:rPr>
          <w:rFonts w:ascii="Times New Roman" w:hAnsi="Times New Roman"/>
          <w:b/>
          <w:color w:val="000000"/>
          <w:sz w:val="20"/>
        </w:rPr>
      </w:pPr>
      <w:r>
        <w:rPr>
          <w:rFonts w:ascii="Times New Roman" w:hAnsi="Times New Roman"/>
          <w:b/>
          <w:color w:val="000000"/>
          <w:sz w:val="20"/>
        </w:rPr>
        <w:t>Compensation Philosophy, Principles and Governance</w:t>
      </w:r>
    </w:p>
    <w:p>
      <w:pPr>
        <w:pStyle w:val="TextBody"/>
        <w:bidi w:val="0"/>
        <w:spacing w:before="7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Principles of the Compensation of the Board of Directors and the Executive Committee</w:t>
      </w:r>
    </w:p>
    <w:p>
      <w:pPr>
        <w:pStyle w:val="TextBody"/>
        <w:bidi w:val="0"/>
        <w:spacing w:before="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Pursuant to Swiss law, the aggregate amount of compensation of the board of directors of the Company (the “</w:t>
      </w:r>
      <w:r>
        <w:rPr>
          <w:rFonts w:ascii="Times New Roman" w:hAnsi="Times New Roman"/>
          <w:i/>
          <w:color w:val="000000"/>
          <w:sz w:val="20"/>
        </w:rPr>
        <w:t>Board of Directors</w:t>
      </w:r>
      <w:r>
        <w:rPr>
          <w:rFonts w:ascii="Times New Roman" w:hAnsi="Times New Roman"/>
          <w:color w:val="000000"/>
          <w:sz w:val="20"/>
        </w:rPr>
        <w:t>”) and the persons whom the Board of Directors has entrusted with the management of the Company (the “</w:t>
      </w:r>
      <w:r>
        <w:rPr>
          <w:rFonts w:ascii="Times New Roman" w:hAnsi="Times New Roman"/>
          <w:i/>
          <w:color w:val="000000"/>
          <w:sz w:val="20"/>
        </w:rPr>
        <w:t>Executive Committee</w:t>
      </w:r>
      <w:r>
        <w:rPr>
          <w:rFonts w:ascii="Times New Roman" w:hAnsi="Times New Roman"/>
          <w:color w:val="000000"/>
          <w:sz w:val="20"/>
        </w:rPr>
        <w:t>”) shall be submitted to the annual general meeting of shareholders of the Company (the “</w:t>
      </w:r>
      <w:r>
        <w:rPr>
          <w:rFonts w:ascii="Times New Roman" w:hAnsi="Times New Roman"/>
          <w:i/>
          <w:color w:val="000000"/>
          <w:sz w:val="20"/>
        </w:rPr>
        <w:t>AGM</w:t>
      </w:r>
      <w:r>
        <w:rPr>
          <w:rFonts w:ascii="Times New Roman" w:hAnsi="Times New Roman"/>
          <w:color w:val="000000"/>
          <w:sz w:val="20"/>
        </w:rPr>
        <w:t>”) for a binding vote.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Compensation Report, the aggregate amounts of compensation, loans, and other forms of indebtedness to the Board of Directors and the Executive Committee respectively are disclosed, as well as the specific amount for each member of the Board of Directors and for the highest-paid member of the Executive Committee, specifying the name and function of each of these persons.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Swiss company listed on the United States Nasdaq Global Market and Nasdaq Iceland Main Market, we are prohibited from granting certain forms of compensation to members of the Board of Directors and the Executive Committee, such as: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pPr>
      <w:r>
        <w:rPr>
          <w:rFonts w:ascii="Times New Roman" w:hAnsi="Times New Roman"/>
          <w:color w:val="000000"/>
          <w:sz w:val="20"/>
        </w:rPr>
        <w:t>severance payments that are contractually agreed or provided for in the articles of association of the Company (the “</w:t>
      </w:r>
      <w:r>
        <w:rPr>
          <w:rFonts w:ascii="Times New Roman" w:hAnsi="Times New Roman"/>
          <w:i/>
          <w:color w:val="000000"/>
          <w:sz w:val="20"/>
        </w:rPr>
        <w:t>Articles</w:t>
      </w:r>
      <w:r>
        <w:rPr>
          <w:color w:val="000000"/>
        </w:rPr>
        <w:t>”</w:t>
      </w:r>
      <w:r>
        <w:rPr>
          <w:rFonts w:ascii="Times New Roman" w:hAnsi="Times New Roman"/>
          <w:color w:val="000000"/>
          <w:sz w:val="20"/>
        </w:rPr>
        <w:t>) (compensation that is due until the termination of a contractual relationship does not qualify as severance payment);</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compensation related to a ban on competition that exceeds the average remuneration for the last three financial years, or compensation related to a ban on competition that is not justified on business grounds;</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remuneration paid under terms that differ from customary market conditions in connection with a prior activity as a corporate body of the Company;</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joining bonuses that do not compensate for a verifiable financial disadvantage;</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advance compensation that does not compensate for a verifiable financial disadvantage;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pPr>
      <w:r>
        <w:rPr>
          <w:rFonts w:ascii="Times New Roman" w:hAnsi="Times New Roman"/>
          <w:color w:val="000000"/>
          <w:sz w:val="20"/>
        </w:rPr>
        <w:t>incentive fees for the acquisition or transfer of entities, or parts thereof, by the Company or by entities, directly or indirectly, controlled and as such consolidated by the Company (“</w:t>
      </w:r>
      <w:r>
        <w:rPr>
          <w:rFonts w:ascii="Times New Roman" w:hAnsi="Times New Roman"/>
          <w:i/>
          <w:color w:val="000000"/>
          <w:sz w:val="20"/>
        </w:rPr>
        <w:t>Subsidiaries</w:t>
      </w:r>
      <w:r>
        <w:rPr>
          <w:color w:val="000000"/>
        </w:rPr>
        <w:t>”</w:t>
      </w:r>
      <w:r>
        <w:rPr>
          <w:rFonts w:ascii="Times New Roman" w:hAnsi="Times New Roman"/>
          <w:color w:val="000000"/>
          <w:sz w:val="2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credit facilities, pension benefits other than occupational pensions and performance-based compensation not provided for in the Articles; and</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the allocation of equity securities, conversion and option rights not provided for in the Articles.</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Compensation to members of the Board of Directors and the Executive Committee for activities in Subsidiaries is prohibited, if (i) the compensation would be prohibited if it was paid directly by the Company, (ii) the Articles do not provide for it, or (iii) the compensation has not been approved by the AGM.</w:t>
      </w:r>
    </w:p>
    <w:p>
      <w:pPr>
        <w:pStyle w:val="TextBody"/>
        <w:bidi w:val="0"/>
        <w:spacing w:before="229" w:after="283"/>
        <w:jc w:val="both"/>
        <w:rPr>
          <w:rFonts w:ascii="Times New Roman" w:hAnsi="Times New Roman"/>
          <w:color w:val="000000"/>
          <w:sz w:val="20"/>
        </w:rPr>
      </w:pPr>
      <w:r>
        <w:rPr>
          <w:rFonts w:ascii="Times New Roman" w:hAnsi="Times New Roman"/>
          <w:color w:val="000000"/>
          <w:sz w:val="20"/>
        </w:rPr>
        <w:t>Each year, at the AGM, shareholders will vote on the proposals of the Board of Directors with respect 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the maximum aggregate amount of fixed compensation of the non-executive members of the Board of Directors for the term of office until the next AGM;</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the maximum aggregate amount of variable compensation of the non-executive members of the Board of Directors for the term of office until the next AGM;</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the maximum aggregate amount of fixed compensation of the Executive Committee for the following financial year; and</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3" w:after="283"/>
        <w:jc w:val="both"/>
        <w:rPr>
          <w:rFonts w:ascii="Times New Roman" w:hAnsi="Times New Roman"/>
          <w:color w:val="000000"/>
          <w:sz w:val="20"/>
        </w:rPr>
      </w:pPr>
      <w:r>
        <w:rPr>
          <w:rFonts w:ascii="Times New Roman" w:hAnsi="Times New Roman"/>
          <w:color w:val="000000"/>
          <w:sz w:val="20"/>
        </w:rPr>
        <w:t>the maximum aggregate amount of variable compensation of the Executive Committee for the current financial year.</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The Board of Directors may submit for approval to the AGM deviating, additional or conditional proposals relating to the maximum aggregate amount or maximum partial amounts for the same or different periods or specific compensation components.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If the AGM does not approve a proposal of the Board of Directors, the Board of Directors shall determine, considering all relevant factors, the respective (maximum) aggregate amount or (maximum) partial amounts, and submit the amount(s) so determined for approval to a new AGM or an extraordinary general meeting of shareholders of the Company for a binding vote.</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 xml:space="preserve">The Company or Subsidiaries, on a go-forward basis, may pay or grant compensation prior to approval by the AGM, subject to subsequent approval. </w:t>
      </w:r>
    </w:p>
    <w:p>
      <w:pPr>
        <w:pStyle w:val="TextBody"/>
        <w:bidi w:val="0"/>
        <w:spacing w:before="230" w:after="283"/>
        <w:jc w:val="both"/>
        <w:rPr>
          <w:rFonts w:ascii="Times New Roman" w:hAnsi="Times New Roman"/>
          <w:sz w:val="20"/>
        </w:rPr>
      </w:pPr>
      <w:r>
        <w:rPr>
          <w:rFonts w:ascii="Times New Roman" w:hAnsi="Times New Roman"/>
          <w:color w:val="000000"/>
          <w:sz w:val="20"/>
        </w:rPr>
        <w:t>Members of the Board of Directors may be paid in fixed basic remuneration, fixed committee fee for work in committee(s) of the Board of Directors and in equity instruments of the Company. Members of the Executive Committee may be paid fixed remuneration payable in cash and equity compensation, and variable remuneration in the form of a performance-related remuneration payable in cash and shares or equity-linked instruments in the Company, depending on the continued service to the Company and performance of the Company as well as the individual. Performance is measured based on the achievement of pre-determined targets in a given year. The Board of Directors determines annually at the beginning of each calendar year the decisive targets and their weighting upon proposal by the remuneration committee of the Board of Directors (the “</w:t>
      </w:r>
      <w:r>
        <w:rPr>
          <w:rFonts w:ascii="Times New Roman" w:hAnsi="Times New Roman"/>
          <w:i/>
          <w:color w:val="000000"/>
          <w:sz w:val="20"/>
        </w:rPr>
        <w:t>Remuneration Committee</w:t>
      </w:r>
      <w:r>
        <w:rPr>
          <w:rFonts w:ascii="Times New Roman" w:hAnsi="Times New Roman"/>
          <w:color w:val="000000"/>
          <w:sz w:val="20"/>
        </w:rPr>
        <w:t>”).</w:t>
      </w:r>
    </w:p>
    <w:p>
      <w:pPr>
        <w:pStyle w:val="TextBody"/>
        <w:bidi w:val="0"/>
        <w:spacing w:before="230" w:after="283"/>
        <w:jc w:val="both"/>
        <w:rPr>
          <w:rFonts w:ascii="Times New Roman" w:hAnsi="Times New Roman"/>
          <w:color w:val="000000"/>
          <w:sz w:val="20"/>
        </w:rPr>
      </w:pPr>
      <w:r>
        <w:rPr>
          <w:rFonts w:ascii="Times New Roman" w:hAnsi="Times New Roman"/>
          <w:color w:val="000000"/>
          <w:sz w:val="20"/>
        </w:rPr>
        <w:t>Compensation may be paid or granted in the form of cash, shares, options, or other equity-linked instruments. The Board of Directors, upon proposal of the Remuneration Committee, allocates to the members of the Executive Committee and the Board of Directors a fixed number of shares, options or other equity-linked instruments and the Board of Directors or, to the extent delegated to it, the Remuneration Committee shall determine grant, vesting, exercise, and forfeiture conditions. Granting equity to non-executive directors, although less common in Switzerland, is in line with practice for companies listed on Nasdaq and such awards are not granted subject to performance conditions.</w:t>
      </w:r>
    </w:p>
    <w:p>
      <w:pPr>
        <w:pStyle w:val="TextBody"/>
        <w:bidi w:val="0"/>
        <w:spacing w:before="230" w:after="283"/>
        <w:jc w:val="both"/>
        <w:rPr>
          <w:rFonts w:ascii="Times New Roman" w:hAnsi="Times New Roman"/>
          <w:b/>
          <w:color w:val="000000"/>
          <w:sz w:val="20"/>
        </w:rPr>
      </w:pPr>
      <w:r>
        <w:rPr>
          <w:rFonts w:ascii="Times New Roman" w:hAnsi="Times New Roman"/>
          <w:b/>
          <w:color w:val="000000"/>
          <w:sz w:val="20"/>
        </w:rPr>
        <w:t>Method of Determining Compensation</w:t>
      </w:r>
    </w:p>
    <w:p>
      <w:pPr>
        <w:pStyle w:val="TextBody"/>
        <w:bidi w:val="0"/>
        <w:spacing w:before="10" w:after="283"/>
        <w:jc w:val="left"/>
        <w:rPr/>
      </w:pPr>
      <w:r>
        <w:rPr/>
        <w:t> </w:t>
      </w:r>
    </w:p>
    <w:p>
      <w:pPr>
        <w:pStyle w:val="TextBody"/>
        <w:bidi w:val="0"/>
        <w:spacing w:before="1" w:after="283"/>
        <w:jc w:val="both"/>
        <w:rPr>
          <w:rFonts w:ascii="Times New Roman" w:hAnsi="Times New Roman"/>
          <w:i/>
          <w:color w:val="000000"/>
          <w:sz w:val="20"/>
        </w:rPr>
      </w:pPr>
      <w:r>
        <w:rPr>
          <w:rFonts w:ascii="Times New Roman" w:hAnsi="Times New Roman"/>
          <w:i/>
          <w:color w:val="000000"/>
          <w:sz w:val="20"/>
        </w:rPr>
        <w:t>Role and Powers of the Remuneration Committee</w:t>
      </w:r>
    </w:p>
    <w:p>
      <w:pPr>
        <w:pStyle w:val="TextBody"/>
        <w:bidi w:val="0"/>
        <w:spacing w:before="3"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Remuneration Committee consists of more than two members, who will be elected/re-elected at the AGM for a period until the following AGM. The Board of Directors appoints the chair of the Remuneration Committee and fills any vacancies until the following AGM. The Remuneration Committee is composed entirely of independent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Remuneration Committee supports our Board of Directors in establishing and reviewing the compensation and benefits strategy and guidelines as well as in preparing the proposals to the AGM regarding the compensation of the members of the Board of Directors and the Executive Committee. The Remuneration Committee may submit proposals to the Board of Directors on other compensation-related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Remuneration Committee has the responsibility to, among other things: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 annually the performance of the Chief Executive Officer and submit such evaluation proposal for review and discussion by the Board of Directors;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review and recommend for approval by the Board of Directors the annual base salary, incentive compensation and equity compensation of the Chief Executive Officer and, in consultation with the Chief Executive Officer, of the other members of the Executive Committee, and the overall compensation of the Chief Executive Officer and Executive Committee;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review and approve any employment contracts, severance contracts, or other agreements that the Company proposes to enter into with any present, future or former members of the Executive Committee; provided that the key terms of such contracts shall be submitted for approval by the Board of Directors or the AGM, if required;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establish an incentive compensation plan providing for variable compensation of the members of the Executive Committee and other key leaders based on the achievement of the Company’s corporate goals and the individuals’ performance, and approve any changes to such plan as may be proposed by the Chief Executive Officer from time to time;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approve any incentive compensation plans providing for variable compensation of employees of the Company (excluding any member of the Executive Committee) and any changes thereto, as may be proposed by the Chief Executive Officer from time to time;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 xml:space="preserve">develop and periodically review the Company’s equity compensation plan, and submit such plan and any changes to such plan to the Board of Directors for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approve grants of equity compensation pursuant to the Company’s equity compensation plans to employees of the Company (excluding grants to any member of the Executive Committee);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review and approve any perquisite benefits plans proposed by the Chief Executive Officer for the members of the Executive Committee and other key leaders;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review the annual corporate goals proposed by the Chief Executive Officer, and recommend the achievement of such goals to the Board of Directors for the Board of Directors’ final approval. The Remuneration Committee shall recommend the level of achievement of the corporate goals upon completion of each calendar year, and, once approved by the Board of Directors, apply the approved achievement level to the determination of the variable compensation of the members of the Executive Committee and other key leaders;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evaluate its own performance on a periodic basis as part of the Board of Directors' performance assessment process;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supervise the preparation of the annual compensation report and submit it to the Board of Directors for approval;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prepare and recommend to the Board of Directors for approval (i) a compensation philosophy for the Board and (ii) a compensation philosophy for the Executive Committee and other key leaders of the Company. The Remuneration Committee shall thereafter annually review such policies and recommend changes, if any, for approval by the Board; 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rFonts w:ascii="Times New Roman" w:hAnsi="Times New Roman"/>
          <w:color w:val="000000"/>
          <w:sz w:val="20"/>
        </w:rPr>
      </w:pPr>
      <w:r>
        <w:rPr>
          <w:rFonts w:ascii="Times New Roman" w:hAnsi="Times New Roman"/>
          <w:color w:val="000000"/>
          <w:sz w:val="20"/>
        </w:rPr>
        <w:t>review the Remuneration Committee charter annually and submit any recommended changes to the Board of Directors for approval.</w:t>
      </w:r>
    </w:p>
    <w:p>
      <w:pPr>
        <w:pStyle w:val="TextBody"/>
        <w:bidi w:val="0"/>
        <w:spacing w:before="198" w:after="283"/>
        <w:jc w:val="left"/>
        <w:rPr>
          <w:rFonts w:ascii="Times New Roman" w:hAnsi="Times New Roman"/>
          <w:i/>
          <w:color w:val="000000"/>
          <w:sz w:val="20"/>
        </w:rPr>
      </w:pPr>
      <w:r>
        <w:rPr>
          <w:rFonts w:ascii="Times New Roman" w:hAnsi="Times New Roman"/>
          <w:i/>
          <w:color w:val="000000"/>
          <w:sz w:val="20"/>
        </w:rPr>
        <w:t>Compensation of the Board of Directors</w:t>
      </w:r>
    </w:p>
    <w:p>
      <w:pPr>
        <w:pStyle w:val="TextBody"/>
        <w:bidi w:val="0"/>
        <w:spacing w:before="7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per the Articles, the compensation of the non-executive members of the Board of Directors is comprised of the following elements: a fixed basic remuneration, a fixed committee fee for service in a committee of the Board of Directors and a number of options, shares or other equity-linked instruments in the Company. The total compensation shall take into account the position and level of responsibility of the relevant member of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per the Articles, compensation may be paid in the form of cash, shares, options or other equity-linked instruments. The Board of Directors or, to the extent delegated to it, the Remuneration Committee, shall determine grant, vesting, exercise and forfeiture conditions. In particular, it may provide for continuation, acceleration, or removal of vesting, exercise and forfeiture conditions, for payment or grant of compensation based upon assumed target achievement, or for forfeiture, in each case in the event of pre-determined events such as a change-of-control or termination of an employment or mandate agreement.</w:t>
      </w:r>
    </w:p>
    <w:p>
      <w:pPr>
        <w:pStyle w:val="TextBody"/>
        <w:bidi w:val="0"/>
        <w:spacing w:before="31"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of the Members of the Executive Committee</w:t>
      </w:r>
    </w:p>
    <w:p>
      <w:pPr>
        <w:pStyle w:val="TextBody"/>
        <w:bidi w:val="0"/>
        <w:spacing w:before="73"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per the Articles, the compensation of the members of the Executive Committee may consist of fixed and variable compensation elements. Fixed compensation comprises a fixed remuneration payable in cash. Variable compensation comprises a performance-related remuneration which depends on the Company's business success and Executive Committee individual’s performance or achievement of pre-determined targets during a calendar or fiscal year. Total compensation takes into account the position and level of responsibility of the recipient.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per the Articles, compensation may be paid in the form of cash, shares, options, or other equity-linked instruments. Short-term compensation is in the form of base salary and target bonus, which are cash based, whereas long-term compensation is equity based. The Board of Directors or, to the extent delegated to it, the Remuneration Committee, determines the grants of equity. The Stock Option and Incentive Plan Regulation 2023 (the “</w:t>
      </w:r>
      <w:r>
        <w:rPr>
          <w:rFonts w:ascii="Times New Roman" w:hAnsi="Times New Roman"/>
          <w:i/>
          <w:color w:val="000000"/>
          <w:sz w:val="20"/>
        </w:rPr>
        <w:t>2023 Plan</w:t>
      </w:r>
      <w:r>
        <w:rPr>
          <w:rFonts w:ascii="Times New Roman" w:hAnsi="Times New Roman"/>
          <w:color w:val="000000"/>
          <w:sz w:val="20"/>
        </w:rPr>
        <w:t xml:space="preserve">”) provides that a participant may only exercise an option or stock appreciation right to the extent that the option or stock appreciation right has vested and has not lapsed under the 2023 Plan. Unless otherwise determined by our Board of Directors at the grant date or as set forth in the grant notice, an option or an award in the form of a restricted stock unit or stock appreciation right granted under the 2023 Plan typically vests as to 25% of the award at the end of the first year following the vesting start date, with the remaining 75% of the award vesting either monthly or quarterly over the 3 years after the first year following the vesting start date, depending on award type. Any restricted stock may not be transferred or pledged. Such restriction expires with vesting or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 Board of Directors, upon the occurrence of a “Corporate Transaction” (as defined in the 2023 Plan), all options and awards in the form of restricted stock units or stock appreciation rights (i) shall fully vest and (ii) in the case of options and stock appreciation rights must be immediately exercised, except if such options or stock appreciation rights are repurchased by the Company or a third party designated by the Company for a cash consideration equivalent to the economic value applicable to such option or stock appreciation right under the 2023 Plan.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Share Ownership Guidelines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adopted share ownership guidelines in May 2025 that are designed to promote the ongoing alignment of the Board of Directors and Executive Committee with the interests of our shareholders and to further promote our commitment to sound corporate governance. These guidelines require non-employee directors and members of the Executive Committee to own a certain amount of our shares by the end of a five-year compliance period and then annually thereafter. Pursuant to the guidelines, each non-employee director must own an amount of ordinary shares equal in value to three times the amount of their annual Board of Directors membership fee (exclusive of committee or chair fees), and each member of the Executive Committee must own an amount of ordinary shares equal in value to three times the amount of their annual base salary. For our Chief Executive Officer, this amount is five times the amount of his annual base salary.</w:t>
      </w:r>
    </w:p>
    <w:p>
      <w:pPr>
        <w:pStyle w:val="TextBody"/>
        <w:bidi w:val="0"/>
        <w:spacing w:before="31"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Elements of Compensation for 2025</w:t>
      </w:r>
    </w:p>
    <w:p>
      <w:pPr>
        <w:pStyle w:val="TextBody"/>
        <w:bidi w:val="0"/>
        <w:spacing w:before="7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our overall compensation packages for members of the Executive Committee are market-competitive, given the importance of attracting, motivating, and retaining persons with the necessary skills, expertise and character. For 2025, the overall compensation consisted of base salary, cash bonus and equity incentive awards under the 2023 Plan.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Base Salary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our base salaries are in line with market practice. The base salary levels are based on the experience, skills, knowledge and responsibilities required for the relevant positions. Base salary and cash bonus are reviewed annually by the Remuneration Committee, taking into account individual responsibilities, performance and experience, as well as the results of the external benchmarking. The Remuneration Committee reviews and recommends for approval by the Board of Directors the annual base salary of the Chief Executive Officer, and, in consultation with the Chief Executive Officer, of the other members of the Executive Committee.</w:t>
      </w:r>
    </w:p>
    <w:p>
      <w:pPr>
        <w:pStyle w:val="TextBody"/>
        <w:bidi w:val="0"/>
        <w:spacing w:before="31"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Bonus</w:t>
      </w:r>
    </w:p>
    <w:p>
      <w:pPr>
        <w:pStyle w:val="TextBody"/>
        <w:bidi w:val="0"/>
        <w:spacing w:before="7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members of the Executive Committee are entitled to annual cash bonuses for their performance over the fiscal year, based on goals established by our Board of Directors. Annual cash bonuses may be earned by members of our Executive Committee based on achievement of individual performance objectives, and Company performance objectives which are approved by the Board of Directors each year. The bonus program is intended to strengthen the connection between individual compensation and Company success, reinforce our pay-for-performance philosophy by awarding higher bonuses to higher performing executives and help ensure that our compensation is competitive. Under the terms of the performance bonus program, the Remuneration Committee reviews and recommends for approval by the Board of Directors the annual cash bonus of the Chief Executive Officer, and, in consultation with the Chief Executive Officer, of the other members of the Executive Committee, based on the achieved objectives. The objectives reflect a robust set of qualitative and quantitative measures designed to drive Company strategy and secure the future of the Company (including, in 2025, consideration of share price performance against the Nasdaq Biotechnology Index (NBI) and performance against the Company financing plan), develop the Company portfolio and ensure that the Company is positioned for sustained growth.</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member of the Executive Committee is eligible to receive an annual cash bonus under the program calculated by multiplying its base salary by a target percentage value assigned to it or to its position by the Remuneration Committee and the Board of Directors. The target percentage is a blended percentage based on individual and business performance. The business target percentage value is capped at 120%. The Remuneration Committee recommends for approval by the Board of Directors whether the annual cash bonus for each Executive Committee member is to be paid at target, under target or above target. Under certain circumstances, new members of the Executive Committee may receive replacement awards to compensate them for amounts forgone in connection with their change of employment.</w:t>
      </w:r>
    </w:p>
    <w:p>
      <w:pPr>
        <w:pStyle w:val="TextBody"/>
        <w:bidi w:val="0"/>
        <w:spacing w:before="31"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Stock Option and Incentive Plan Regulation</w:t>
      </w:r>
    </w:p>
    <w:p>
      <w:pPr>
        <w:pStyle w:val="TextBody"/>
        <w:bidi w:val="0"/>
        <w:spacing w:before="71"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Company’s United States Nasdaq listing in March 2023, the Company adopted the 2023 Plan which was amended in May 2024. The 2023 Plan provides for the grant of options and other equity-linked awards including restricted stock awards, restricted stock units and stock appreciation rights. The purpose of the 2023 Plan is to attract and retain highly qualified personnel and to provide employees, non-employee directors and consultants with long-term incentive to perform at the highest level on behalf of and in the best interest of the Company and its Subsidiaries. The 2023 Plan is the sole means for the Company to grant equity incentive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Plan Administration. </w:t>
      </w:r>
      <w:r>
        <w:rPr>
          <w:rFonts w:ascii="Times New Roman" w:hAnsi="Times New Roman"/>
          <w:color w:val="000000"/>
          <w:sz w:val="20"/>
        </w:rPr>
        <w:t xml:space="preserve">The Plan is administered by a plan administrator (one or several persons) elected by our Board of Directors from time to time. Currently, our plan administrator is the full Board of Directors. The plan administrator is authorized to, among others, (i) determine the eligible persons who may receive equity awards under the 2023 Plan, (ii) determine the allocation of awards to all eligible participants, (iii) determine the exercise price and the term of each equity award within the parameters set forth in the 2023 Plan, and (iv) establish such rules and regulations deemed to be appropriate and proper for the administration of the 2023 Plan, in each case, subject to the guidelines set and approved by our Board of Directors or the Remuneration Committee.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Eligible Participants. </w:t>
      </w:r>
      <w:r>
        <w:rPr>
          <w:rFonts w:ascii="Times New Roman" w:hAnsi="Times New Roman"/>
          <w:color w:val="000000"/>
          <w:sz w:val="20"/>
        </w:rPr>
        <w:t xml:space="preserve">Persons eligible to participate in our 2023 Plan are members of our Board of Directors, and employees and consultants of the Company and its Subsidiaries. The plan administrator determines within the guidelines set and approved by our Board of Directors or Remuneration Committee which eligible persons are to receive rights to acquire shares under the 2023 Plan.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Awards. </w:t>
      </w:r>
      <w:r>
        <w:rPr>
          <w:rFonts w:ascii="Times New Roman" w:hAnsi="Times New Roman"/>
          <w:color w:val="000000"/>
          <w:sz w:val="20"/>
        </w:rPr>
        <w:t>Equity incentive awards under the 2023 Plan may be granted in the form of options, restricted stock awards or rights, either in the form of restricted stock units (RSU) or in the form of stock appreciation rights (SAR) (“</w:t>
      </w:r>
      <w:r>
        <w:rPr>
          <w:rFonts w:ascii="Times New Roman" w:hAnsi="Times New Roman"/>
          <w:i/>
          <w:color w:val="000000"/>
          <w:sz w:val="20"/>
        </w:rPr>
        <w:t>Award(s)</w:t>
      </w:r>
      <w:r>
        <w:rPr>
          <w:rFonts w:ascii="Times New Roman" w:hAnsi="Times New Roman"/>
          <w:color w:val="000000"/>
          <w:sz w:val="20"/>
        </w:rPr>
        <w:t xml:space="preserve">”). Awards reserved and available for grant and issuance pursuant to the 2023 Plan allow for the issuance of up to 12,480,000 registered shares. Awards, if granted, have an exercise price determined by the plan administrator within the guidelines set and approved by the Board of Directors or the Remuneration Committee. For options, the exercise price becomes immediately due upon exercise of the option and shall be payable to the Company. For SARs, the exercise price shall be deducted from the contractual claim of the eligible participant. Awards are not subject to individual limits but are granted at market appropriate levels.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Vesting. </w:t>
      </w:r>
      <w:r>
        <w:rPr>
          <w:rFonts w:ascii="Times New Roman" w:hAnsi="Times New Roman"/>
          <w:color w:val="000000"/>
          <w:sz w:val="20"/>
        </w:rPr>
        <w:t>The vesting conditions for Awards pursuant the 2023 Plan are set forth in the applicable grant notices. Vesting may accelerate upon the occurrence of a “Corporate Transaction” (as defined in the 2023 Plan) if indicated in the grant notice or otherwise resolved by the Board of Directors. Unless otherwise determined by our Board of Directors at the grant date or set forth in the grant notice, excluding grants to non-employee Directors, Awards granted under the 2023 Plan generally vest as to 25% of the Award at the end of the first year following the vesting start date, with the remaining 75% of the Award vesting monthly (in the case of options) or quarterly (in the case of RSUs) ratably over the 3 years after the first year following the vesting start date. The exercise price for options granted is set equal to the fair market value on the date of grant. Initial awards granted to newly appointed members of the Board of Directors generally vest monthly (in the case of options) or quarterly (in the case of RSUs) ratably over the 3 years following the grant date. Annual awards granted to members of the Board of Directors vest over 1 year, becoming fully vested on the date of the following year's AGM.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Earnout consideration. </w:t>
      </w:r>
      <w:r>
        <w:rPr>
          <w:rFonts w:ascii="Times New Roman" w:hAnsi="Times New Roman"/>
          <w:color w:val="000000"/>
          <w:sz w:val="20"/>
        </w:rPr>
        <w:t>On March 2, 2023, Oculis SA consummated a business combination ("</w:t>
      </w:r>
      <w:r>
        <w:rPr>
          <w:rFonts w:ascii="Times New Roman" w:hAnsi="Times New Roman"/>
          <w:i/>
          <w:color w:val="000000"/>
          <w:sz w:val="20"/>
        </w:rPr>
        <w:t>Business Combination</w:t>
      </w:r>
      <w:r>
        <w:rPr>
          <w:rFonts w:ascii="Times New Roman" w:hAnsi="Times New Roman"/>
          <w:color w:val="000000"/>
          <w:sz w:val="20"/>
        </w:rPr>
        <w:t>") pursuant to the Business Combination Agreement ("</w:t>
      </w:r>
      <w:r>
        <w:rPr>
          <w:rFonts w:ascii="Times New Roman" w:hAnsi="Times New Roman"/>
          <w:i/>
          <w:color w:val="000000"/>
          <w:sz w:val="20"/>
        </w:rPr>
        <w:t>BCA</w:t>
      </w:r>
      <w:r>
        <w:rPr>
          <w:rFonts w:ascii="Times New Roman" w:hAnsi="Times New Roman"/>
          <w:color w:val="000000"/>
          <w:sz w:val="20"/>
        </w:rPr>
        <w:t>") between Oculis SA and European Biotech Acquisition Corp ("</w:t>
      </w:r>
      <w:r>
        <w:rPr>
          <w:rFonts w:ascii="Times New Roman" w:hAnsi="Times New Roman"/>
          <w:i/>
          <w:color w:val="000000"/>
          <w:sz w:val="20"/>
        </w:rPr>
        <w:t>EBAC</w:t>
      </w:r>
      <w:r>
        <w:rPr>
          <w:rFonts w:ascii="Times New Roman" w:hAnsi="Times New Roman"/>
          <w:color w:val="000000"/>
          <w:sz w:val="20"/>
        </w:rPr>
        <w:t xml:space="preserve">") dated as of October 17, 2022. As a result of the BCA, Oculis SA preferred, ordinary and option holders received consideration in the form of 3,793,995 earnout shares in the Company and 369,737 earnout options in the Company with an exercise price of CHF 0.01.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earnout consideration is subject to forfeiture in the event of a failure to achieve the price targets during the earnout period defined as follows: (i) 1,500,000, (ii) 1,500,000 and (iii) 1,000,000 earned based on the achievement of volume-weighted average share price (VWAP) targets of Oculis of $15.00, $20.00 and $25.00, respectively, in each case, for any 20 trading days within any consecutive 30 trading day period commencing after the acquisition closing date and ending on or prior to March 2, 2028 (the “</w:t>
      </w:r>
      <w:r>
        <w:rPr>
          <w:rFonts w:ascii="Times New Roman" w:hAnsi="Times New Roman"/>
          <w:i/>
          <w:color w:val="000000"/>
          <w:sz w:val="20"/>
        </w:rPr>
        <w:t>Earnout Period</w:t>
      </w:r>
      <w:r>
        <w:rPr>
          <w:rFonts w:ascii="Times New Roman" w:hAnsi="Times New Roman"/>
          <w:color w:val="000000"/>
          <w:sz w:val="20"/>
        </w:rPr>
        <w:t>”). A given share price target described above will also be deemed to be achieved if there is a change of control, as defined in the BCA, transaction of Oculis during the Earnout Period. In November 2024, February 2025 and February 2026, the $15.00, $20.00 and $25.00 VWAP earnout price targets were met,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relation to the shares and equity awards disclosed below, any earnout options and unvested earnout shares have not been included in Section 2.c. (Board Compensation Amounts) and Section 3.c. (Executive Committee Compensation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Amounts). Earnout options and earnout shares are specifically tied to the Business Combination and are thus excluded from consideration as compensation. However, earnout options have been included in Section 4. (Equity and Equity-Linked Instruments Held by Members of the Board of Directors and the Executive Committee).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Termination of Service and Corporate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Generally, in the event of a participant’s termination of service, any Award not vested upon receipt of a notice of termination of the relevant legal relationship shall immediately lapse. Any option exercisable at the time a notice of termination has been received (regardless of which party gives notice) and outstanding at the time the legal relationship forming the basis of the service ends shall remain exercisable within three months post-termination of the service relationship unless the plan administrator provides for an exemption, provided that such period shall in no event end later than the original expiry date of the option. Should the participant's service be terminated for cause, then all outstanding Awards (whether vested or not), held by the participant shall terminate immediately and cease to be outstanding.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indicated in the grant notice or otherwise resolved by the Board of Directors, in the event of any Corporate Transaction (as defined in the 2023 Plan), all Awards (i) shall fully vest and (ii) in the case of options and SARs must be immediately exercised, except if such Awards are repurchased by the Company or a third party designated by the Company for a cash consideration equivalent to the economic value applicable to such Award under the 2023 Plan. If indicated in the grant notice, in the event of any Corporate Transaction, the repurchase right for any restricted stock shall expire and such restricted stock shall become unrestricted shares. At the consummation of the Corporate Transaction, all vested Awards shall be exercised and/or settled and shall cease to be outstanding. The Company shall be entitled to terminate any unvested Awards and thereby shall compensate a participant for the economic value of such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Amendment. </w:t>
      </w:r>
      <w:r>
        <w:rPr>
          <w:rFonts w:ascii="Times New Roman" w:hAnsi="Times New Roman"/>
          <w:color w:val="000000"/>
          <w:sz w:val="20"/>
        </w:rPr>
        <w:t xml:space="preserve">The Board of Directors shall have complete and exclusive power and authority to amend or modify the 2023 Plan in any or all respects. Unless such change is required to comply with applicable law, listing requirements, accounting rules or tax requirements, no such amendment or modification shall, without the consent of the concerned participant, adversely affect its rights and obligations under the 2023 Plan.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Pensions and other post-employment benefit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maintain post-employment benefit plans that provide our employees with an opportunity to save for retirement on a tax advantaged basis. The Company’s Swiss entity is affiliated to a collective foundation administrating the pension plans of various unrelated employers. In addition, a customary Swiss pension plan is in place for eligible employees, in compliance with the requirements of applicable laws. The Company’s Icelandic entity makes contributions to pension funds selected by our employees according to applicable laws. For the Company’s U.S. entity, we have adopted a 401(k) defined contribution plan.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Social Charges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pays social security contributions as required by applicable law. The Company also pays certain non-mandatory benefits under local social security plans.</w:t>
      </w:r>
    </w:p>
    <w:p>
      <w:pPr>
        <w:pStyle w:val="TextBody"/>
        <w:bidi w:val="0"/>
        <w:spacing w:before="32" w:after="283"/>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Employment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entered into employment agreements with all the members of our Executive Committee. Each of these agreements provides for a base salary and annual cash bonus opportunity, equity eligibility participation, as well as participation in certain pension and welfare benefit plans. These agreements generally require advance notice of termination, and in some cases provide for garden leave (paid leave). Members of our Executive Committee have agreed to covenants not to compete against us or solicit our employees or customers during and post-employment for a specified period following termination. We may be required to pay some members of our Executive Committee compensation for their covenant not to compete with us following termination for some period.</w:t>
      </w:r>
    </w:p>
    <w:p>
      <w:pPr>
        <w:pStyle w:val="TextBody"/>
        <w:bidi w:val="0"/>
        <w:spacing w:before="33"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w:t>
      </w:r>
    </w:p>
    <w:p>
      <w:pPr>
        <w:pStyle w:val="TextBody"/>
        <w:bidi w:val="0"/>
        <w:jc w:val="left"/>
        <w:rPr>
          <w:rFonts w:ascii="Times New Roman" w:hAnsi="Times New Roman"/>
          <w:b/>
          <w:color w:val="000000"/>
          <w:sz w:val="20"/>
        </w:rPr>
      </w:pPr>
      <w:r>
        <w:rPr>
          <w:rFonts w:ascii="Times New Roman" w:hAnsi="Times New Roman"/>
          <w:b/>
          <w:color w:val="000000"/>
          <w:sz w:val="20"/>
        </w:rPr>
        <w:t>Compensation of the Board of Directors</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Board Composition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Our Board of Directors is composed of eight members (each a “</w:t>
      </w:r>
      <w:r>
        <w:rPr>
          <w:rFonts w:ascii="Times New Roman" w:hAnsi="Times New Roman"/>
          <w:i/>
          <w:color w:val="000000"/>
          <w:sz w:val="20"/>
        </w:rPr>
        <w:t>Director</w:t>
      </w:r>
      <w:r>
        <w:rPr>
          <w:rFonts w:ascii="Times New Roman" w:hAnsi="Times New Roman"/>
          <w:color w:val="000000"/>
          <w:sz w:val="20"/>
        </w:rPr>
        <w:t>”). Each Director is elected for a one-year term. The current Directors were elected at our AGM on June 4, 2025 to serve until our 2026 AGM.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foreign private issuer, the Company is subject to the rules of the SEC and the Nasdaq Stock Exchange for its listing on the United States Nasdaq Global Market and to the regulations of the Financial Supervisory Authority of the Central Bank of Iceland (FME) for its listing on Nasdaq Iceland Main Market. We rely on Swiss home country governance requirements and certain exemptions thereunder rather than on the Nasdaq corporate governance requirements. The majority of our Directors are independent directors. There are no family relationships among any members of our Board of Directors or the Executive Committee.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Board of Directors</w:t>
      </w:r>
    </w:p>
    <w:p>
      <w:pPr>
        <w:pStyle w:val="TextBody"/>
        <w:bidi w:val="0"/>
        <w:jc w:val="both"/>
        <w:rPr/>
      </w:pPr>
      <w:r>
        <w:rPr/>
        <w:t> </w:t>
      </w:r>
    </w:p>
    <w:tbl>
      <w:tblPr>
        <w:tblW w:w="6093" w:type="dxa"/>
        <w:jc w:val="left"/>
        <w:tblInd w:w="0" w:type="dxa"/>
        <w:tblLayout w:type="fixed"/>
        <w:tblCellMar>
          <w:top w:w="28" w:type="dxa"/>
          <w:left w:w="28" w:type="dxa"/>
          <w:bottom w:w="28" w:type="dxa"/>
          <w:right w:w="28" w:type="dxa"/>
        </w:tblCellMar>
      </w:tblPr>
      <w:tblGrid>
        <w:gridCol w:w="2056"/>
        <w:gridCol w:w="2731"/>
        <w:gridCol w:w="1306"/>
      </w:tblGrid>
      <w:tr>
        <w:trPr/>
        <w:tc>
          <w:tcPr>
            <w:tcW w:w="205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Role(s)</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Appointed</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Lionel Carnot</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Pravin Dugel, M.D.</w:t>
            </w:r>
            <w:r>
              <w:rPr>
                <w:rFonts w:ascii="Times New Roman" w:hAnsi="Times New Roman"/>
                <w:color w:val="000000"/>
                <w:sz w:val="11"/>
              </w:rPr>
              <w:t>(1)</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Arshad M. Khanani, M.D.</w:t>
            </w:r>
            <w:r>
              <w:rPr>
                <w:rFonts w:ascii="Times New Roman" w:hAnsi="Times New Roman"/>
                <w:color w:val="000000"/>
                <w:sz w:val="11"/>
              </w:rPr>
              <w:t>(2)</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Martijn Kleijwegt</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Geraldine O’Keeffe</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Rosenberg</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 of the Board of Directors</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r>
          </w:p>
        </w:tc>
        <w:tc>
          <w:tcPr>
            <w:tcW w:w="27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 and Chief Executive Officer</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Robert Warner</w:t>
            </w:r>
            <w:r>
              <w:rPr>
                <w:rFonts w:ascii="Times New Roman" w:hAnsi="Times New Roman"/>
                <w:color w:val="000000"/>
                <w:sz w:val="11"/>
              </w:rPr>
              <w:t>(3)</w:t>
            </w:r>
          </w:p>
        </w:tc>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2024</w:t>
            </w:r>
          </w:p>
        </w:tc>
      </w:tr>
    </w:tbl>
    <w:p>
      <w:pPr>
        <w:pStyle w:val="TextBody"/>
        <w:bidi w:val="0"/>
        <w:spacing w:before="1" w:after="283"/>
        <w:jc w:val="both"/>
        <w:rPr/>
      </w:pPr>
      <w:r>
        <w:rPr/>
        <w:t> </w:t>
      </w:r>
    </w:p>
    <w:p>
      <w:pPr>
        <w:pStyle w:val="TextBody"/>
        <w:bidi w:val="0"/>
        <w:spacing w:before="1" w:after="283"/>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Pravin Dugel, M.D. retired from the Board of Directors on May 29, 2024.</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Arshad M. Khanani, M.D. was elected to the Board of Directors on May 29, 2024.</w:t>
      </w:r>
    </w:p>
    <w:p>
      <w:pPr>
        <w:pStyle w:val="TextBody"/>
        <w:bidi w:val="0"/>
        <w:jc w:val="both"/>
        <w:rPr>
          <w:rFonts w:ascii="Times New Roman" w:hAnsi="Times New Roman"/>
          <w:sz w:val="20"/>
        </w:rPr>
      </w:pPr>
      <w:r>
        <w:rPr>
          <w:rFonts w:ascii="Times New Roman" w:hAnsi="Times New Roman"/>
          <w:color w:val="000000"/>
          <w:sz w:val="11"/>
        </w:rPr>
        <w:t xml:space="preserve">(3) </w:t>
      </w:r>
      <w:r>
        <w:rPr>
          <w:rFonts w:ascii="Times New Roman" w:hAnsi="Times New Roman"/>
          <w:color w:val="000000"/>
          <w:sz w:val="16"/>
        </w:rPr>
        <w:t>Robert K. Warner was elected to the Board of Directors on May 29, 2024.</w:t>
      </w:r>
    </w:p>
    <w:p>
      <w:pPr>
        <w:pStyle w:val="TextBody"/>
        <w:bidi w:val="0"/>
        <w:spacing w:before="0" w:after="160"/>
        <w:jc w:val="left"/>
        <w:rPr/>
      </w:pPr>
      <w:r>
        <w:rPr/>
        <w:t> </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Board Committees</w:t>
      </w:r>
    </w:p>
    <w:p>
      <w:pPr>
        <w:pStyle w:val="TextBody"/>
        <w:bidi w:val="0"/>
        <w:jc w:val="left"/>
        <w:rPr>
          <w:rFonts w:ascii="Times New Roman" w:hAnsi="Times New Roman"/>
          <w:sz w:val="20"/>
        </w:rPr>
      </w:pPr>
      <w:r>
        <w:rPr>
          <w:rFonts w:ascii="Times New Roman" w:hAnsi="Times New Roman"/>
          <w:color w:val="000000"/>
          <w:sz w:val="20"/>
        </w:rPr>
        <w:t>The composition of Board committees of the Board of Directors (“</w:t>
      </w:r>
      <w:r>
        <w:rPr>
          <w:rFonts w:ascii="Times New Roman" w:hAnsi="Times New Roman"/>
          <w:i/>
          <w:color w:val="000000"/>
          <w:sz w:val="20"/>
        </w:rPr>
        <w:t>Board Committee(s)</w:t>
      </w:r>
      <w:r>
        <w:rPr>
          <w:rFonts w:ascii="Times New Roman" w:hAnsi="Times New Roman"/>
          <w:color w:val="000000"/>
          <w:sz w:val="20"/>
        </w:rPr>
        <w:t>”) from May 29, 2024 and as of December 31, 2025 is as follows:</w:t>
      </w:r>
    </w:p>
    <w:p>
      <w:pPr>
        <w:pStyle w:val="TextBody"/>
        <w:bidi w:val="0"/>
        <w:jc w:val="left"/>
        <w:rPr/>
      </w:pPr>
      <w:r>
        <w:rPr/>
        <w:t> </w:t>
      </w:r>
    </w:p>
    <w:tbl>
      <w:tblPr>
        <w:tblW w:w="6814" w:type="dxa"/>
        <w:jc w:val="left"/>
        <w:tblInd w:w="0" w:type="dxa"/>
        <w:tblLayout w:type="fixed"/>
        <w:tblCellMar>
          <w:top w:w="28" w:type="dxa"/>
          <w:left w:w="28" w:type="dxa"/>
          <w:bottom w:w="28" w:type="dxa"/>
          <w:right w:w="28" w:type="dxa"/>
        </w:tblCellMar>
      </w:tblPr>
      <w:tblGrid>
        <w:gridCol w:w="1591"/>
        <w:gridCol w:w="946"/>
        <w:gridCol w:w="1186"/>
        <w:gridCol w:w="3091"/>
      </w:tblGrid>
      <w:tr>
        <w:trPr/>
        <w:tc>
          <w:tcPr>
            <w:tcW w:w="15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Audit </w:t>
              <w:br/>
              <w:t>Committee</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Remuneration </w:t>
              <w:br/>
              <w:t>Committee</w:t>
            </w:r>
          </w:p>
        </w:tc>
        <w:tc>
          <w:tcPr>
            <w:tcW w:w="3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Nomination and Governance Committee</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Lionel Carnot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Martijn Kleijwegt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Geraldine O’Keeffe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Warner</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composition of Board Committees as of January 1, 2024 and through May 29, 2024 was as follows:</w:t>
      </w:r>
    </w:p>
    <w:tbl>
      <w:tblPr>
        <w:tblW w:w="6814" w:type="dxa"/>
        <w:jc w:val="left"/>
        <w:tblInd w:w="0" w:type="dxa"/>
        <w:tblLayout w:type="fixed"/>
        <w:tblCellMar>
          <w:top w:w="28" w:type="dxa"/>
          <w:left w:w="28" w:type="dxa"/>
          <w:bottom w:w="28" w:type="dxa"/>
          <w:right w:w="28" w:type="dxa"/>
        </w:tblCellMar>
      </w:tblPr>
      <w:tblGrid>
        <w:gridCol w:w="1591"/>
        <w:gridCol w:w="946"/>
        <w:gridCol w:w="1186"/>
        <w:gridCol w:w="3091"/>
      </w:tblGrid>
      <w:tr>
        <w:trPr/>
        <w:tc>
          <w:tcPr>
            <w:tcW w:w="15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Audit </w:t>
              <w:br/>
              <w:t>Committee</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Remuneration </w:t>
              <w:br/>
              <w:t>Committee</w:t>
            </w:r>
          </w:p>
        </w:tc>
        <w:tc>
          <w:tcPr>
            <w:tcW w:w="3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Nomination and Governance Committee</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Lionel Carnot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Pravin Dugel, M.D.</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w:t>
            </w:r>
          </w:p>
        </w:tc>
      </w:tr>
      <w:tr>
        <w:trPr/>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Martijn Kleijwegt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r>
        <w:trPr/>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Geraldine O'Keeffe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Member</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Board Compensation Structure</w:t>
      </w:r>
    </w:p>
    <w:p>
      <w:pPr>
        <w:pStyle w:val="TextBody"/>
        <w:bidi w:val="0"/>
        <w:spacing w:before="72"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Members of the Board of Directors who are not employees of the Company (including any of its affiliates) (“</w:t>
      </w:r>
      <w:r>
        <w:rPr>
          <w:rFonts w:ascii="Times New Roman" w:hAnsi="Times New Roman"/>
          <w:i/>
          <w:color w:val="000000"/>
          <w:sz w:val="20"/>
        </w:rPr>
        <w:t>Eligible Director</w:t>
      </w:r>
      <w:r>
        <w:rPr>
          <w:rFonts w:ascii="Times New Roman" w:hAnsi="Times New Roman"/>
          <w:color w:val="000000"/>
          <w:sz w:val="20"/>
        </w:rPr>
        <w:t>”) are paid an annual retainer reflecting the specific role and responsibility as well as the expected average time involved with the function. Such annual retainers have been established in line with market practice and represent the fee paid for being a member of the Board of Directors or Board Committee and the additional fee paid to the chair of the Board of Directors or Board Committee.</w:t>
      </w:r>
    </w:p>
    <w:p>
      <w:pPr>
        <w:pStyle w:val="TextBody"/>
        <w:bidi w:val="0"/>
        <w:spacing w:before="1"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The following amounts were approved in USD by the Board of Directors and are within the maximum compensation amounts approved by shareholders at the 2025 Annual General Meeting. Amounts were converted to CHF at the average USD/CHF rate in 2025 of 0.83066:</w:t>
      </w:r>
    </w:p>
    <w:tbl>
      <w:tblPr>
        <w:tblW w:w="5673" w:type="dxa"/>
        <w:jc w:val="left"/>
        <w:tblInd w:w="0" w:type="dxa"/>
        <w:tblLayout w:type="fixed"/>
        <w:tblCellMar>
          <w:top w:w="28" w:type="dxa"/>
          <w:left w:w="28" w:type="dxa"/>
          <w:bottom w:w="28" w:type="dxa"/>
          <w:right w:w="28" w:type="dxa"/>
        </w:tblCellMar>
      </w:tblPr>
      <w:tblGrid>
        <w:gridCol w:w="2926"/>
        <w:gridCol w:w="1351"/>
        <w:gridCol w:w="1396"/>
      </w:tblGrid>
      <w:tr>
        <w:trPr/>
        <w:tc>
          <w:tcPr>
            <w:tcW w:w="29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of Directors</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$89.0 (CHF 73.9)</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$48.0 (CHF 39.9)</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 Committee</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 (CHF 16.6)</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 (CHF 10.0)</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Remuneration Committee</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 (CHF 12.5)</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 (CHF 6.2)</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Nomination and Governance Committee</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$11.0 (CHF 9.1)</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 (CHF 4.6)</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fixed compensation described above, each Eligible Director is eligible to participate in the 2023 Plan, subject to its terms and conditions as approved and amended by the Board of Directors from time to time. Upon election, the Company issues to Eligible Directors a one-time equity incentive Award under the 2023 Plan or other equity incentive plans then in effect, at an estimated equity value of USD 400,000 (CHF 332,264) in 2025, as compared to USD 270,000 (CHF 237,751) in 2024. The one-time equity incentive Award of Eligible Directors upon election is typically subject to a quarterly vesting of three years. The exact number of Awards to be granted is determined by the Company in the grant notice in its free discretion and only such grant notice has legal effect. The Company will also issue to Eligible Directors for any subsequent year an annual equity incentive award in the form of stock option or similar awards under the 2023 Plan or other equity incentive plans then in effect, at an estimated equity value of USD 250,000 (CHF 207,665) in 2025 subject to a quarterly vesting of approximately one year, with 100% vesting to occur on the date of the following year's AGM, as compared to USD 135,000 (CHF 118,876) in 2024. Above amounts exclude any applicable social charges.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Eligible Directors are not eligible to any benefits other than those set out in the Board of Directors Compensation Philosophy, unless our Board of Directors decides otherwise. The Company reimburses all reasonable expenses in accordance with the terms and conditions of the Company’s travel and expense policy then in effect.</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Board Compensation Amounts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January 1, 2025 through December 31, 2025, the compensation of the members of the Board of Directors for their service on the Board was as follows (converted from other currencies as applicable at the average prevailing exchange rate over the reporting period): </w:t>
      </w:r>
    </w:p>
    <w:p>
      <w:pPr>
        <w:pStyle w:val="TextBody"/>
        <w:bidi w:val="0"/>
        <w:jc w:val="both"/>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16"/>
        </w:rPr>
        <w:t>Amounts in CHF</w:t>
      </w:r>
      <w:r>
        <w:rPr>
          <w:rFonts w:ascii="Times New Roman" w:hAnsi="Times New Roman"/>
          <w:i/>
          <w:color w:val="000000"/>
          <w:sz w:val="11"/>
        </w:rPr>
        <w:t>(1)</w:t>
      </w:r>
    </w:p>
    <w:tbl>
      <w:tblPr>
        <w:tblW w:w="10205" w:type="dxa"/>
        <w:jc w:val="left"/>
        <w:tblInd w:w="0" w:type="dxa"/>
        <w:tblLayout w:type="fixed"/>
        <w:tblCellMar>
          <w:top w:w="28" w:type="dxa"/>
          <w:left w:w="28" w:type="dxa"/>
          <w:bottom w:w="28" w:type="dxa"/>
          <w:right w:w="28" w:type="dxa"/>
        </w:tblCellMar>
      </w:tblPr>
      <w:tblGrid>
        <w:gridCol w:w="1468"/>
        <w:gridCol w:w="2029"/>
        <w:gridCol w:w="1596"/>
        <w:gridCol w:w="1879"/>
        <w:gridCol w:w="791"/>
        <w:gridCol w:w="1035"/>
        <w:gridCol w:w="1407"/>
      </w:tblGrid>
      <w:tr>
        <w:trPr/>
        <w:tc>
          <w:tcPr>
            <w:tcW w:w="146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cash compensation</w:t>
            </w:r>
          </w:p>
        </w:tc>
        <w:tc>
          <w:tcPr>
            <w:tcW w:w="1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Employer social contributions</w:t>
            </w:r>
            <w:r>
              <w:rPr>
                <w:rFonts w:ascii="Times New Roman" w:hAnsi="Times New Roman"/>
                <w:b/>
                <w:color w:val="000000"/>
                <w:sz w:val="11"/>
              </w:rPr>
              <w:t>(2)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cash</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Equity FMV </w:t>
            </w:r>
            <w:r>
              <w:rPr>
                <w:rFonts w:ascii="Times New Roman" w:hAnsi="Times New Roman"/>
                <w:b/>
                <w:color w:val="000000"/>
                <w:sz w:val="11"/>
              </w:rPr>
              <w:t>(3)</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compensation</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61,881</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61,880</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205,275</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267,155</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Lionel Carnot</w:t>
            </w:r>
            <w:r>
              <w:rPr>
                <w:rFonts w:ascii="Times New Roman" w:hAnsi="Times New Roman"/>
                <w:color w:val="000000"/>
                <w:sz w:val="11"/>
              </w:rPr>
              <w:t>(4)</w:t>
            </w:r>
          </w:p>
        </w:tc>
        <w:tc>
          <w:tcPr>
            <w:tcW w:w="20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Arshad Khanani, M.D.</w:t>
            </w:r>
            <w:r>
              <w:rPr>
                <w:rFonts w:ascii="Times New Roman" w:hAnsi="Times New Roman"/>
                <w:color w:val="000000"/>
                <w:sz w:val="11"/>
              </w:rPr>
              <w:t>(6)</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39,745</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39,745</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436,537</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476,283</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Martijn Kleijwegt</w:t>
            </w:r>
            <w:r>
              <w:rPr>
                <w:rFonts w:ascii="Times New Roman" w:hAnsi="Times New Roman"/>
                <w:color w:val="000000"/>
                <w:sz w:val="11"/>
              </w:rPr>
              <w:t>(4)</w:t>
            </w:r>
          </w:p>
        </w:tc>
        <w:tc>
          <w:tcPr>
            <w:tcW w:w="20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Geraldine O’Keeffe</w:t>
            </w:r>
            <w:r>
              <w:rPr>
                <w:rFonts w:ascii="Times New Roman" w:hAnsi="Times New Roman"/>
                <w:color w:val="000000"/>
                <w:sz w:val="11"/>
              </w:rPr>
              <w:t>(4)</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Rosenberg</w:t>
            </w:r>
          </w:p>
        </w:tc>
        <w:tc>
          <w:tcPr>
            <w:tcW w:w="20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 of the Board of Directors</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78,124</w:t>
            </w:r>
          </w:p>
        </w:tc>
        <w:tc>
          <w:tcPr>
            <w:tcW w:w="1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84,897</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205,275</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290,172</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Riad Sherif, M.D.</w:t>
            </w:r>
            <w:r>
              <w:rPr>
                <w:rFonts w:ascii="Times New Roman" w:hAnsi="Times New Roman"/>
                <w:color w:val="000000"/>
                <w:sz w:val="11"/>
              </w:rPr>
              <w:t>(5)</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 and Chief Executive Officer</w:t>
            </w:r>
          </w:p>
        </w:tc>
        <w:tc>
          <w:tcPr>
            <w:tcW w:w="1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Warner</w:t>
            </w:r>
          </w:p>
        </w:tc>
        <w:tc>
          <w:tcPr>
            <w:tcW w:w="202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54,880</w:t>
            </w:r>
          </w:p>
        </w:tc>
        <w:tc>
          <w:tcPr>
            <w:tcW w:w="1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54,880</w:t>
            </w:r>
          </w:p>
        </w:tc>
        <w:tc>
          <w:tcPr>
            <w:tcW w:w="10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205,275</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260,155</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20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234,630</w:t>
            </w:r>
          </w:p>
        </w:tc>
        <w:tc>
          <w:tcPr>
            <w:tcW w:w="1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6,773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241,402</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1,052,362</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1,293,764</w:t>
            </w:r>
          </w:p>
        </w:tc>
      </w:tr>
    </w:tbl>
    <w:p>
      <w:pPr>
        <w:pStyle w:val="TextBody"/>
        <w:bidi w:val="0"/>
        <w:spacing w:before="1" w:after="283"/>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The Equity FMV amounts in USD were converted to CHF at the USD/CHF rate at grant date.</w:t>
      </w:r>
    </w:p>
    <w:p>
      <w:pPr>
        <w:pStyle w:val="TextBody"/>
        <w:bidi w:val="0"/>
        <w:jc w:val="both"/>
        <w:rPr>
          <w:rFonts w:ascii="Times New Roman" w:hAnsi="Times New Roman"/>
          <w:sz w:val="20"/>
        </w:rPr>
      </w:pPr>
      <w:r>
        <w:rPr>
          <w:rFonts w:ascii="Times New Roman" w:hAnsi="Times New Roman"/>
          <w:color w:val="000000"/>
          <w:sz w:val="9"/>
        </w:rPr>
        <w:t>(2)</w:t>
      </w:r>
      <w:r>
        <w:rPr>
          <w:rFonts w:ascii="Times New Roman" w:hAnsi="Times New Roman"/>
          <w:color w:val="000000"/>
          <w:sz w:val="20"/>
        </w:rPr>
        <w:t xml:space="preserve"> </w:t>
      </w:r>
      <w:r>
        <w:rPr>
          <w:rFonts w:ascii="Times New Roman" w:hAnsi="Times New Roman"/>
          <w:color w:val="000000"/>
          <w:sz w:val="14"/>
        </w:rPr>
        <w:t>Includes social security contributions as required by applicable laws for the year ended December 31, 2025.</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Amounts represent the aggregate grant date fair value of stock options granted to our non-employee Directors during 2025 at the date of grant, computed in accordance with IFRS 2. Assumptions used in the calculation of these amounts are included in Note 13 to our financial statements included in our Annual Report on Form 20-F for the year ended December 31, 2025. These amounts do not necessarily correspond to the actual value that may be recognized by the non-employee Directors. This equity FMV excludes social contributions that will be reported at the time when equity awards are exercised or vested.</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Lionel Carnot, Martijn Kleijwegt and Geraldine O’Keeffe did not receive any compensation for their services on the Board of Directors due to policy requirements of their employers which are investors in the Company.</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As a member of the Executive Committee, Riad Sherif, M.D. does not receive any compensation for service on the Board of Directors. Compensation for Riad Sherif, M.D. is included in Section 3.c below.</w:t>
      </w:r>
    </w:p>
    <w:p>
      <w:pPr>
        <w:pStyle w:val="TextBody"/>
        <w:bidi w:val="0"/>
        <w:jc w:val="both"/>
        <w:rPr>
          <w:rFonts w:ascii="Times New Roman" w:hAnsi="Times New Roman"/>
          <w:sz w:val="20"/>
        </w:rPr>
      </w:pPr>
      <w:r>
        <w:rPr>
          <w:rFonts w:ascii="Times New Roman" w:hAnsi="Times New Roman"/>
          <w:color w:val="000000"/>
          <w:sz w:val="9"/>
        </w:rPr>
        <w:t>(6)</w:t>
      </w:r>
      <w:r>
        <w:rPr>
          <w:rFonts w:ascii="Times New Roman" w:hAnsi="Times New Roman"/>
          <w:color w:val="000000"/>
          <w:sz w:val="20"/>
        </w:rPr>
        <w:t xml:space="preserve"> </w:t>
      </w:r>
      <w:r>
        <w:rPr>
          <w:rFonts w:ascii="Times New Roman" w:hAnsi="Times New Roman"/>
          <w:color w:val="000000"/>
          <w:sz w:val="14"/>
        </w:rPr>
        <w:t>Does not include CHF 49,840 of consulting fees paid for non-Board related services.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January 1, 2024 through December 31, 2024, the compensation of the members of the Board of Directors for their service on the Board was as follows (converted from other currencies as applicable at the average prevailing exchange rate over the reporting period):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i/>
          <w:color w:val="000000"/>
          <w:sz w:val="16"/>
        </w:rPr>
        <w:t>Amounts in CHF</w:t>
      </w:r>
      <w:r>
        <w:rPr>
          <w:rFonts w:ascii="Times New Roman" w:hAnsi="Times New Roman"/>
          <w:i/>
          <w:color w:val="000000"/>
          <w:sz w:val="11"/>
        </w:rPr>
        <w:t>(1)</w:t>
      </w:r>
    </w:p>
    <w:tbl>
      <w:tblPr>
        <w:tblW w:w="10205" w:type="dxa"/>
        <w:jc w:val="left"/>
        <w:tblInd w:w="0" w:type="dxa"/>
        <w:tblLayout w:type="fixed"/>
        <w:tblCellMar>
          <w:top w:w="28" w:type="dxa"/>
          <w:left w:w="28" w:type="dxa"/>
          <w:bottom w:w="28" w:type="dxa"/>
          <w:right w:w="28" w:type="dxa"/>
        </w:tblCellMar>
      </w:tblPr>
      <w:tblGrid>
        <w:gridCol w:w="1342"/>
        <w:gridCol w:w="1776"/>
        <w:gridCol w:w="257"/>
        <w:gridCol w:w="1221"/>
        <w:gridCol w:w="146"/>
        <w:gridCol w:w="330"/>
        <w:gridCol w:w="1365"/>
        <w:gridCol w:w="146"/>
        <w:gridCol w:w="147"/>
        <w:gridCol w:w="697"/>
        <w:gridCol w:w="146"/>
        <w:gridCol w:w="172"/>
        <w:gridCol w:w="818"/>
        <w:gridCol w:w="146"/>
        <w:gridCol w:w="194"/>
        <w:gridCol w:w="1103"/>
        <w:gridCol w:w="199"/>
      </w:tblGrid>
      <w:tr>
        <w:trPr/>
        <w:tc>
          <w:tcPr>
            <w:tcW w:w="134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4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cash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Employer social contributions</w:t>
            </w:r>
            <w:r>
              <w:rPr>
                <w:rFonts w:ascii="Times New Roman" w:hAnsi="Times New Roman"/>
                <w:b/>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cash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Equity FMV </w:t>
            </w:r>
            <w:r>
              <w:rPr>
                <w:rFonts w:ascii="Times New Roman" w:hAnsi="Times New Roman"/>
                <w:b/>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compensation</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188,114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Lionel Carnot</w:t>
            </w:r>
            <w:r>
              <w:rPr>
                <w:rFonts w:ascii="Times New Roman" w:hAnsi="Times New Roman"/>
                <w:color w:val="000000"/>
                <w:sz w:val="11"/>
              </w:rPr>
              <w:t>(5)</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Pravin Dugel, M.D.</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Arshad Khanani, M.D.</w:t>
            </w:r>
            <w:r>
              <w:rPr>
                <w:rFonts w:ascii="Times New Roman" w:hAnsi="Times New Roman"/>
                <w:color w:val="000000"/>
                <w:sz w:val="11"/>
              </w:rPr>
              <w:t>(4)</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588,391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Martijn Kleijwegt</w:t>
            </w:r>
            <w:r>
              <w:rPr>
                <w:rFonts w:ascii="Times New Roman" w:hAnsi="Times New Roman"/>
                <w:color w:val="000000"/>
                <w:sz w:val="11"/>
              </w:rPr>
              <w:t>(5)</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47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Geraldine O’Keeffe</w:t>
            </w:r>
            <w:r>
              <w:rPr>
                <w:rFonts w:ascii="Times New Roman" w:hAnsi="Times New Roman"/>
                <w:color w:val="000000"/>
                <w:sz w:val="11"/>
              </w:rPr>
              <w:t>(5)</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Rosenberg</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 of the Board of Directors</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203,429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Riad Sherif, M.D.</w:t>
            </w:r>
            <w:r>
              <w:rPr>
                <w:rFonts w:ascii="Times New Roman" w:hAnsi="Times New Roman"/>
                <w:color w:val="000000"/>
                <w:sz w:val="11"/>
              </w:rPr>
              <w:t>(6)</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 and Chief Executive Officer</w:t>
            </w:r>
          </w:p>
        </w:tc>
        <w:tc>
          <w:tcPr>
            <w:tcW w:w="147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Robert Warner</w:t>
            </w:r>
            <w:r>
              <w:rPr>
                <w:rFonts w:ascii="Times New Roman" w:hAnsi="Times New Roman"/>
                <w:color w:val="000000"/>
                <w:sz w:val="11"/>
              </w:rPr>
              <w:t>(4)</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266,412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287,010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304,945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968,297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1,273,242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The Equity FMV amounts in USD were converted to CHF at the USD/CHF rate at grant date.</w:t>
      </w:r>
    </w:p>
    <w:p>
      <w:pPr>
        <w:pStyle w:val="TextBody"/>
        <w:bidi w:val="0"/>
        <w:jc w:val="both"/>
        <w:rPr>
          <w:rFonts w:ascii="Times New Roman" w:hAnsi="Times New Roman"/>
          <w:sz w:val="20"/>
        </w:rPr>
      </w:pPr>
      <w:r>
        <w:rPr>
          <w:rFonts w:ascii="Times New Roman" w:hAnsi="Times New Roman"/>
          <w:color w:val="000000"/>
          <w:sz w:val="9"/>
        </w:rPr>
        <w:t>(2)</w:t>
      </w:r>
      <w:r>
        <w:rPr>
          <w:rFonts w:ascii="Times New Roman" w:hAnsi="Times New Roman"/>
          <w:color w:val="000000"/>
          <w:sz w:val="20"/>
        </w:rPr>
        <w:t xml:space="preserve"> </w:t>
      </w:r>
      <w:r>
        <w:rPr>
          <w:rFonts w:ascii="Times New Roman" w:hAnsi="Times New Roman"/>
          <w:color w:val="000000"/>
          <w:sz w:val="14"/>
        </w:rPr>
        <w:t>Includes social security contributions as required by applicable laws for the year ended December 31, 2024.</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Amounts represent the aggregate grant date fair value of stock options granted to our non-employee Directors for the year ended December 31, 2024 at the date of grant, computed in accordance with IFRS 2. Assumptions used in the calculation of these amounts are included in Note 13 to our financial statements included in our Annual Report on Form 20-F for the year ended December 31, 2024. These amounts do not necessarily correspond to the actual value recognized or that may be recognized by the non-employee Directors. This equity FMV excludes social contributions that will be reported at the time when equity awards are exercised or vested.</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Robert Warner and Arshad Khanani, M.D. received a one-time equity incentive award upon joining the Board in May 2024.</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Lionel Carnot, Martijn Kleijwegt and Geraldine O’Keeffe did not receive any compensation for their services on the Board of Directors due to policy requirements of their employers which are investors in the Company.</w:t>
      </w:r>
    </w:p>
    <w:p>
      <w:pPr>
        <w:pStyle w:val="TextBody"/>
        <w:bidi w:val="0"/>
        <w:jc w:val="both"/>
        <w:rPr>
          <w:rFonts w:ascii="Times New Roman" w:hAnsi="Times New Roman"/>
          <w:sz w:val="20"/>
        </w:rPr>
      </w:pPr>
      <w:r>
        <w:rPr>
          <w:rFonts w:ascii="Times New Roman" w:hAnsi="Times New Roman"/>
          <w:color w:val="000000"/>
          <w:sz w:val="9"/>
        </w:rPr>
        <w:t>(6)</w:t>
      </w:r>
      <w:r>
        <w:rPr>
          <w:rFonts w:ascii="Times New Roman" w:hAnsi="Times New Roman"/>
          <w:color w:val="000000"/>
          <w:sz w:val="20"/>
        </w:rPr>
        <w:t xml:space="preserve"> </w:t>
      </w:r>
      <w:r>
        <w:rPr>
          <w:rFonts w:ascii="Times New Roman" w:hAnsi="Times New Roman"/>
          <w:color w:val="000000"/>
          <w:sz w:val="14"/>
        </w:rPr>
        <w:t>As a member of the Executive Committee, Riad Sherif, M.D. does not receive any compensation for service on the Board of Directors. Compensation for Riad Sherif, M.D. is included in Section 3.c below.</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Loans to members of the Board of Directors, payments to former members of the Board of Directors and payments to Related Parties of Members of the Board of Directors</w:t>
      </w:r>
    </w:p>
    <w:p>
      <w:pPr>
        <w:pStyle w:val="TextBody"/>
        <w:bidi w:val="0"/>
        <w:spacing w:before="33"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loans were extended to members of the Board of Directors or outstanding during the period from January 1, 2025 through December 31, 2025 and during the period from January 1, 2024 through December 31, 2024. No payments to former members of the Board of Directors in connection with their former role or that are not at arm’s length were made during and with respect to such period, and no severance payments to any member or former member of the Board of Directors were made during and with respect to such period in accordance with the SCO. No payments to related parties of members of the Board of Directors were made during such period.</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w:t>
      </w:r>
    </w:p>
    <w:p>
      <w:pPr>
        <w:pStyle w:val="TextBody"/>
        <w:bidi w:val="0"/>
        <w:jc w:val="left"/>
        <w:rPr>
          <w:rFonts w:ascii="Times New Roman" w:hAnsi="Times New Roman"/>
          <w:b/>
          <w:color w:val="000000"/>
          <w:sz w:val="20"/>
        </w:rPr>
      </w:pPr>
      <w:r>
        <w:rPr>
          <w:rFonts w:ascii="Times New Roman" w:hAnsi="Times New Roman"/>
          <w:b/>
          <w:color w:val="000000"/>
          <w:sz w:val="20"/>
        </w:rPr>
        <w:t>Compensation of the Members of the Executive Committee</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w:t>
      </w:r>
    </w:p>
    <w:p>
      <w:pPr>
        <w:pStyle w:val="TextBody"/>
        <w:bidi w:val="0"/>
        <w:jc w:val="left"/>
        <w:rPr>
          <w:rFonts w:ascii="Times New Roman" w:hAnsi="Times New Roman"/>
          <w:b/>
          <w:color w:val="000000"/>
          <w:sz w:val="20"/>
        </w:rPr>
      </w:pPr>
      <w:r>
        <w:rPr>
          <w:rFonts w:ascii="Times New Roman" w:hAnsi="Times New Roman"/>
          <w:b/>
          <w:color w:val="000000"/>
          <w:sz w:val="20"/>
        </w:rPr>
        <w:t>Executive Committee Composition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and December 31, 2024, our Executive Committee consisted of the following three members:</w:t>
      </w:r>
    </w:p>
    <w:tbl>
      <w:tblPr>
        <w:tblW w:w="4547" w:type="dxa"/>
        <w:jc w:val="left"/>
        <w:tblInd w:w="0" w:type="dxa"/>
        <w:tblLayout w:type="fixed"/>
        <w:tblCellMar>
          <w:top w:w="28" w:type="dxa"/>
          <w:left w:w="28" w:type="dxa"/>
          <w:bottom w:w="28" w:type="dxa"/>
          <w:right w:w="28" w:type="dxa"/>
        </w:tblCellMar>
      </w:tblPr>
      <w:tblGrid>
        <w:gridCol w:w="1831"/>
        <w:gridCol w:w="2716"/>
      </w:tblGrid>
      <w:tr>
        <w:trPr/>
        <w:tc>
          <w:tcPr>
            <w:tcW w:w="183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2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r>
          </w:p>
        </w:tc>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Director</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Sylvia Cheung</w:t>
            </w:r>
          </w:p>
        </w:tc>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Páll Ragnar Jóhannesson</w:t>
            </w:r>
          </w:p>
        </w:tc>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Business Officer</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w:t>
      </w:r>
    </w:p>
    <w:p>
      <w:pPr>
        <w:pStyle w:val="TextBody"/>
        <w:bidi w:val="0"/>
        <w:jc w:val="left"/>
        <w:rPr>
          <w:rFonts w:ascii="Times New Roman" w:hAnsi="Times New Roman"/>
          <w:b/>
          <w:color w:val="000000"/>
          <w:sz w:val="20"/>
        </w:rPr>
      </w:pPr>
      <w:r>
        <w:rPr>
          <w:rFonts w:ascii="Times New Roman" w:hAnsi="Times New Roman"/>
          <w:b/>
          <w:color w:val="000000"/>
          <w:sz w:val="20"/>
        </w:rPr>
        <w:t>Executive Committee Compensation Structure</w:t>
      </w:r>
    </w:p>
    <w:p>
      <w:pPr>
        <w:pStyle w:val="TextBody"/>
        <w:bidi w:val="0"/>
        <w:spacing w:before="70"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Members of the Executive Committee receive compensation consisting of a base salary, annual cash bonus, social benefits and equity incentive awards granted under the 2023 Plan, as well as certain other benefits</w:t>
      </w:r>
      <w:r>
        <w:rPr>
          <w:rFonts w:ascii="Times New Roman" w:hAnsi="Times New Roman"/>
          <w:b/>
          <w:i/>
          <w:color w:val="000000"/>
          <w:sz w:val="20"/>
        </w:rPr>
        <w:t>.</w:t>
      </w:r>
    </w:p>
    <w:p>
      <w:pPr>
        <w:pStyle w:val="TextBody"/>
        <w:bidi w:val="0"/>
        <w:jc w:val="both"/>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w:t>
      </w:r>
    </w:p>
    <w:p>
      <w:pPr>
        <w:pStyle w:val="TextBody"/>
        <w:bidi w:val="0"/>
        <w:jc w:val="left"/>
        <w:rPr>
          <w:rFonts w:ascii="Times New Roman" w:hAnsi="Times New Roman"/>
          <w:b/>
          <w:color w:val="000000"/>
          <w:sz w:val="20"/>
        </w:rPr>
      </w:pPr>
      <w:r>
        <w:rPr>
          <w:rFonts w:ascii="Times New Roman" w:hAnsi="Times New Roman"/>
          <w:b/>
          <w:color w:val="000000"/>
          <w:sz w:val="20"/>
        </w:rPr>
        <w:t>Executive Committee Compensation Amounts</w:t>
      </w:r>
    </w:p>
    <w:p>
      <w:pPr>
        <w:pStyle w:val="TextBody"/>
        <w:bidi w:val="0"/>
        <w:spacing w:before="37"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January 1, 2025 through December 31, 2025, the fixed and variable compensation earned by the members of the Executive Committee was as follows (amounts in CHF converted from other currencies as applicable at the average prevailing exchange rate over the reporting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5"/>
        <w:gridCol w:w="146"/>
        <w:gridCol w:w="826"/>
        <w:gridCol w:w="146"/>
        <w:gridCol w:w="146"/>
        <w:gridCol w:w="691"/>
        <w:gridCol w:w="146"/>
        <w:gridCol w:w="339"/>
        <w:gridCol w:w="1611"/>
        <w:gridCol w:w="146"/>
        <w:gridCol w:w="273"/>
        <w:gridCol w:w="1294"/>
        <w:gridCol w:w="146"/>
        <w:gridCol w:w="146"/>
        <w:gridCol w:w="826"/>
        <w:gridCol w:w="146"/>
        <w:gridCol w:w="148"/>
        <w:gridCol w:w="931"/>
        <w:gridCol w:w="193"/>
      </w:tblGrid>
      <w:tr>
        <w:trPr/>
        <w:tc>
          <w:tcPr>
            <w:tcW w:w="1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Position</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r>
            <w:r>
              <w:rPr>
                <w:rFonts w:ascii="Times New Roman" w:hAnsi="Times New Roman"/>
                <w:b/>
                <w:color w:val="000000"/>
                <w:sz w:val="9"/>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Post-retirement benefit plans (employer)</w:t>
            </w:r>
            <w:r>
              <w:rPr>
                <w:rFonts w:ascii="Times New Roman" w:hAnsi="Times New Roman"/>
                <w:b/>
                <w:color w:val="000000"/>
                <w:sz w:val="9"/>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Employer social contributions</w:t>
            </w:r>
            <w:r>
              <w:rPr>
                <w:rFonts w:ascii="Times New Roman" w:hAnsi="Times New Roman"/>
                <w:b/>
                <w:color w:val="000000"/>
                <w:sz w:val="9"/>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cash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FMV</w:t>
            </w:r>
            <w:r>
              <w:rPr>
                <w:rFonts w:ascii="Times New Roman" w:hAnsi="Times New Roman"/>
                <w:b/>
                <w:color w:val="000000"/>
                <w:sz w:val="9"/>
              </w:rPr>
              <w:t>(4)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9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b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6,702,464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Executive Committee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1,316,991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746,704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247,046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223,282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2,534,024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10,470,702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Includes the earned or accrued bonus included in our financial statements for the year ended December 31, 2025, payable in 2026. The quantum of the accrued bonus reflects anticipated achievement of the robust set of qualitative and quantitative measures designed to drive Company strategy and secure the future of the Company (including consideration of share price performance against the Nasdaq Biotechnology Index and performance against the Company financing plan), advance the Company portfolio including clinical and regulatory milestones for OCS-01, Licaminlimab and Privosegtor, and ensure that the Company is positioned for sustained growth.</w:t>
      </w:r>
    </w:p>
    <w:p>
      <w:pPr>
        <w:pStyle w:val="TextBody"/>
        <w:bidi w:val="0"/>
        <w:jc w:val="both"/>
        <w:rPr>
          <w:rFonts w:ascii="Times New Roman" w:hAnsi="Times New Roman"/>
          <w:sz w:val="20"/>
        </w:rPr>
      </w:pPr>
      <w:r>
        <w:rPr>
          <w:rFonts w:ascii="Times New Roman" w:hAnsi="Times New Roman"/>
          <w:color w:val="000000"/>
          <w:sz w:val="9"/>
        </w:rPr>
        <w:t>(2)</w:t>
      </w:r>
      <w:r>
        <w:rPr>
          <w:rFonts w:ascii="Times New Roman" w:hAnsi="Times New Roman"/>
          <w:color w:val="000000"/>
          <w:sz w:val="20"/>
        </w:rPr>
        <w:t xml:space="preserve"> </w:t>
      </w:r>
      <w:r>
        <w:rPr>
          <w:rFonts w:ascii="Times New Roman" w:hAnsi="Times New Roman"/>
          <w:color w:val="000000"/>
          <w:sz w:val="14"/>
        </w:rPr>
        <w:t>Includes Company contributions to benefit plans and life insurance premiums for the year ended December 31, 2025.</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Includes social security contributions as required by applicable laws for the year ended December 31, 2025.</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Amounts represent the aggregate grant date fair value of stock options granted to our Executive Committee members during 2025 at the date of grant, computed in accordance with IFRS 2. Assumptions used in the calculation of these amounts are included in Note 13 to our financial statements included in our Annual Report on Form 20-F for the year ended December 31, 2025. These amounts do not necessarily correspond to the actual value recognized or that may be recognized by the Executive Committee members. This equity FMV excludes social contributions that will be reported at the time when equity awards are exercised.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January 1, 2024 through December 31, 2024, the fixed and variable compensation earned by the members of the Executive Committee was as follows (amounts in CHF converted from other currencies as applicable at the average prevailing exchange rate over the reporting period):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6"/>
        <w:gridCol w:w="146"/>
        <w:gridCol w:w="826"/>
        <w:gridCol w:w="146"/>
        <w:gridCol w:w="146"/>
        <w:gridCol w:w="691"/>
        <w:gridCol w:w="146"/>
        <w:gridCol w:w="342"/>
        <w:gridCol w:w="1627"/>
        <w:gridCol w:w="146"/>
        <w:gridCol w:w="275"/>
        <w:gridCol w:w="1305"/>
        <w:gridCol w:w="146"/>
        <w:gridCol w:w="146"/>
        <w:gridCol w:w="826"/>
        <w:gridCol w:w="146"/>
        <w:gridCol w:w="153"/>
        <w:gridCol w:w="870"/>
        <w:gridCol w:w="196"/>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Position</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r>
            <w:r>
              <w:rPr>
                <w:rFonts w:ascii="Times New Roman" w:hAnsi="Times New Roman"/>
                <w:b/>
                <w:color w:val="000000"/>
                <w:sz w:val="9"/>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Post-retirement benefit plans (employer)</w:t>
            </w:r>
            <w:r>
              <w:rPr>
                <w:rFonts w:ascii="Times New Roman" w:hAnsi="Times New Roman"/>
                <w:b/>
                <w:color w:val="000000"/>
                <w:sz w:val="9"/>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8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Employer social contributions</w:t>
            </w:r>
            <w:r>
              <w:rPr>
                <w:rFonts w:ascii="Times New Roman" w:hAnsi="Times New Roman"/>
                <w:b/>
                <w:color w:val="000000"/>
                <w:sz w:val="9"/>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cash</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Equity FMV</w:t>
            </w:r>
            <w:r>
              <w:rPr>
                <w:rFonts w:ascii="Times New Roman" w:hAnsi="Times New Roman"/>
                <w:b/>
                <w:color w:val="000000"/>
                <w:sz w:val="9"/>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b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3,868,083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Executive Committee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628,681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2,321,312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5,995,529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Includes the earned or accrued bonus included in our financial statements for the year ended December 31, 2024, payable in 2025. The quantum of the accrued bonus reflects anticipated achievement of the robust set of qualitative and quantitative measures designed to drive Company strategy and secure the future of the Company (including consideration of share price performance against the Nasdaq Biotechnology Index and performance against the Company financing plan), develop the Company portfolio and ensure that the Company is positioned for sustained growth.</w:t>
      </w:r>
    </w:p>
    <w:p>
      <w:pPr>
        <w:pStyle w:val="TextBody"/>
        <w:bidi w:val="0"/>
        <w:jc w:val="both"/>
        <w:rPr>
          <w:rFonts w:ascii="Times New Roman" w:hAnsi="Times New Roman"/>
          <w:sz w:val="20"/>
        </w:rPr>
      </w:pPr>
      <w:r>
        <w:rPr>
          <w:rFonts w:ascii="Times New Roman" w:hAnsi="Times New Roman"/>
          <w:color w:val="000000"/>
          <w:sz w:val="9"/>
        </w:rPr>
        <w:t>(2)</w:t>
      </w:r>
      <w:r>
        <w:rPr>
          <w:rFonts w:ascii="Times New Roman" w:hAnsi="Times New Roman"/>
          <w:color w:val="000000"/>
          <w:sz w:val="20"/>
        </w:rPr>
        <w:t xml:space="preserve"> </w:t>
      </w:r>
      <w:r>
        <w:rPr>
          <w:rFonts w:ascii="Times New Roman" w:hAnsi="Times New Roman"/>
          <w:color w:val="000000"/>
          <w:sz w:val="14"/>
        </w:rPr>
        <w:t>Includes Company contributions to benefit plans and life insurance premiums for the year ended December 31, 2024.</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Includes social security contributions as required by applicable laws for the year ended December 31, 2024.</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Amounts represent the aggregate grant date fair value of stock options granted to our Executive Committee members during 2024 at the date of grant, computed in accordance with IFRS 2. Assumptions used in the calculation of these amounts are included in Note 13 to our financial statements included in our Annual Report on Form 20-F for the year ended December 31, 2024. These amounts do not necessarily correspond to the actual value recognized or that may be recognized by the Executive Committee members. This equity FMV excludes social contributions that will be reported at the time when equity awards are exercised.</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w:t>
      </w:r>
    </w:p>
    <w:p>
      <w:pPr>
        <w:pStyle w:val="TextBody"/>
        <w:bidi w:val="0"/>
        <w:jc w:val="left"/>
        <w:rPr>
          <w:rFonts w:ascii="Times New Roman" w:hAnsi="Times New Roman"/>
          <w:b/>
          <w:color w:val="000000"/>
          <w:sz w:val="20"/>
        </w:rPr>
      </w:pPr>
      <w:r>
        <w:rPr>
          <w:rFonts w:ascii="Times New Roman" w:hAnsi="Times New Roman"/>
          <w:b/>
          <w:color w:val="000000"/>
          <w:sz w:val="20"/>
        </w:rPr>
        <w:t>Loans, Severance or other Compensation Paid to Members or Former Members of the Executive Committee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loans were extended to members of the Executive Committee or were outstanding during the period from January 1, 2025 through December 31, 2025 and during the period from January 1, 2024 through December 31, 2024. No payments to former members of the Executive Committee in connection with their former role or that are not at arm's length were made during and with respect to such period, and no severance payments to members of the Executive Committee or former members of the Executive Committee were made during and with respect to such period in accordance with the SCO. No payments to related parties of members of the Executive Committee were made during such period.</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w:t>
      </w:r>
    </w:p>
    <w:p>
      <w:pPr>
        <w:pStyle w:val="TextBody"/>
        <w:bidi w:val="0"/>
        <w:jc w:val="left"/>
        <w:rPr>
          <w:rFonts w:ascii="Times New Roman" w:hAnsi="Times New Roman"/>
          <w:b/>
          <w:color w:val="000000"/>
          <w:sz w:val="20"/>
        </w:rPr>
      </w:pPr>
      <w:r>
        <w:rPr>
          <w:rFonts w:ascii="Times New Roman" w:hAnsi="Times New Roman"/>
          <w:b/>
          <w:color w:val="000000"/>
          <w:sz w:val="20"/>
        </w:rPr>
        <w:t>Equity and Equity-Linked Instruments Held by Members of the Board of Directors and the Executive Committee</w:t>
      </w:r>
    </w:p>
    <w:p>
      <w:pPr>
        <w:pStyle w:val="TextBody"/>
        <w:bidi w:val="0"/>
        <w:spacing w:before="38" w:after="283"/>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Equity and Equity-Linked Instruments Held by Members of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members of the Board of Directors and their related parties, if any, held the following equity and equity-linked instruments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5"/>
        <w:gridCol w:w="1665"/>
        <w:gridCol w:w="186"/>
        <w:gridCol w:w="881"/>
        <w:gridCol w:w="146"/>
        <w:gridCol w:w="210"/>
        <w:gridCol w:w="742"/>
        <w:gridCol w:w="146"/>
        <w:gridCol w:w="170"/>
        <w:gridCol w:w="807"/>
        <w:gridCol w:w="146"/>
        <w:gridCol w:w="259"/>
        <w:gridCol w:w="916"/>
        <w:gridCol w:w="146"/>
        <w:gridCol w:w="227"/>
        <w:gridCol w:w="939"/>
        <w:gridCol w:w="146"/>
        <w:gridCol w:w="164"/>
        <w:gridCol w:w="776"/>
        <w:gridCol w:w="198"/>
      </w:tblGrid>
      <w:tr>
        <w:trPr/>
        <w:tc>
          <w:tcPr>
            <w:tcW w:w="133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0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Ordinary shares</w:t>
            </w:r>
            <w:r>
              <w:rPr>
                <w:rFonts w:ascii="Times New Roman" w:hAnsi="Times New Roman"/>
                <w:b/>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shares</w:t>
            </w:r>
            <w:r>
              <w:rPr>
                <w:rFonts w:ascii="Times New Roman" w:hAnsi="Times New Roman"/>
                <w:b/>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 SARs </w:t>
              <w:br/>
              <w:t>shares</w:t>
            </w:r>
            <w:r>
              <w:rPr>
                <w:rFonts w:ascii="Times New Roman" w:hAnsi="Times New Roman"/>
                <w:b/>
                <w:color w:val="000000"/>
                <w:sz w:val="11"/>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Earnout option shares </w:t>
            </w:r>
            <w:r>
              <w:rPr>
                <w:rFonts w:ascii="Times New Roman" w:hAnsi="Times New Roman"/>
                <w:b/>
                <w:color w:val="000000"/>
                <w:sz w:val="11"/>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Vested award</w:t>
              <w:br/>
              <w:t>shares</w:t>
            </w:r>
            <w:r>
              <w:rPr>
                <w:rFonts w:ascii="Times New Roman" w:hAnsi="Times New Roman"/>
                <w:b/>
                <w:color w:val="000000"/>
                <w:sz w:val="11"/>
              </w:rPr>
              <w:t>(6)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Lionel Carnot</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Arshad M. Khanani, M.D.</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24,066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Martijn Kleijwegt</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Geraldine O’Keeffe</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Rosenberg</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 of the Board of Directors</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Warner</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745,435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161,304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137,139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Excludes Riad Sherif, M.D. whose holdings are listed in the Executive Committee table.</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Aggregate number of share ownership at December 31, 2025.</w:t>
      </w:r>
    </w:p>
    <w:p>
      <w:pPr>
        <w:pStyle w:val="TextBody"/>
        <w:bidi w:val="0"/>
        <w:jc w:val="both"/>
        <w:rPr>
          <w:rFonts w:ascii="Times New Roman" w:hAnsi="Times New Roman"/>
          <w:sz w:val="20"/>
        </w:rPr>
      </w:pPr>
      <w:r>
        <w:rPr>
          <w:rFonts w:ascii="Times New Roman" w:hAnsi="Times New Roman"/>
          <w:color w:val="000000"/>
          <w:sz w:val="9"/>
        </w:rPr>
        <w:t xml:space="preserve">(3) </w:t>
      </w:r>
      <w:r>
        <w:rPr>
          <w:rFonts w:ascii="Times New Roman" w:hAnsi="Times New Roman"/>
          <w:color w:val="000000"/>
          <w:sz w:val="14"/>
        </w:rPr>
        <w:t>Aggregate number of unvested earnout share awards outstanding at December 31, 2025.</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Aggregate number of option/SARs awards outstanding at December 31, 2025.</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Aggregate number of earnout option awards outstanding at December 31, 2025.</w:t>
      </w:r>
    </w:p>
    <w:p>
      <w:pPr>
        <w:pStyle w:val="TextBody"/>
        <w:bidi w:val="0"/>
        <w:jc w:val="both"/>
        <w:rPr>
          <w:rFonts w:ascii="Times New Roman" w:hAnsi="Times New Roman"/>
          <w:sz w:val="20"/>
        </w:rPr>
      </w:pPr>
      <w:r>
        <w:rPr>
          <w:rFonts w:ascii="Times New Roman" w:hAnsi="Times New Roman"/>
          <w:color w:val="000000"/>
          <w:sz w:val="9"/>
        </w:rPr>
        <w:t>(6)</w:t>
      </w:r>
      <w:r>
        <w:rPr>
          <w:rFonts w:ascii="Times New Roman" w:hAnsi="Times New Roman"/>
          <w:color w:val="000000"/>
          <w:sz w:val="20"/>
        </w:rPr>
        <w:t xml:space="preserve"> </w:t>
      </w:r>
      <w:r>
        <w:rPr>
          <w:rFonts w:ascii="Times New Roman" w:hAnsi="Times New Roman"/>
          <w:color w:val="000000"/>
          <w:sz w:val="14"/>
        </w:rPr>
        <w:t>Equity securities this Director had the right to acquire, or to acquire “voting power” and/or “investment power”,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members of the Board of Directors and their related parties, if any, held the following equity and equity-linked instruments as of December 31, 2024:</w:t>
      </w:r>
    </w:p>
    <w:tbl>
      <w:tblPr>
        <w:tblW w:w="10205" w:type="dxa"/>
        <w:jc w:val="left"/>
        <w:tblInd w:w="0" w:type="dxa"/>
        <w:tblLayout w:type="fixed"/>
        <w:tblCellMar>
          <w:top w:w="28" w:type="dxa"/>
          <w:left w:w="28" w:type="dxa"/>
          <w:bottom w:w="28" w:type="dxa"/>
          <w:right w:w="28" w:type="dxa"/>
        </w:tblCellMar>
      </w:tblPr>
      <w:tblGrid>
        <w:gridCol w:w="1343"/>
        <w:gridCol w:w="1677"/>
        <w:gridCol w:w="187"/>
        <w:gridCol w:w="884"/>
        <w:gridCol w:w="146"/>
        <w:gridCol w:w="191"/>
        <w:gridCol w:w="790"/>
        <w:gridCol w:w="146"/>
        <w:gridCol w:w="170"/>
        <w:gridCol w:w="809"/>
        <w:gridCol w:w="146"/>
        <w:gridCol w:w="257"/>
        <w:gridCol w:w="909"/>
        <w:gridCol w:w="146"/>
        <w:gridCol w:w="228"/>
        <w:gridCol w:w="944"/>
        <w:gridCol w:w="146"/>
        <w:gridCol w:w="173"/>
        <w:gridCol w:w="715"/>
        <w:gridCol w:w="198"/>
      </w:tblGrid>
      <w:tr>
        <w:trPr/>
        <w:tc>
          <w:tcPr>
            <w:tcW w:w="134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Name</w:t>
            </w:r>
            <w:r>
              <w:rPr>
                <w:rFonts w:ascii="Times New Roman" w:hAnsi="Times New Roman"/>
                <w:b/>
                <w:color w:val="000000"/>
                <w:sz w:val="11"/>
              </w:rPr>
              <w:t>(1)</w:t>
            </w:r>
          </w:p>
        </w:tc>
        <w:tc>
          <w:tcPr>
            <w:tcW w:w="1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0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Ordinary shares</w:t>
            </w:r>
            <w:r>
              <w:rPr>
                <w:rFonts w:ascii="Times New Roman" w:hAnsi="Times New Roman"/>
                <w:b/>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shares</w:t>
            </w:r>
            <w:r>
              <w:rPr>
                <w:rFonts w:ascii="Times New Roman" w:hAnsi="Times New Roman"/>
                <w:b/>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 SARs </w:t>
              <w:br/>
              <w:t>shares</w:t>
            </w:r>
            <w:r>
              <w:rPr>
                <w:rFonts w:ascii="Times New Roman" w:hAnsi="Times New Roman"/>
                <w:b/>
                <w:color w:val="000000"/>
                <w:sz w:val="11"/>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option shares</w:t>
            </w:r>
            <w:r>
              <w:rPr>
                <w:rFonts w:ascii="Times New Roman" w:hAnsi="Times New Roman"/>
                <w:b/>
                <w:color w:val="000000"/>
                <w:sz w:val="11"/>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Vested award</w:t>
              <w:br/>
              <w:t>shares</w:t>
            </w:r>
            <w:r>
              <w:rPr>
                <w:rFonts w:ascii="Times New Roman" w:hAnsi="Times New Roman"/>
                <w:b/>
                <w:color w:val="000000"/>
                <w:sz w:val="11"/>
              </w:rPr>
              <w:t>(6)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Christina Ackermann</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40,663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Lionel Carnot</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Arshad M. Khanani, M.D.</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Martijn Kleijwegt</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Geraldine O’Keeffe</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Anthony Rosenberg</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Chairperson of the Board of Directors</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3"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Robert Warner</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Director</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663,518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168,764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88,760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Excludes Riad Sherif, M.D. whose holdings are listed in the Executive Committee table.</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Aggregate number of share ownership at December 31, 2024.</w:t>
      </w:r>
    </w:p>
    <w:p>
      <w:pPr>
        <w:pStyle w:val="TextBody"/>
        <w:bidi w:val="0"/>
        <w:jc w:val="both"/>
        <w:rPr>
          <w:rFonts w:ascii="Times New Roman" w:hAnsi="Times New Roman"/>
          <w:sz w:val="20"/>
        </w:rPr>
      </w:pPr>
      <w:r>
        <w:rPr>
          <w:rFonts w:ascii="Times New Roman" w:hAnsi="Times New Roman"/>
          <w:color w:val="000000"/>
          <w:sz w:val="9"/>
        </w:rPr>
        <w:t xml:space="preserve">(3) </w:t>
      </w:r>
      <w:r>
        <w:rPr>
          <w:rFonts w:ascii="Times New Roman" w:hAnsi="Times New Roman"/>
          <w:color w:val="000000"/>
          <w:sz w:val="14"/>
        </w:rPr>
        <w:t>Aggregate number of unvested earnout share awards outstanding at December 31, 2024.</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Aggregate number of option/SARs awards outstanding at December 31, 2024.</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Aggregate number of earnout option awards outstanding at December 31, 2024.</w:t>
      </w:r>
    </w:p>
    <w:p>
      <w:pPr>
        <w:pStyle w:val="TextBody"/>
        <w:bidi w:val="0"/>
        <w:jc w:val="both"/>
        <w:rPr>
          <w:rFonts w:ascii="Times New Roman" w:hAnsi="Times New Roman"/>
          <w:sz w:val="20"/>
        </w:rPr>
      </w:pPr>
      <w:r>
        <w:rPr>
          <w:rFonts w:ascii="Times New Roman" w:hAnsi="Times New Roman"/>
          <w:color w:val="000000"/>
          <w:sz w:val="9"/>
        </w:rPr>
        <w:t>(6)</w:t>
      </w:r>
      <w:r>
        <w:rPr>
          <w:rFonts w:ascii="Times New Roman" w:hAnsi="Times New Roman"/>
          <w:color w:val="000000"/>
          <w:sz w:val="20"/>
        </w:rPr>
        <w:t xml:space="preserve"> </w:t>
      </w:r>
      <w:r>
        <w:rPr>
          <w:rFonts w:ascii="Times New Roman" w:hAnsi="Times New Roman"/>
          <w:color w:val="000000"/>
          <w:sz w:val="14"/>
        </w:rPr>
        <w:t>Equity securities this Director had the right to acquire, or to acquire “voting power” and/or “investment power”, as of December 31, 2024.</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Equity and Equity-Linked Instruments Held by Members of the Executive Committee</w:t>
      </w:r>
    </w:p>
    <w:p>
      <w:pPr>
        <w:pStyle w:val="TextBody"/>
        <w:bidi w:val="0"/>
        <w:spacing w:before="71" w:after="283"/>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members of the Executive Committee and their related parties, if any, held the following equity and equity-linked instruments as of December 31, 2025: </w:t>
      </w:r>
    </w:p>
    <w:tbl>
      <w:tblPr>
        <w:tblW w:w="10205" w:type="dxa"/>
        <w:jc w:val="left"/>
        <w:tblInd w:w="0" w:type="dxa"/>
        <w:tblLayout w:type="fixed"/>
        <w:tblCellMar>
          <w:top w:w="28" w:type="dxa"/>
          <w:left w:w="28" w:type="dxa"/>
          <w:bottom w:w="28" w:type="dxa"/>
          <w:right w:w="28" w:type="dxa"/>
        </w:tblCellMar>
      </w:tblPr>
      <w:tblGrid>
        <w:gridCol w:w="1284"/>
        <w:gridCol w:w="1130"/>
        <w:gridCol w:w="168"/>
        <w:gridCol w:w="956"/>
        <w:gridCol w:w="146"/>
        <w:gridCol w:w="185"/>
        <w:gridCol w:w="761"/>
        <w:gridCol w:w="146"/>
        <w:gridCol w:w="189"/>
        <w:gridCol w:w="1071"/>
        <w:gridCol w:w="146"/>
        <w:gridCol w:w="206"/>
        <w:gridCol w:w="977"/>
        <w:gridCol w:w="146"/>
        <w:gridCol w:w="194"/>
        <w:gridCol w:w="928"/>
        <w:gridCol w:w="146"/>
        <w:gridCol w:w="184"/>
        <w:gridCol w:w="1044"/>
        <w:gridCol w:w="198"/>
      </w:tblGrid>
      <w:tr>
        <w:trPr/>
        <w:tc>
          <w:tcPr>
            <w:tcW w:w="128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12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Ordinary shares</w:t>
            </w:r>
            <w:r>
              <w:rPr>
                <w:rFonts w:ascii="Times New Roman" w:hAnsi="Times New Roman"/>
                <w:b/>
                <w:color w:val="000000"/>
                <w:sz w:val="11"/>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shares</w:t>
            </w:r>
            <w:r>
              <w:rPr>
                <w:rFonts w:ascii="Times New Roman" w:hAnsi="Times New Roman"/>
                <w:b/>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 shares</w:t>
            </w:r>
            <w:r>
              <w:rPr>
                <w:rFonts w:ascii="Times New Roman" w:hAnsi="Times New Roman"/>
                <w:b/>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option shares</w:t>
            </w:r>
            <w:r>
              <w:rPr>
                <w:rFonts w:ascii="Times New Roman" w:hAnsi="Times New Roman"/>
                <w:b/>
                <w:color w:val="000000"/>
                <w:sz w:val="11"/>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Vested award shares</w:t>
            </w:r>
            <w:r>
              <w:rPr>
                <w:rFonts w:ascii="Times New Roman" w:hAnsi="Times New Roman"/>
                <w:b/>
                <w:color w:val="000000"/>
                <w:sz w:val="11"/>
              </w:rPr>
              <w:t>(5)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Executive Officer</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539,762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Sylvia Cheung</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495,057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Páll Ragnar Jóhannesson</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Business Officer</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689,432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1,432,033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2,220,383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526,901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1,724,251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Aggregate number of share ownership outstanding at December 31, 2025.</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Aggregate number of unvested earnout share awards outstanding at December 31, 2025.</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Aggregate number of option awards outstanding at December 31, 2025.</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Aggregate number of earnout option awards outstanding at December 31, 2025.</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Equity securities this executive officer had the right to acquire, or to acquire “voting power” and/or “investment power”, as of December 31,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members of the Executive Committee and their related parties, if any, held the following equity and equity-linked instruments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8"/>
        <w:gridCol w:w="1135"/>
        <w:gridCol w:w="168"/>
        <w:gridCol w:w="957"/>
        <w:gridCol w:w="146"/>
        <w:gridCol w:w="175"/>
        <w:gridCol w:w="832"/>
        <w:gridCol w:w="146"/>
        <w:gridCol w:w="189"/>
        <w:gridCol w:w="1074"/>
        <w:gridCol w:w="146"/>
        <w:gridCol w:w="207"/>
        <w:gridCol w:w="980"/>
        <w:gridCol w:w="146"/>
        <w:gridCol w:w="195"/>
        <w:gridCol w:w="931"/>
        <w:gridCol w:w="146"/>
        <w:gridCol w:w="199"/>
        <w:gridCol w:w="945"/>
        <w:gridCol w:w="200"/>
      </w:tblGrid>
      <w:tr>
        <w:trPr/>
        <w:tc>
          <w:tcPr>
            <w:tcW w:w="128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Role</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Ordinary shares</w:t>
            </w:r>
            <w:r>
              <w:rPr>
                <w:rFonts w:ascii="Times New Roman" w:hAnsi="Times New Roman"/>
                <w:b/>
                <w:color w:val="000000"/>
                <w:sz w:val="11"/>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shares</w:t>
            </w:r>
            <w:r>
              <w:rPr>
                <w:rFonts w:ascii="Times New Roman" w:hAnsi="Times New Roman"/>
                <w:b/>
                <w:color w:val="000000"/>
                <w:sz w:val="11"/>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 awards shares</w:t>
            </w:r>
            <w:r>
              <w:rPr>
                <w:rFonts w:ascii="Times New Roman" w:hAnsi="Times New Roman"/>
                <w:b/>
                <w:color w:val="000000"/>
                <w:sz w:val="11"/>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Earnout option shares</w:t>
            </w:r>
            <w:r>
              <w:rPr>
                <w:rFonts w:ascii="Times New Roman" w:hAnsi="Times New Roman"/>
                <w:b/>
                <w:color w:val="000000"/>
                <w:sz w:val="11"/>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Vested award shares</w:t>
            </w:r>
            <w:r>
              <w:rPr>
                <w:rFonts w:ascii="Times New Roman" w:hAnsi="Times New Roman"/>
                <w:b/>
                <w:color w:val="000000"/>
                <w:sz w:val="11"/>
              </w:rPr>
              <w:t>(5)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Executive Officer</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Sylvia Cheung</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260,817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Páll Ragnar Jóhannesson</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Business Officer</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358,665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1,288,474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156,596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1,927,173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896,183</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9"/>
        </w:rPr>
        <w:t xml:space="preserve">(1) </w:t>
      </w:r>
      <w:r>
        <w:rPr>
          <w:rFonts w:ascii="Times New Roman" w:hAnsi="Times New Roman"/>
          <w:color w:val="000000"/>
          <w:sz w:val="14"/>
        </w:rPr>
        <w:t>Aggregate number of share ownership outstanding at December 31, 2024.</w:t>
      </w:r>
    </w:p>
    <w:p>
      <w:pPr>
        <w:pStyle w:val="TextBody"/>
        <w:bidi w:val="0"/>
        <w:jc w:val="both"/>
        <w:rPr>
          <w:rFonts w:ascii="Times New Roman" w:hAnsi="Times New Roman"/>
          <w:sz w:val="20"/>
        </w:rPr>
      </w:pPr>
      <w:r>
        <w:rPr>
          <w:rFonts w:ascii="Times New Roman" w:hAnsi="Times New Roman"/>
          <w:color w:val="000000"/>
          <w:sz w:val="9"/>
        </w:rPr>
        <w:t xml:space="preserve">(2) </w:t>
      </w:r>
      <w:r>
        <w:rPr>
          <w:rFonts w:ascii="Times New Roman" w:hAnsi="Times New Roman"/>
          <w:color w:val="000000"/>
          <w:sz w:val="14"/>
        </w:rPr>
        <w:t>Aggregate number of unvested earnout share awards outstanding at December 31, 2024.</w:t>
      </w:r>
    </w:p>
    <w:p>
      <w:pPr>
        <w:pStyle w:val="TextBody"/>
        <w:bidi w:val="0"/>
        <w:jc w:val="both"/>
        <w:rPr>
          <w:rFonts w:ascii="Times New Roman" w:hAnsi="Times New Roman"/>
          <w:sz w:val="20"/>
        </w:rPr>
      </w:pPr>
      <w:r>
        <w:rPr>
          <w:rFonts w:ascii="Times New Roman" w:hAnsi="Times New Roman"/>
          <w:color w:val="000000"/>
          <w:sz w:val="9"/>
        </w:rPr>
        <w:t>(3)</w:t>
      </w:r>
      <w:r>
        <w:rPr>
          <w:rFonts w:ascii="Times New Roman" w:hAnsi="Times New Roman"/>
          <w:color w:val="000000"/>
          <w:sz w:val="20"/>
        </w:rPr>
        <w:t xml:space="preserve"> </w:t>
      </w:r>
      <w:r>
        <w:rPr>
          <w:rFonts w:ascii="Times New Roman" w:hAnsi="Times New Roman"/>
          <w:color w:val="000000"/>
          <w:sz w:val="14"/>
        </w:rPr>
        <w:t>Aggregate number of option awards outstanding at December 31, 2024.</w:t>
      </w:r>
    </w:p>
    <w:p>
      <w:pPr>
        <w:pStyle w:val="TextBody"/>
        <w:bidi w:val="0"/>
        <w:jc w:val="both"/>
        <w:rPr>
          <w:rFonts w:ascii="Times New Roman" w:hAnsi="Times New Roman"/>
          <w:sz w:val="20"/>
        </w:rPr>
      </w:pPr>
      <w:r>
        <w:rPr>
          <w:rFonts w:ascii="Times New Roman" w:hAnsi="Times New Roman"/>
          <w:color w:val="000000"/>
          <w:sz w:val="9"/>
        </w:rPr>
        <w:t>(4)</w:t>
      </w:r>
      <w:r>
        <w:rPr>
          <w:rFonts w:ascii="Times New Roman" w:hAnsi="Times New Roman"/>
          <w:color w:val="000000"/>
          <w:sz w:val="20"/>
        </w:rPr>
        <w:t xml:space="preserve"> </w:t>
      </w:r>
      <w:r>
        <w:rPr>
          <w:rFonts w:ascii="Times New Roman" w:hAnsi="Times New Roman"/>
          <w:color w:val="000000"/>
          <w:sz w:val="14"/>
        </w:rPr>
        <w:t>Aggregate number of earnout option awards outstanding at December 31, 2024.</w:t>
      </w:r>
    </w:p>
    <w:p>
      <w:pPr>
        <w:pStyle w:val="TextBody"/>
        <w:bidi w:val="0"/>
        <w:jc w:val="both"/>
        <w:rPr>
          <w:rFonts w:ascii="Times New Roman" w:hAnsi="Times New Roman"/>
          <w:sz w:val="20"/>
        </w:rPr>
      </w:pPr>
      <w:r>
        <w:rPr>
          <w:rFonts w:ascii="Times New Roman" w:hAnsi="Times New Roman"/>
          <w:color w:val="000000"/>
          <w:sz w:val="9"/>
        </w:rPr>
        <w:t>(5)</w:t>
      </w:r>
      <w:r>
        <w:rPr>
          <w:rFonts w:ascii="Times New Roman" w:hAnsi="Times New Roman"/>
          <w:color w:val="000000"/>
          <w:sz w:val="20"/>
        </w:rPr>
        <w:t xml:space="preserve"> </w:t>
      </w:r>
      <w:r>
        <w:rPr>
          <w:rFonts w:ascii="Times New Roman" w:hAnsi="Times New Roman"/>
          <w:color w:val="000000"/>
          <w:sz w:val="14"/>
        </w:rPr>
        <w:t>Equity securities this executive officer had the right to acquire, or to acquire “voting power” and/or “investment power”, as of December 31, 2024.</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Mandates outside the Company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According to article 39 of the Articles, limitations apply to mandates outside the Company for members of the Board of Directors and the Executive Committee. The following external mandates are subject to these limitations and are therefore presented in the Compensation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98"/>
        <w:gridCol w:w="1846"/>
        <w:gridCol w:w="3357"/>
        <w:gridCol w:w="3404"/>
      </w:tblGrid>
      <w:tr>
        <w:trPr/>
        <w:tc>
          <w:tcPr>
            <w:tcW w:w="159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Members of the </w:t>
              <w:br/>
              <w:t>Board of Directors</w:t>
            </w:r>
            <w:r>
              <w:rPr>
                <w:rFonts w:ascii="Times New Roman" w:hAnsi="Times New Roman"/>
                <w:b/>
                <w:color w:val="000000"/>
                <w:sz w:val="11"/>
              </w:rPr>
              <w:t>(1)</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Organization</w:t>
            </w:r>
          </w:p>
        </w:tc>
        <w:tc>
          <w:tcPr>
            <w:tcW w:w="3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as of December 31, 2024</w:t>
            </w:r>
          </w:p>
        </w:tc>
        <w:tc>
          <w:tcPr>
            <w:tcW w:w="3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 as of December 31, 2025</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Anthony Rosenberg</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Cullinan Therapeutics Inc., US</w:t>
            </w:r>
            <w:r>
              <w:rPr>
                <w:rFonts w:ascii="Times New Roman" w:hAnsi="Times New Roman"/>
                <w:color w:val="000000"/>
                <w:sz w:val="11"/>
              </w:rPr>
              <w:t>(2)</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 Compensation Committee Member and Audit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 and Audit Committee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Argenx BV, Belgium</w:t>
            </w:r>
            <w:r>
              <w:rPr>
                <w:rFonts w:ascii="Times New Roman" w:hAnsi="Times New Roman"/>
                <w:color w:val="000000"/>
                <w:sz w:val="11"/>
              </w:rPr>
              <w:t>(2)</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Audit Committee Member and Commercial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Audit Committee Member and Commercial Committee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 Advisory Services GmbH, Switzerland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LLC Member</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Nuclidium AG, Switzerland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r>
      <w:tr>
        <w:trPr/>
        <w:tc>
          <w:tcPr>
            <w:tcW w:w="1598"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Christina Ackermann</w:t>
            </w:r>
          </w:p>
        </w:tc>
        <w:tc>
          <w:tcPr>
            <w:tcW w:w="18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Verona Pharma plc, UK</w:t>
            </w:r>
            <w:r>
              <w:rPr>
                <w:rFonts w:ascii="Times New Roman" w:hAnsi="Times New Roman"/>
                <w:color w:val="000000"/>
                <w:sz w:val="11"/>
              </w:rPr>
              <w:t>(2)</w:t>
            </w:r>
          </w:p>
        </w:tc>
        <w:tc>
          <w:tcPr>
            <w:tcW w:w="33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Audit Committee Member and Commercial Committee Member</w:t>
            </w:r>
          </w:p>
        </w:tc>
        <w:tc>
          <w:tcPr>
            <w:tcW w:w="34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Virometix AG, Switzerland</w:t>
            </w:r>
          </w:p>
        </w:tc>
        <w:tc>
          <w:tcPr>
            <w:tcW w:w="33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 Compensation Committee Chair and Audit Committee Member</w:t>
            </w:r>
          </w:p>
        </w:tc>
        <w:tc>
          <w:tcPr>
            <w:tcW w:w="34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 Compensation Committee Chair and Audit Committee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Lionel Carnot</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iSTAR Medical SA, Belgium</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Audit Committee Member and Compensation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Priothera Ltd., Ireland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Audit Committee Chair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Audit Committee Chair</w:t>
            </w:r>
          </w:p>
        </w:tc>
      </w:tr>
      <w:tr>
        <w:trPr/>
        <w:tc>
          <w:tcPr>
            <w:tcW w:w="159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Arshad M. Khanani, M.D.</w:t>
            </w:r>
          </w:p>
        </w:tc>
        <w:tc>
          <w:tcPr>
            <w:tcW w:w="18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3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Martijn Kleijwegt</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VICO Therapeutics International B.V., Belgium</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AM-Pharma Holding B.V., Netherlands</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Vicentra B.V., Netherlands</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Avidicure Holding B.V., Netherlands</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Pantera NV, Belgium</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LSP Advisory B.V., Netherlands</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r>
        <w:trPr/>
        <w:tc>
          <w:tcPr>
            <w:tcW w:w="159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Geraldine O’Keeffe</w:t>
            </w:r>
          </w:p>
        </w:tc>
        <w:tc>
          <w:tcPr>
            <w:tcW w:w="18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T-Knife Therapeutics, Inc., U.S.</w:t>
            </w:r>
          </w:p>
        </w:tc>
        <w:tc>
          <w:tcPr>
            <w:tcW w:w="33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Audit Committee Member</w:t>
            </w:r>
          </w:p>
        </w:tc>
        <w:tc>
          <w:tcPr>
            <w:tcW w:w="34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Robert Warner</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RxSight Inc., U.S.</w:t>
            </w:r>
            <w:r>
              <w:rPr>
                <w:rFonts w:ascii="Times New Roman" w:hAnsi="Times New Roman"/>
                <w:color w:val="000000"/>
                <w:sz w:val="11"/>
              </w:rPr>
              <w:t>(2)</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Nominating and Corporate Governance Committee Chair and Compensation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Compensation Committee Member and Nominating and Corporate Governance Committee Chair</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EyeYon Medical Ltd., Israel</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 and Compensation Committee Member</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i-Lumen Scientific Inc., US</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Compensation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Compensation Committee Member</w:t>
            </w:r>
          </w:p>
        </w:tc>
      </w:tr>
      <w:tr>
        <w:trPr/>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Members of the Executive Committee</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Riad Sherif, M.D.</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Revenio Group Oyi, Finland</w:t>
            </w:r>
            <w:r>
              <w:rPr>
                <w:rFonts w:ascii="Times New Roman" w:hAnsi="Times New Roman"/>
                <w:color w:val="000000"/>
                <w:sz w:val="11"/>
              </w:rPr>
              <w:t>(2)</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Compensation Committee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 and Compensation Committee Member</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NexMed Plus SA, Switzerland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r>
      <w:tr>
        <w:trPr/>
        <w:tc>
          <w:tcPr>
            <w:tcW w:w="159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Sylvia Cheung</w:t>
            </w:r>
          </w:p>
        </w:tc>
        <w:tc>
          <w:tcPr>
            <w:tcW w:w="18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35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4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598" w:type="dxa"/>
            <w:tcBorders>
              <w:left w:val="single" w:sz="4" w:space="0" w:color="000000"/>
              <w:right w:val="single" w:sz="4" w:space="0" w:color="000000"/>
            </w:tcBorders>
            <w:shd w:fill="CFF0FC"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Páll Ragnar Jóhannesson</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Sjónarhóll fjárfestingar ehf., Iceland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Chair</w:t>
            </w:r>
          </w:p>
        </w:tc>
      </w:tr>
      <w:tr>
        <w:trPr/>
        <w:tc>
          <w:tcPr>
            <w:tcW w:w="1598" w:type="dxa"/>
            <w:tcBorders>
              <w:left w:val="single" w:sz="4" w:space="0" w:color="000000"/>
              <w:bottom w:val="single" w:sz="4" w:space="0" w:color="000000"/>
              <w:right w:val="single" w:sz="4" w:space="0" w:color="000000"/>
            </w:tcBorders>
            <w:shd w:fill="CFF0FC" w:val="clear"/>
            <w:tcMar>
              <w:top w:w="0" w:type="dxa"/>
            </w:tcMar>
            <w:vAlign w:val="center"/>
          </w:tcPr>
          <w:p>
            <w:pPr>
              <w:pStyle w:val="TableContents"/>
              <w:bidi w:val="0"/>
              <w:spacing w:before="0" w:after="283"/>
              <w:jc w:val="left"/>
              <w:rPr/>
            </w:pPr>
            <w:r>
              <w:rPr/>
              <w:t> </w:t>
            </w:r>
          </w:p>
        </w:tc>
        <w:tc>
          <w:tcPr>
            <w:tcW w:w="18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Tæknisetur ehf., Iceland</w:t>
            </w:r>
          </w:p>
        </w:tc>
        <w:tc>
          <w:tcPr>
            <w:tcW w:w="3357"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c>
          <w:tcPr>
            <w:tcW w:w="340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Board Member</w:t>
            </w:r>
          </w:p>
        </w:tc>
      </w:tr>
    </w:tbl>
    <w:p>
      <w:pPr>
        <w:pStyle w:val="TextBody"/>
        <w:bidi w:val="0"/>
        <w:jc w:val="left"/>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w:t>
      </w:r>
      <w:r>
        <w:rPr>
          <w:rFonts w:ascii="Times New Roman" w:hAnsi="Times New Roman"/>
          <w:color w:val="000000"/>
          <w:sz w:val="14"/>
        </w:rPr>
        <w:t>Excludes Riad Sherif, M.D. whose mandates are listed in the Executive Committee table.</w:t>
      </w:r>
    </w:p>
    <w:p>
      <w:pPr>
        <w:pStyle w:val="TextBody"/>
        <w:bidi w:val="0"/>
        <w:jc w:val="left"/>
        <w:rPr>
          <w:rFonts w:ascii="Times New Roman" w:hAnsi="Times New Roman"/>
          <w:sz w:val="20"/>
        </w:rPr>
      </w:pPr>
      <w:bookmarkStart w:id="38" w:name="end_comp_page"/>
      <w:bookmarkEnd w:id="38"/>
      <w:r>
        <w:rPr>
          <w:rFonts w:ascii="Times New Roman" w:hAnsi="Times New Roman"/>
          <w:color w:val="000000"/>
          <w:sz w:val="9"/>
        </w:rPr>
        <w:t xml:space="preserve">(2) </w:t>
      </w:r>
      <w:r>
        <w:rPr>
          <w:rFonts w:ascii="Times New Roman" w:hAnsi="Times New Roman"/>
          <w:color w:val="000000"/>
          <w:sz w:val="14"/>
        </w:rPr>
        <w:t>Publicly listed companies.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left"/>
        <w:rPr/>
      </w:pPr>
      <w:r>
        <w:rPr/>
        <w:drawing>
          <wp:inline distT="0" distB="0" distL="0" distR="0">
            <wp:extent cx="1476375" cy="40005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1476375" cy="400050"/>
                    </a:xfrm>
                    <a:prstGeom prst="rect">
                      <a:avLst/>
                    </a:prstGeom>
                  </pic:spPr>
                </pic:pic>
              </a:graphicData>
            </a:graphic>
          </wp:inline>
        </w:drawing>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Heading2"/>
        <w:bidi w:val="0"/>
        <w:spacing w:before="200" w:after="283"/>
        <w:jc w:val="left"/>
        <w:rPr/>
      </w:pPr>
      <w:r>
        <w:rPr/>
        <w:t> </w:t>
      </w:r>
    </w:p>
    <w:p>
      <w:pPr>
        <w:pStyle w:val="TextBody"/>
        <w:bidi w:val="0"/>
        <w:jc w:val="center"/>
        <w:rPr>
          <w:rFonts w:ascii="Times New Roman" w:hAnsi="Times New Roman"/>
          <w:color w:val="000000"/>
          <w:sz w:val="32"/>
        </w:rPr>
      </w:pPr>
      <w:bookmarkStart w:id="39" w:name="forward_looking_statements"/>
      <w:bookmarkEnd w:id="39"/>
      <w:r>
        <w:rPr>
          <w:rFonts w:ascii="Times New Roman" w:hAnsi="Times New Roman"/>
          <w:color w:val="000000"/>
          <w:sz w:val="32"/>
        </w:rPr>
        <w:t>Forward 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200" w:after="200"/>
        <w:jc w:val="center"/>
        <w:rPr>
          <w:rFonts w:ascii="Times New Roman" w:hAnsi="Times New Roman"/>
          <w:caps/>
          <w:color w:val="000000"/>
          <w:sz w:val="20"/>
        </w:rPr>
      </w:pPr>
      <w:r>
        <w:rPr>
          <w:rFonts w:ascii="Times New Roman" w:hAnsi="Times New Roman"/>
          <w:caps/>
          <w:color w:val="000000"/>
          <w:sz w:val="20"/>
        </w:rPr>
        <w:t>SPECIAL NOTE REGARDING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Annual Report contains or may contain forward-looking statements as defined in Section 27A of the Securities Act of 1933, as amended (the “Securities Act”), and Section 21E of the Securities Exchange Act of 1934, as amended (the “Exchange Act”), that involve significant risks and uncertainties. All statements other than statements of historical facts are forward-looking statements. These forward-looking statements include information about our possible or assumed future results of operations or our performance. Words such as “may,” “might,” “will,” “could,” “would,” “should,” “expects,” “intends,” “plans,” “believes,” “anticipates,” “estimates,” “potential,” “continue,” “ongoing,” “targets,” “possible,” “project,” and “predict” and variations of such words and similar expressions are intended to identify the forward-looking statements. Forward-looking statements in this Annual Report may include, for example, statements about: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ability to maintain the listing of our ordinary shares and public warrants on the Nasdaq Global Market and the Nasdaq Iceland Main Market;</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timing and expected outcomes of clinical trials, preclinical studies, regulatory submissions and approvals, as well as commercial outcomes;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timing of expected milestones in connection with our in-licensed assets;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expectations regarding the potential market size and the size of the patient populations for our product candidates, if approved for commercial use;</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expected benefits of our business and scientific approach and technology;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potential safety and efficacy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successfully develop, advance, and partner or commercialize our pipeline of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establish and maintain arrangements for the manufacture of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effectiveness and profitability of our collaborations and partnerships, our ability to maintain current collaborations and partnerships and enter into new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expectations related to future milestone and royalty payments and other economic terms under our collaborations and partnerships;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regarding cash runway, future revenue, expenses, capital requirements, financial condition and need for additional financing;</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estimates of market opportunity for our product candidates;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effects of increased competition as well as innovations by new and existing competitors in our industry;</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strategic advantages and the impact those advantages may have on future financial and operational results;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expansion plans and opportunities;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ability to grow our business in a cost-effective manner;</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and not infringe on the rights of others;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impact of any macroeconomic factors and other global events on our business;</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changes in applicable laws or regulations; and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outcome of any known and unknown litigation and regulatory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Accordingly, 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You should refer to the section entitled “</w:t>
      </w:r>
      <w:r>
        <w:rPr>
          <w:rFonts w:ascii="Times New Roman" w:hAnsi="Times New Roman"/>
          <w:i/>
          <w:color w:val="000000"/>
          <w:sz w:val="20"/>
        </w:rPr>
        <w:t>Risk Factors,</w:t>
      </w:r>
      <w:r>
        <w:rPr>
          <w:rFonts w:ascii="Times New Roman" w:hAnsi="Times New Roman"/>
          <w:color w:val="000000"/>
          <w:sz w:val="20"/>
        </w:rPr>
        <w:t xml:space="preserve">” included in Item 3.D. of the Annual Report on Form 20-F for the year ended December 31, 2025 filed with the SEC on March 4, 2026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Annual Report. And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you are cautioned not to unduly rely 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Times New Roman">
    <w:charset w:val="01"/>
    <w:family w:val="auto"/>
    <w:pitch w:val="default"/>
  </w:font>
  <w:font w:name="Arial">
    <w:charset w:val="01"/>
    <w:family w:val="auto"/>
    <w:pitch w:val="default"/>
  </w:font>
  <w:font w:name="Aptos">
    <w:altName w:val="sans-serif"/>
    <w:charset w:val="01"/>
    <w:family w:val="auto"/>
    <w:pitch w:val="default"/>
  </w:font>
  <w:font w:name="Verdana">
    <w:charset w:val="01"/>
    <w:family w:val="auto"/>
    <w:pitch w:val="default"/>
  </w:font>
  <w:font w:name="Calibri Light">
    <w:altName w:val="sans-serif"/>
    <w:charset w:val="01"/>
    <w:family w:val="auto"/>
    <w:pitch w:val="default"/>
  </w:font>
  <w:font w:name="Symbol">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gif"/><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gif"/><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gif"/><Relationship Id="rId24" Type="http://schemas.openxmlformats.org/officeDocument/2006/relationships/image" Target="media/image17.gif"/><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8.jpeg"/><Relationship Id="rId31" Type="http://schemas.openxmlformats.org/officeDocument/2006/relationships/image" Target="media/image8.jpeg"/><Relationship Id="rId32" Type="http://schemas.openxmlformats.org/officeDocument/2006/relationships/image" Target="media/image8.jpeg"/><Relationship Id="rId33" Type="http://schemas.openxmlformats.org/officeDocument/2006/relationships/image" Target="media/image23.jpeg"/><Relationship Id="rId34" Type="http://schemas.openxmlformats.org/officeDocument/2006/relationships/image" Target="media/image8.jpeg"/><Relationship Id="rId35" Type="http://schemas.openxmlformats.org/officeDocument/2006/relationships/image" Target="media/image8.jpeg"/><Relationship Id="rId36" Type="http://schemas.openxmlformats.org/officeDocument/2006/relationships/image" Target="media/image8.jpeg"/><Relationship Id="rId37" Type="http://schemas.openxmlformats.org/officeDocument/2006/relationships/image" Target="media/image8.jpeg"/><Relationship Id="rId38" Type="http://schemas.openxmlformats.org/officeDocument/2006/relationships/image" Target="media/image8.jpeg"/><Relationship Id="rId39" Type="http://schemas.openxmlformats.org/officeDocument/2006/relationships/image" Target="media/image8.jpeg"/><Relationship Id="rId40" Type="http://schemas.openxmlformats.org/officeDocument/2006/relationships/image" Target="media/image8.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90799</Words>
  <Characters>498973</Characters>
  <CharactersWithSpaces>592440</CharactersWithSpaces>
  <Paragraphs>15270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