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ocs_6-k_ifrssfs_2025.htm"/>
      <w:bookmarkStart w:id="1" w:name="ksocs_6k_ifrssfs_2025"/>
      <w:bookmarkEnd w:id="0"/>
      <w:bookmarkEnd w:id="1"/>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spacing w:before="0" w:after="40"/>
        <w:jc w:val="center"/>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REPORT OF FOREIGN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Month of March 2026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(Commission File No. 001-41636)</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Oculis Holding AG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(Translation of registrant's name into English)</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Bahnhofstrasse 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CH-6300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Zug, Switzerland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registrant’s principal executive office)</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tbl>
      <w:tblPr>
        <w:tblW w:w="2402" w:type="dxa"/>
        <w:jc w:val="left"/>
        <w:tblInd w:w="0" w:type="dxa"/>
        <w:tblLayout w:type="fixed"/>
        <w:tblCellMar>
          <w:top w:w="28" w:type="dxa"/>
          <w:left w:w="28" w:type="dxa"/>
          <w:bottom w:w="28" w:type="dxa"/>
          <w:right w:w="28" w:type="dxa"/>
        </w:tblCellMar>
      </w:tblPr>
      <w:tblGrid>
        <w:gridCol w:w="1186"/>
        <w:gridCol w:w="1216"/>
      </w:tblGrid>
      <w:tr>
        <w:trPr/>
        <w:tc>
          <w:tcPr>
            <w:tcW w:w="11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20-F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40-F ☐</w:t>
            </w:r>
          </w:p>
        </w:tc>
      </w:tr>
    </w:tbl>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INFORMATION CONTAINED IN THIS REPORT ON FORM 6-K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Oculis Holding AG's (the “Registrant”) 2025 IFRS consolidated financial statements and 2025 Statutory Financial Statements are furnished as Exhibits 99.1 and 99.2, respectively, to this Report on Form 6-K.</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0"/>
        </w:rPr>
        <w:t>Renewal of ATM Program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March 4, 2026, in connection with filing a new Registration Statement on Form F-3, the Company entered into an Amended and Restated Sales Agreement (the “Sales Agreement”) with Leerink Partners, LLC (“Leerink Partners”) with respect to its existing at-the-market offering program (the “ATM Program”). As originally disclosed in May 2024, under the ATM Program, the </w:t>
      </w:r>
      <w:r>
        <w:rPr>
          <w:rFonts w:ascii="Times New Roman" w:hAnsi="Times New Roman"/>
          <w:color w:val="000000"/>
          <w:sz w:val="19"/>
        </w:rPr>
        <w:t>Company may offer and sell, from time to time at its sole discretion, ordinary shares of the Company having an aggregate offering price of up to $100 million through Leerink Partners as its sales agent. The issuance and sale, if any, of the ordinary shares by the Company under the Sales Agreement will be made pursuant to the Company’s effective registration statement on Form F-3 filed with the Securities and Exchange Commission on March 4, 2026 (File No. 333-294011) (the “Registration Statement”)</w:t>
      </w:r>
      <w:r>
        <w:rPr>
          <w:rFonts w:ascii="Times New Roman" w:hAnsi="Times New Roman"/>
          <w:b/>
          <w:color w:val="000000"/>
          <w:sz w:val="19"/>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9"/>
        </w:rPr>
        <w:t>The foregoing description of the Sales Agreement is not complete and is qualified in its entirety by reference to the full text of the Sales Agreement, a copy of which is filed herewith as Exhibit 1.1 to this report on Form 6-K and is incorporated herein by reference. A copy of the legal opinion of VISCHER AG, the Company’s Swiss counsel, relating to the underlying shares to be issued in connection with the Sales Agreement was filed as Exhibit 5.1 to the Registration Statement. This report on Form 6-K shall not constitute an offer to sell or the solicitation of an offer to buy the securities discussed herein, nor shall there be any offer, solicitation, or sale of the securities in any state in which such offer, solicitation or sale would be unlawful prior to registration or qualification under the securities laws of any such state.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19"/>
        </w:rPr>
        <w:t>Incorporation by Reference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9"/>
        </w:rPr>
        <w:t>This Report on Form 6-K, including Exhibits 1.1, 99.1 and 99.2, is hereby incorporated by reference into the Company’s Registration Statements on Form S-8 (File Nos. 333-271938 and 333-287806) and Form F-3 (File Nos. 333-294011, 333-278409, 333-271063 and 333-291426).</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8"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ocs-ex1_1.htm">
              <w:r>
                <w:rPr>
                  <w:rStyle w:val="InternetLink"/>
                  <w:rFonts w:ascii="Times New Roman" w:hAnsi="Times New Roman"/>
                  <w:color w:val="0000FF"/>
                  <w:sz w:val="20"/>
                  <w:u w:val="single"/>
                </w:rPr>
                <w:t>Amended and Restated Sales Agreement, dated as of March 4, 2026, by and between Oculis Holding AG and Leerink Partners, LLC</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ocs-ex99_1.htm">
              <w:r>
                <w:rPr>
                  <w:rStyle w:val="InternetLink"/>
                  <w:rFonts w:ascii="Times New Roman" w:hAnsi="Times New Roman"/>
                  <w:color w:val="0000FF"/>
                  <w:sz w:val="20"/>
                  <w:u w:val="single"/>
                </w:rPr>
                <w:t>IFRS consolidated financial statements as of and for the year ended December 31, 2025</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ocs-ex99_2.htm">
              <w:r>
                <w:rPr>
                  <w:rStyle w:val="InternetLink"/>
                  <w:rFonts w:ascii="Times New Roman" w:hAnsi="Times New Roman"/>
                  <w:color w:val="0000FF"/>
                  <w:sz w:val="20"/>
                  <w:u w:val="single"/>
                </w:rPr>
                <w:t>Statutory Financial Statements of Oculis Holding AG for the year ended December 31, 2025</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4766" w:type="dxa"/>
        <w:jc w:val="left"/>
        <w:tblInd w:w="0" w:type="dxa"/>
        <w:tblLayout w:type="fixed"/>
        <w:tblCellMar>
          <w:top w:w="28" w:type="dxa"/>
          <w:left w:w="28" w:type="dxa"/>
          <w:bottom w:w="28" w:type="dxa"/>
          <w:right w:w="28" w:type="dxa"/>
        </w:tblCellMar>
      </w:tblPr>
      <w:tblGrid>
        <w:gridCol w:w="1786"/>
        <w:gridCol w:w="109"/>
        <w:gridCol w:w="146"/>
        <w:gridCol w:w="109"/>
        <w:gridCol w:w="406"/>
        <w:gridCol w:w="109"/>
        <w:gridCol w:w="210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OCULIS HOLDING AG</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Sylvia Cheung</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ocs-ex1_1.htm"/>
      <w:bookmarkStart w:id="3" w:name="ksocsex1_1"/>
      <w:bookmarkEnd w:id="2"/>
      <w:bookmarkEnd w:id="3"/>
      <w:r>
        <w:rPr>
          <w:rFonts w:ascii="Times New Roman" w:hAnsi="Times New Roman"/>
          <w:b/>
          <w:color w:val="000000"/>
          <w:sz w:val="20"/>
        </w:rPr>
        <w:t>Exhibit 1.1</w:t>
      </w:r>
      <w:r>
        <w:br w:type="page"/>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Oculis Holding AG</w:t>
      </w:r>
    </w:p>
    <w:p>
      <w:pPr>
        <w:pStyle w:val="TextBody"/>
        <w:bidi w:val="0"/>
        <w:jc w:val="center"/>
        <w:rPr>
          <w:rFonts w:ascii="Times New Roman" w:hAnsi="Times New Roman"/>
          <w:color w:val="000000"/>
          <w:sz w:val="22"/>
        </w:rPr>
      </w:pPr>
      <w:r>
        <w:rPr>
          <w:rFonts w:ascii="Times New Roman" w:hAnsi="Times New Roman"/>
          <w:color w:val="000000"/>
          <w:sz w:val="22"/>
        </w:rPr>
        <w:t>Ordinary Shares</w:t>
      </w:r>
    </w:p>
    <w:p>
      <w:pPr>
        <w:pStyle w:val="TextBody"/>
        <w:bidi w:val="0"/>
        <w:jc w:val="center"/>
        <w:rPr>
          <w:rFonts w:ascii="Times New Roman" w:hAnsi="Times New Roman"/>
          <w:color w:val="000000"/>
          <w:sz w:val="22"/>
        </w:rPr>
      </w:pPr>
      <w:r>
        <w:rPr>
          <w:rFonts w:ascii="Times New Roman" w:hAnsi="Times New Roman"/>
          <w:color w:val="000000"/>
          <w:sz w:val="22"/>
        </w:rPr>
        <w:t>(CHF 0.01 nominal value per share)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AMENDED AND RESTATED SALES AGREEMENT</w:t>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color w:val="000000"/>
          <w:sz w:val="22"/>
        </w:rPr>
      </w:pPr>
      <w:r>
        <w:rPr>
          <w:rFonts w:ascii="Times New Roman" w:hAnsi="Times New Roman"/>
          <w:color w:val="000000"/>
          <w:sz w:val="22"/>
        </w:rPr>
        <w:t>March 4,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LEERINK PARTNERS LLC</w:t>
      </w:r>
    </w:p>
    <w:p>
      <w:pPr>
        <w:pStyle w:val="TextBody"/>
        <w:bidi w:val="0"/>
        <w:jc w:val="left"/>
        <w:rPr>
          <w:rFonts w:ascii="Times New Roman" w:hAnsi="Times New Roman"/>
          <w:sz w:val="20"/>
        </w:rPr>
      </w:pPr>
      <w:r>
        <w:rPr>
          <w:rFonts w:ascii="Times New Roman" w:hAnsi="Times New Roman"/>
          <w:color w:val="000000"/>
          <w:sz w:val="22"/>
        </w:rPr>
        <w:t>1301 Avenue of the Americas, 5</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Floor</w:t>
      </w:r>
    </w:p>
    <w:p>
      <w:pPr>
        <w:pStyle w:val="TextBody"/>
        <w:bidi w:val="0"/>
        <w:jc w:val="left"/>
        <w:rPr>
          <w:rFonts w:ascii="Times New Roman" w:hAnsi="Times New Roman"/>
          <w:color w:val="000000"/>
          <w:sz w:val="22"/>
        </w:rPr>
      </w:pPr>
      <w:r>
        <w:rPr>
          <w:rFonts w:ascii="Times New Roman" w:hAnsi="Times New Roman"/>
          <w:color w:val="000000"/>
          <w:sz w:val="22"/>
        </w:rPr>
        <w:t>New York, New York 10019</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Ladies and Gentlemen: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Oculis Holding AG, a stock corporation (Aktiengesellschaft) incorporated and existing under the laws of Switzerland (the “</w:t>
      </w:r>
      <w:r>
        <w:rPr>
          <w:rFonts w:ascii="Times New Roman" w:hAnsi="Times New Roman"/>
          <w:b/>
          <w:color w:val="000000"/>
          <w:sz w:val="22"/>
          <w:u w:val="single"/>
        </w:rPr>
        <w:t>Company</w:t>
      </w:r>
      <w:r>
        <w:rPr>
          <w:rFonts w:ascii="Times New Roman" w:hAnsi="Times New Roman"/>
          <w:color w:val="000000"/>
          <w:sz w:val="20"/>
        </w:rPr>
        <w:t>”</w:t>
      </w:r>
      <w:r>
        <w:rPr>
          <w:rFonts w:ascii="Times New Roman" w:hAnsi="Times New Roman"/>
          <w:color w:val="000000"/>
          <w:sz w:val="22"/>
        </w:rPr>
        <w:t>), confirms its agreement (as amended and restated, this “</w:t>
      </w:r>
      <w:r>
        <w:rPr>
          <w:rFonts w:ascii="Times New Roman" w:hAnsi="Times New Roman"/>
          <w:b/>
          <w:color w:val="000000"/>
          <w:sz w:val="22"/>
          <w:u w:val="single"/>
        </w:rPr>
        <w:t>Agreement</w:t>
      </w:r>
      <w:r>
        <w:rPr>
          <w:rFonts w:ascii="Times New Roman" w:hAnsi="Times New Roman"/>
          <w:color w:val="000000"/>
          <w:sz w:val="20"/>
        </w:rPr>
        <w:t>”</w:t>
      </w:r>
      <w:r>
        <w:rPr>
          <w:rFonts w:ascii="Times New Roman" w:hAnsi="Times New Roman"/>
          <w:color w:val="000000"/>
          <w:sz w:val="22"/>
        </w:rPr>
        <w:t>) with Leerink Partners LLC (the “</w:t>
      </w:r>
      <w:r>
        <w:rPr>
          <w:rFonts w:ascii="Times New Roman" w:hAnsi="Times New Roman"/>
          <w:b/>
          <w:color w:val="000000"/>
          <w:sz w:val="22"/>
          <w:u w:val="single"/>
        </w:rPr>
        <w:t>Agent</w:t>
      </w:r>
      <w:r>
        <w:rPr>
          <w:rFonts w:ascii="Times New Roman" w:hAnsi="Times New Roman"/>
          <w:color w:val="000000"/>
          <w:sz w:val="20"/>
        </w:rPr>
        <w:t>”</w:t>
      </w:r>
      <w:r>
        <w:rPr>
          <w:rFonts w:ascii="Times New Roman" w:hAnsi="Times New Roman"/>
          <w:color w:val="000000"/>
          <w:sz w:val="22"/>
        </w:rPr>
        <w:t>), as follows:</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jc w:val="left"/>
        <w:rPr/>
      </w:pPr>
      <w:r>
        <w:rPr>
          <w:rFonts w:ascii="Times New Roman" w:hAnsi="Times New Roman"/>
          <w:color w:val="000000"/>
          <w:sz w:val="22"/>
          <w:u w:val="single"/>
        </w:rPr>
        <w:t>Issuance and Sale of Shares</w:t>
      </w:r>
      <w:r>
        <w:rPr>
          <w:rFonts w:ascii="Times New Roman" w:hAnsi="Times New Roman"/>
          <w:color w:val="000000"/>
          <w:sz w:val="22"/>
        </w:rPr>
        <w:t>. The Company agrees that, from time to time during the term of this Agreement, on the terms and subject to the conditions set forth herein, it may issue and sell through the Agent up to $100,000,000 of ordinary shares, CHF 0.01 nominal value per share, of the Company (the “</w:t>
      </w:r>
      <w:r>
        <w:rPr>
          <w:rFonts w:ascii="Times New Roman" w:hAnsi="Times New Roman"/>
          <w:b/>
          <w:color w:val="000000"/>
          <w:sz w:val="22"/>
          <w:u w:val="single"/>
        </w:rPr>
        <w:t>Ordinary Shares</w:t>
      </w:r>
      <w:r>
        <w:rPr>
          <w:color w:val="000000"/>
        </w:rPr>
        <w:t>”</w:t>
      </w:r>
      <w:r>
        <w:rPr>
          <w:rFonts w:ascii="Times New Roman" w:hAnsi="Times New Roman"/>
          <w:color w:val="000000"/>
          <w:sz w:val="22"/>
        </w:rPr>
        <w:t>), subject to the limitations set forth in Section 5(c) (the “</w:t>
      </w:r>
      <w:r>
        <w:rPr>
          <w:rFonts w:ascii="Times New Roman" w:hAnsi="Times New Roman"/>
          <w:b/>
          <w:color w:val="000000"/>
          <w:sz w:val="22"/>
          <w:u w:val="single"/>
        </w:rPr>
        <w:t>Placement Shares</w:t>
      </w:r>
      <w:r>
        <w:rPr>
          <w:color w:val="000000"/>
        </w:rPr>
        <w:t>”</w:t>
      </w:r>
      <w:r>
        <w:rPr>
          <w:rFonts w:ascii="Times New Roman" w:hAnsi="Times New Roman"/>
          <w:color w:val="000000"/>
          <w:sz w:val="22"/>
        </w:rPr>
        <w:t>). Notwithstanding anything to the contrary contained herein, the parties hereto agree that compliance with the limitation set forth in this Section 1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filed by the Company with the Securities and Exchange Commission (the “</w:t>
      </w:r>
      <w:r>
        <w:rPr>
          <w:rFonts w:ascii="Times New Roman" w:hAnsi="Times New Roman"/>
          <w:b/>
          <w:color w:val="000000"/>
          <w:sz w:val="22"/>
          <w:u w:val="single"/>
        </w:rPr>
        <w:t>Commission</w:t>
      </w:r>
      <w:r>
        <w:rPr>
          <w:color w:val="000000"/>
        </w:rPr>
        <w:t>”</w:t>
      </w:r>
      <w:r>
        <w:rPr>
          <w:rFonts w:ascii="Times New Roman" w:hAnsi="Times New Roman"/>
          <w:color w:val="000000"/>
          <w:sz w:val="22"/>
        </w:rPr>
        <w:t>) on March 4, 2026 which became effective on March 4, 2026, although nothing in this Agreement shall be construed as requiring the Company to issue any Placement Shares. The Company has prepared and filed, in accordance with the provisions of the Securities Act of 1933, as amended, and the rules and regulations thereunder (collectively, the “</w:t>
      </w:r>
      <w:r>
        <w:rPr>
          <w:rFonts w:ascii="Times New Roman" w:hAnsi="Times New Roman"/>
          <w:b/>
          <w:color w:val="000000"/>
          <w:sz w:val="22"/>
          <w:u w:val="single"/>
        </w:rPr>
        <w:t>Securities Act</w:t>
      </w:r>
      <w:r>
        <w:rPr>
          <w:color w:val="000000"/>
        </w:rPr>
        <w:t>”</w:t>
      </w:r>
      <w:r>
        <w:rPr>
          <w:rFonts w:ascii="Times New Roman" w:hAnsi="Times New Roman"/>
          <w:color w:val="000000"/>
          <w:sz w:val="22"/>
        </w:rPr>
        <w:t>), with the Commission an automatic shelf registration statement as defined under Rule 405 of the Securities Act on Form F-3, including a base prospectus, relating to certain securities, including the Ordinary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hAnsi="Times New Roman"/>
          <w:b/>
          <w:color w:val="000000"/>
          <w:sz w:val="22"/>
          <w:u w:val="single"/>
        </w:rPr>
        <w:t>Exchange Act</w:t>
      </w:r>
      <w:r>
        <w:rPr>
          <w:color w:val="000000"/>
        </w:rPr>
        <w:t>”</w:t>
      </w:r>
      <w:r>
        <w:rPr>
          <w:rFonts w:ascii="Times New Roman" w:hAnsi="Times New Roman"/>
          <w:color w:val="000000"/>
          <w:sz w:val="22"/>
        </w:rPr>
        <w:t>). The Company has prepared a prospectus supplement to the base prospectus included as part of such registration statement at the time the registration statement became effective, which prospectus supplement specifically relates to the Placement Shares to be issued from time to time pursuant to this Agreement (the “</w:t>
      </w:r>
      <w:r>
        <w:rPr>
          <w:rFonts w:ascii="Times New Roman" w:hAnsi="Times New Roman"/>
          <w:b/>
          <w:color w:val="000000"/>
          <w:sz w:val="22"/>
          <w:u w:val="single"/>
        </w:rPr>
        <w:t>Prospectus Supplement</w:t>
      </w:r>
      <w:r>
        <w:rPr>
          <w:color w:val="000000"/>
        </w:rPr>
        <w:t>”</w:t>
      </w:r>
      <w:r>
        <w:rPr>
          <w:rFonts w:ascii="Times New Roman" w:hAnsi="Times New Roman"/>
          <w:color w:val="000000"/>
          <w:sz w:val="22"/>
        </w:rPr>
        <w:t xml:space="preserve">). The Company will furnish to the Agent, for use by the Agent, copies of the base prospectus included as part of such registration statement at the time it became effective, as supplemented by the Prospectus Supplement. The Company may file one or more additional registration statements from time to time that will contain a base prospectus and related prospectus or prospectus supplement, if applicable, with respect to the Placement Shares provided, however, that Agent is provided with a reasonable opportunity to review any such registration statement or prospectus. Except where the context </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rFonts w:ascii="Times New Roman" w:hAnsi="Times New Roman"/>
          <w:color w:val="000000"/>
          <w:sz w:val="22"/>
        </w:rPr>
        <w:t>otherwise requires, such registration statement,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under the Securities Act, or any subsequent registration statement on Form F-3 or S-3 filed pursuant to Rule 415(a)(6) under the Securities Act by the Company to cover any Placement Shares, is herein called the “</w:t>
      </w:r>
      <w:r>
        <w:rPr>
          <w:rFonts w:ascii="Times New Roman" w:hAnsi="Times New Roman"/>
          <w:b/>
          <w:color w:val="000000"/>
          <w:sz w:val="22"/>
          <w:u w:val="single"/>
        </w:rPr>
        <w:t>Registration Statement</w:t>
      </w:r>
      <w:r>
        <w:rPr>
          <w:rFonts w:ascii="Times New Roman" w:hAnsi="Times New Roman"/>
          <w:color w:val="000000"/>
          <w:sz w:val="22"/>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Times New Roman" w:hAnsi="Times New Roman"/>
          <w:b/>
          <w:color w:val="000000"/>
          <w:sz w:val="22"/>
          <w:u w:val="single"/>
        </w:rPr>
        <w:t>Rule 433</w:t>
      </w:r>
      <w:r>
        <w:rPr>
          <w:color w:val="000000"/>
        </w:rPr>
        <w:t>”</w:t>
      </w:r>
      <w:r>
        <w:rPr>
          <w:rFonts w:ascii="Times New Roman" w:hAnsi="Times New Roman"/>
          <w:color w:val="000000"/>
          <w:sz w:val="22"/>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hAnsi="Times New Roman"/>
          <w:b/>
          <w:color w:val="000000"/>
          <w:sz w:val="22"/>
          <w:u w:val="single"/>
        </w:rPr>
        <w:t>Prospectus</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Any reference herein to the Registration Statement, the Prospectus Supplement, the Prospectus or any issuer free writing prospectus shall be deemed to refer to and include the documents, if any, that are or are deemed to be incorporated by reference therein (the “</w:t>
      </w:r>
      <w:r>
        <w:rPr>
          <w:rFonts w:ascii="Times New Roman" w:hAnsi="Times New Roman"/>
          <w:b/>
          <w:color w:val="000000"/>
          <w:sz w:val="22"/>
          <w:u w:val="single"/>
        </w:rPr>
        <w:t>Incorporated Documents</w:t>
      </w:r>
      <w:r>
        <w:rPr>
          <w:rFonts w:ascii="Times New Roman" w:hAnsi="Times New Roman"/>
          <w:color w:val="000000"/>
          <w:sz w:val="20"/>
        </w:rPr>
        <w:t>”</w:t>
      </w:r>
      <w:r>
        <w:rPr>
          <w:rFonts w:ascii="Times New Roman" w:hAnsi="Times New Roman"/>
          <w:color w:val="000000"/>
          <w:sz w:val="22"/>
        </w:rPr>
        <w:t>),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respective dates of the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hAnsi="Times New Roman"/>
          <w:b/>
          <w:color w:val="000000"/>
          <w:sz w:val="22"/>
          <w:u w:val="single"/>
        </w:rPr>
        <w:t>EDGAR</w:t>
      </w:r>
      <w:r>
        <w:rPr>
          <w:rFonts w:ascii="Times New Roman" w:hAnsi="Times New Roman"/>
          <w:color w:val="000000"/>
          <w:sz w:val="20"/>
        </w:rPr>
        <w:t>”</w:t>
      </w:r>
      <w:r>
        <w:rPr>
          <w:rFonts w:ascii="Times New Roman" w:hAnsi="Times New Roman"/>
          <w:color w:val="000000"/>
          <w:sz w:val="22"/>
        </w:rPr>
        <w:t>).</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jc w:val="left"/>
        <w:rPr/>
      </w:pPr>
      <w:r>
        <w:rPr>
          <w:rFonts w:ascii="Times New Roman" w:hAnsi="Times New Roman"/>
          <w:color w:val="000000"/>
          <w:sz w:val="22"/>
          <w:u w:val="single"/>
        </w:rPr>
        <w:t>Placements</w:t>
      </w:r>
      <w:r>
        <w:rPr>
          <w:rFonts w:ascii="Times New Roman" w:hAnsi="Times New Roman"/>
          <w:color w:val="000000"/>
          <w:sz w:val="22"/>
        </w:rPr>
        <w:t>. Each time that the Company wishes to issue and sell any Placement Shares through the Agent hereunder (each, a “</w:t>
      </w:r>
      <w:r>
        <w:rPr>
          <w:rFonts w:ascii="Times New Roman" w:hAnsi="Times New Roman"/>
          <w:b/>
          <w:color w:val="000000"/>
          <w:sz w:val="22"/>
          <w:u w:val="single"/>
        </w:rPr>
        <w:t>Placement</w:t>
      </w:r>
      <w:r>
        <w:rPr>
          <w:color w:val="000000"/>
        </w:rPr>
        <w:t>”</w:t>
      </w:r>
      <w:r>
        <w:rPr>
          <w:rFonts w:ascii="Times New Roman" w:hAnsi="Times New Roman"/>
          <w:color w:val="000000"/>
          <w:sz w:val="22"/>
        </w:rPr>
        <w:t>), it will notify the Agent by email notice (or other method mutually agreed to in writing by the parties) (each such notice, a “</w:t>
      </w:r>
      <w:r>
        <w:rPr>
          <w:rFonts w:ascii="Times New Roman" w:hAnsi="Times New Roman"/>
          <w:b/>
          <w:color w:val="000000"/>
          <w:sz w:val="22"/>
          <w:u w:val="single"/>
        </w:rPr>
        <w:t>Placement Notice</w:t>
      </w:r>
      <w:r>
        <w:rPr>
          <w:color w:val="000000"/>
        </w:rPr>
        <w:t>”</w:t>
      </w:r>
      <w:r>
        <w:rPr>
          <w:rFonts w:ascii="Times New Roman" w:hAnsi="Times New Roman"/>
          <w:color w:val="000000"/>
          <w:sz w:val="22"/>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a form of which containing such minimum sales parameters is attached hereto as </w:t>
      </w:r>
      <w:r>
        <w:rPr>
          <w:rFonts w:ascii="Times New Roman" w:hAnsi="Times New Roman"/>
          <w:b/>
          <w:color w:val="000000"/>
          <w:sz w:val="22"/>
          <w:u w:val="single"/>
        </w:rPr>
        <w:t>Schedule 1</w:t>
      </w:r>
      <w:r>
        <w:rPr>
          <w:rFonts w:ascii="Times New Roman" w:hAnsi="Times New Roman"/>
          <w:color w:val="000000"/>
          <w:sz w:val="22"/>
        </w:rPr>
        <w:t xml:space="preserve">. The Placement Notice must originate from one of the individuals authorized to act on behalf of the Company and set forth on </w:t>
      </w:r>
      <w:r>
        <w:rPr>
          <w:rFonts w:ascii="Times New Roman" w:hAnsi="Times New Roman"/>
          <w:b/>
          <w:color w:val="000000"/>
          <w:sz w:val="22"/>
          <w:u w:val="single"/>
        </w:rPr>
        <w:t>Schedule 2</w:t>
      </w:r>
      <w:r>
        <w:rPr>
          <w:color w:val="000000"/>
        </w:rPr>
        <w:t xml:space="preserve"> </w:t>
      </w:r>
      <w:r>
        <w:rPr>
          <w:rFonts w:ascii="Times New Roman" w:hAnsi="Times New Roman"/>
          <w:color w:val="000000"/>
          <w:sz w:val="22"/>
        </w:rPr>
        <w:t xml:space="preserve">(with a copy to each of the other individuals from the Company listed on such </w:t>
      </w:r>
      <w:r>
        <w:rPr>
          <w:rFonts w:ascii="Times New Roman" w:hAnsi="Times New Roman"/>
          <w:b/>
          <w:color w:val="000000"/>
          <w:sz w:val="22"/>
          <w:u w:val="single"/>
        </w:rPr>
        <w:t>Schedule 2</w:t>
      </w:r>
      <w:r>
        <w:rPr>
          <w:rFonts w:ascii="Times New Roman" w:hAnsi="Times New Roman"/>
          <w:color w:val="000000"/>
          <w:sz w:val="22"/>
        </w:rPr>
        <w:t xml:space="preserve">), and shall be addressed to each of the recipients from the Agent set forth on </w:t>
      </w:r>
      <w:r>
        <w:rPr>
          <w:rFonts w:ascii="Times New Roman" w:hAnsi="Times New Roman"/>
          <w:b/>
          <w:color w:val="000000"/>
          <w:sz w:val="22"/>
          <w:u w:val="single"/>
        </w:rPr>
        <w:t>Schedule 2</w:t>
      </w:r>
      <w:r>
        <w:rPr>
          <w:rFonts w:ascii="Times New Roman" w:hAnsi="Times New Roman"/>
          <w:color w:val="000000"/>
          <w:sz w:val="22"/>
        </w:rPr>
        <w:t xml:space="preserve">, as such </w:t>
      </w:r>
      <w:r>
        <w:rPr>
          <w:rFonts w:ascii="Times New Roman" w:hAnsi="Times New Roman"/>
          <w:b/>
          <w:color w:val="000000"/>
          <w:sz w:val="22"/>
          <w:u w:val="single"/>
        </w:rPr>
        <w:t>Schedule 2</w:t>
      </w:r>
      <w:r>
        <w:rPr>
          <w:color w:val="000000"/>
        </w:rPr>
        <w:t xml:space="preserve"> </w:t>
      </w:r>
      <w:r>
        <w:rPr>
          <w:rFonts w:ascii="Times New Roman" w:hAnsi="Times New Roman"/>
          <w:color w:val="000000"/>
          <w:sz w:val="22"/>
        </w:rPr>
        <w:t xml:space="preserve">may be updated by either party from time to time by sending a written notice containing a revised </w:t>
      </w:r>
      <w:r>
        <w:rPr>
          <w:rFonts w:ascii="Times New Roman" w:hAnsi="Times New Roman"/>
          <w:b/>
          <w:color w:val="000000"/>
          <w:sz w:val="22"/>
          <w:u w:val="single"/>
        </w:rPr>
        <w:t>Schedule 2</w:t>
      </w:r>
      <w:r>
        <w:rPr>
          <w:color w:val="000000"/>
        </w:rPr>
        <w:t xml:space="preserve"> </w:t>
      </w:r>
      <w:r>
        <w:rPr>
          <w:rFonts w:ascii="Times New Roman" w:hAnsi="Times New Roman"/>
          <w:color w:val="000000"/>
          <w:sz w:val="22"/>
        </w:rPr>
        <w:t xml:space="preserve">to the other party in the manner provided in Section 12 (including by email correspondence to each of the individuals of the Company set forth on </w:t>
      </w:r>
      <w:r>
        <w:rPr>
          <w:rFonts w:ascii="Times New Roman" w:hAnsi="Times New Roman"/>
          <w:b/>
          <w:color w:val="000000"/>
          <w:sz w:val="22"/>
          <w:u w:val="single"/>
        </w:rPr>
        <w:t>Schedule 2</w:t>
      </w:r>
      <w:r>
        <w:rPr>
          <w:rFonts w:ascii="Times New Roman" w:hAnsi="Times New Roman"/>
          <w:color w:val="000000"/>
          <w:sz w:val="22"/>
        </w:rPr>
        <w:t xml:space="preserve">, if receipt of such correspondence is actually acknowledged by any of the individuals to whom the notice is sent, other than via auto-reply). The Placement Notice shall be effective upon receipt by the Agent unless and until (i) in accordance with the notice requirements set forth in Section 4, the Agent declines to accept the terms contained therein for any reason, in its sole discretion, within two Trading Days of the date the Agent receives the Placement Notice, (ii) in accordance with the notice requirements set forth in Section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rFonts w:ascii="Times New Roman" w:hAnsi="Times New Roman"/>
          <w:color w:val="000000"/>
          <w:sz w:val="22"/>
        </w:rPr>
        <w:t xml:space="preserve">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 any reason in its sole discretion, (v) the Company issues a subsequent Placement Notice and explicitly indicates that its parameters supersede those contained in the earlier dated Placement Notice or (vi) this Agreement has been terminated pursuant to the provisions of Section 11. The amount of any discount, commission or other compensation to be paid by the Company to the Agent in connection with the sale of the Placement Shares effected through the Agent shall be calculated in accordance with the terms set forth in </w:t>
      </w:r>
      <w:r>
        <w:rPr>
          <w:rFonts w:ascii="Times New Roman" w:hAnsi="Times New Roman"/>
          <w:b/>
          <w:color w:val="000000"/>
          <w:sz w:val="22"/>
          <w:u w:val="single"/>
        </w:rPr>
        <w:t>Schedule 3</w:t>
      </w:r>
      <w:r>
        <w:rPr>
          <w:rFonts w:ascii="Times New Roman" w:hAnsi="Times New Roman"/>
          <w:color w:val="000000"/>
          <w:sz w:val="22"/>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3.</w:t>
      </w:r>
    </w:p>
    <w:p>
      <w:pPr>
        <w:pStyle w:val="TextBody"/>
        <w:bidi w:val="0"/>
        <w:jc w:val="left"/>
        <w:rPr/>
      </w:pPr>
      <w:r>
        <w:rPr>
          <w:rFonts w:ascii="Times New Roman" w:hAnsi="Times New Roman"/>
          <w:color w:val="000000"/>
          <w:sz w:val="22"/>
          <w:u w:val="single"/>
        </w:rPr>
        <w:t>Sale of Placement Shares by the Agent</w:t>
      </w:r>
      <w:r>
        <w:rPr>
          <w:rFonts w:ascii="Times New Roman" w:hAnsi="Times New Roman"/>
          <w:color w:val="000000"/>
          <w:sz w:val="22"/>
        </w:rPr>
        <w:t>. On the basis of the representations and warranties herein contained and subject to the terms and conditions herein set forth, including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Market (“</w:t>
      </w:r>
      <w:r>
        <w:rPr>
          <w:rFonts w:ascii="Times New Roman" w:hAnsi="Times New Roman"/>
          <w:b/>
          <w:color w:val="000000"/>
          <w:sz w:val="22"/>
          <w:u w:val="single"/>
        </w:rPr>
        <w:t>Nasdaq</w:t>
      </w:r>
      <w:r>
        <w:rPr>
          <w:color w:val="000000"/>
        </w:rPr>
        <w:t>”</w:t>
      </w:r>
      <w:r>
        <w:rPr>
          <w:rFonts w:ascii="Times New Roman" w:hAnsi="Times New Roman"/>
          <w:color w:val="000000"/>
          <w:sz w:val="22"/>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Times New Roman" w:hAnsi="Times New Roman"/>
          <w:b/>
          <w:color w:val="000000"/>
          <w:sz w:val="22"/>
          <w:u w:val="single"/>
        </w:rPr>
        <w:t>Schedule 2</w:t>
      </w:r>
      <w:r>
        <w:rPr>
          <w:rFonts w:ascii="Times New Roman" w:hAnsi="Times New Roman"/>
          <w:color w:val="000000"/>
          <w:sz w:val="22"/>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Agent may sell Placement Shares by any method permitted by law deemed to be an “at the market offering” as defined in Rule 415 of the Securities Act, including sales made directly on or through Nasdaq, on or through any other existing trading market for the Ordinary Shares or to or through a market maker. If expressly authorized by the Company (including in a Placement Notice), the Agent may also sell Placement Shares in negotiated transactions. Notwithstanding the provisions of Section 6(bbb),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 (iii) the Agent shall be under no obligation to purchase Placement Shares on a principal basis pursuant to this Agreement unless the Company and the Agent enter into a separate written agreement setting forth the terms of such sale. For the purposes hereof, “</w:t>
      </w:r>
      <w:r>
        <w:rPr>
          <w:rFonts w:ascii="Times New Roman" w:hAnsi="Times New Roman"/>
          <w:b/>
          <w:color w:val="000000"/>
          <w:sz w:val="22"/>
          <w:u w:val="single"/>
        </w:rPr>
        <w:t>Trading Day</w:t>
      </w:r>
      <w:r>
        <w:rPr>
          <w:color w:val="000000"/>
        </w:rPr>
        <w:t xml:space="preserve">” </w:t>
      </w:r>
      <w:r>
        <w:rPr>
          <w:rFonts w:ascii="Times New Roman" w:hAnsi="Times New Roman"/>
          <w:color w:val="000000"/>
          <w:sz w:val="22"/>
        </w:rPr>
        <w:t>means any day on which the Ordinary Shares are purchased and sold on Nasdaq.</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4.</w:t>
      </w:r>
    </w:p>
    <w:p>
      <w:pPr>
        <w:pStyle w:val="TextBody"/>
        <w:bidi w:val="0"/>
        <w:jc w:val="left"/>
        <w:rPr/>
      </w:pPr>
      <w:r>
        <w:rPr>
          <w:rFonts w:ascii="Times New Roman" w:hAnsi="Times New Roman"/>
          <w:color w:val="000000"/>
          <w:sz w:val="22"/>
          <w:u w:val="single"/>
        </w:rPr>
        <w:t>Suspension of Sales</w:t>
      </w:r>
      <w:r>
        <w:rPr>
          <w:rFonts w:ascii="Times New Roman" w:hAnsi="Times New Roman"/>
          <w:color w:val="000000"/>
          <w:sz w:val="22"/>
        </w:rPr>
        <w:t>.</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(a) The Company or the Agent may, upon notice to the other party in writing (including by email correspondence to each of the individuals of the other party set forth on </w:t>
      </w:r>
      <w:r>
        <w:rPr>
          <w:rFonts w:ascii="Times New Roman" w:hAnsi="Times New Roman"/>
          <w:b/>
          <w:color w:val="000000"/>
          <w:sz w:val="22"/>
          <w:u w:val="single"/>
        </w:rPr>
        <w:t>Schedule 2</w:t>
      </w:r>
      <w:r>
        <w:rPr>
          <w:rFonts w:ascii="Times New Roman" w:hAnsi="Times New Roman"/>
          <w:color w:val="000000"/>
          <w:sz w:val="22"/>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 w:hAnsi="Times New Roman"/>
          <w:b/>
          <w:color w:val="000000"/>
          <w:sz w:val="22"/>
          <w:u w:val="single"/>
        </w:rPr>
        <w:t>Schedule 2</w:t>
      </w:r>
      <w:r>
        <w:rPr>
          <w:rFonts w:ascii="Times New Roman" w:hAnsi="Times New Roman"/>
          <w:color w:val="000000"/>
          <w:sz w:val="22"/>
        </w:rPr>
        <w:t xml:space="preserve">), suspend any sale of Placement Shares;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such suspension shall not affect or impair either party’s obligations with respect to any Placement Shares sold hereunder prior to the receipt of such notice. While a suspension pursuant to this Section 4(a) is in effect, any obligation under Sections 7(m), 7(n), 7(o), 7(p) and 7(q) with respect to the delivery of certificates, opinions, or comfort letters to the Agent, shall be waived. Each of the parties agrees that no such notice under this Section 4 shall be effective against the other party unless notice is sent by one of the individuals named on </w:t>
      </w:r>
      <w:r>
        <w:rPr>
          <w:rFonts w:ascii="Times New Roman" w:hAnsi="Times New Roman"/>
          <w:b/>
          <w:color w:val="000000"/>
          <w:sz w:val="22"/>
          <w:u w:val="single"/>
        </w:rPr>
        <w:t>Schedule 2</w:t>
      </w:r>
      <w:r>
        <w:rPr>
          <w:rFonts w:ascii="Times New Roman" w:hAnsi="Times New Roman"/>
          <w:color w:val="000000"/>
          <w:sz w:val="20"/>
        </w:rPr>
        <w:t xml:space="preserve"> </w:t>
      </w:r>
      <w:r>
        <w:rPr>
          <w:rFonts w:ascii="Times New Roman" w:hAnsi="Times New Roman"/>
          <w:color w:val="000000"/>
          <w:sz w:val="22"/>
        </w:rPr>
        <w:t xml:space="preserve">hereto to the other party in writing (including by email correspondence to each of the individuals of the other party set forth on </w:t>
      </w:r>
      <w:r>
        <w:rPr>
          <w:rFonts w:ascii="Times New Roman" w:hAnsi="Times New Roman"/>
          <w:b/>
          <w:color w:val="000000"/>
          <w:sz w:val="22"/>
          <w:u w:val="single"/>
        </w:rPr>
        <w:t>Schedule 2</w:t>
      </w:r>
      <w:r>
        <w:rPr>
          <w:rFonts w:ascii="Times New Roman" w:hAnsi="Times New Roman"/>
          <w:color w:val="000000"/>
          <w:sz w:val="22"/>
        </w:rPr>
        <w:t>, if receipt of such correspondence is actually acknowledged by any of the individuals to whom the notice is sent, other than via auto-reply).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 Notwithstanding any other provision of this Agreement, during any period in which the Company is in possession of material non-public information, the Company and the Agent agree that (i) no sale of Placement Shares will take place, (ii) the Company shall not request the sale of any Placement Shares and shall suspend or cancel any effective Placement Notices instructing the Agent to make any sales and (iii) the Agent shall not be obligated to sell or offer to sell any Placement Shares.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5.</w:t>
      </w:r>
    </w:p>
    <w:p>
      <w:pPr>
        <w:pStyle w:val="TextBody"/>
        <w:bidi w:val="0"/>
        <w:jc w:val="left"/>
        <w:rPr/>
      </w:pPr>
      <w:r>
        <w:rPr>
          <w:rFonts w:ascii="Times New Roman" w:hAnsi="Times New Roman"/>
          <w:color w:val="000000"/>
          <w:sz w:val="22"/>
          <w:u w:val="single"/>
        </w:rPr>
        <w:t>Settlement and Delivery of the Placement Shares</w:t>
      </w:r>
      <w:r>
        <w:rPr>
          <w:rFonts w:ascii="Times New Roman" w:hAnsi="Times New Roman"/>
          <w:color w:val="000000"/>
          <w:sz w:val="22"/>
        </w:rPr>
        <w:t>.</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Settlement of Placement Shares</w:t>
      </w:r>
      <w:r>
        <w:rPr>
          <w:rFonts w:ascii="Times New Roman" w:hAnsi="Times New Roman"/>
          <w:color w:val="000000"/>
          <w:sz w:val="22"/>
        </w:rPr>
        <w:t>. Unless otherwise specified in the applicable Placement Notice, settlement for sales of Placement Shares will occur on the second Trading Day (or such earlier day as is industry practice or as is required for regular-way trading) following the date on which such sales are made (each, a “</w:t>
      </w:r>
      <w:r>
        <w:rPr>
          <w:rFonts w:ascii="Times New Roman" w:hAnsi="Times New Roman"/>
          <w:b/>
          <w:color w:val="000000"/>
          <w:sz w:val="22"/>
          <w:u w:val="single"/>
        </w:rPr>
        <w:t>Settlement Date</w:t>
      </w:r>
      <w:r>
        <w:rPr>
          <w:rFonts w:ascii="Times New Roman" w:hAnsi="Times New Roman"/>
          <w:color w:val="000000"/>
          <w:sz w:val="20"/>
        </w:rPr>
        <w:t>”</w:t>
      </w:r>
      <w:r>
        <w:rPr>
          <w:rFonts w:ascii="Times New Roman" w:hAnsi="Times New Roman"/>
          <w:color w:val="000000"/>
          <w:sz w:val="22"/>
        </w:rPr>
        <w:t>). The amount of proceeds to be delivered to the Company on a Settlement Date against receipt of the Placement Shares sold (the “</w:t>
      </w:r>
      <w:r>
        <w:rPr>
          <w:rFonts w:ascii="Times New Roman" w:hAnsi="Times New Roman"/>
          <w:b/>
          <w:color w:val="000000"/>
          <w:sz w:val="22"/>
          <w:u w:val="single"/>
        </w:rPr>
        <w:t>Net Proceeds</w:t>
      </w:r>
      <w:r>
        <w:rPr>
          <w:rFonts w:ascii="Times New Roman" w:hAnsi="Times New Roman"/>
          <w:color w:val="000000"/>
          <w:sz w:val="20"/>
        </w:rPr>
        <w:t>”</w:t>
      </w:r>
      <w:r>
        <w:rPr>
          <w:rFonts w:ascii="Times New Roman" w:hAnsi="Times New Roman"/>
          <w:color w:val="000000"/>
          <w:sz w:val="22"/>
        </w:rPr>
        <w:t>) will be equal to the aggregate gross sales price received by the Agent at which such Placement Shares were sold, after deduction of (i) the Agent’s commission, discount or other compensation for such sales payable by the Company pursuant to Section 2 hereof, (ii) any other amounts due and payable by the Company to the Agent hereunder pursuant to Section 7(g) hereof and (iii) any transaction fees imposed by any governmental or self-regulatory organization in respect of such sales.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Delivery of Placement Shares</w:t>
      </w:r>
      <w:r>
        <w:rPr>
          <w:rFonts w:ascii="Times New Roman" w:hAnsi="Times New Roman"/>
          <w:color w:val="000000"/>
          <w:sz w:val="22"/>
        </w:rPr>
        <w:t>. On or before each Settlement Date, the Company will source from Ordinary Shares held in treasury and issue the Placement Shares being sold on such date and will, or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Times New Roman" w:hAnsi="Times New Roman"/>
          <w:b/>
          <w:color w:val="000000"/>
          <w:sz w:val="22"/>
          <w:u w:val="single"/>
        </w:rPr>
        <w:t>DWAC</w:t>
      </w:r>
      <w:r>
        <w:rPr>
          <w:rFonts w:ascii="Times New Roman" w:hAnsi="Times New Roman"/>
          <w:color w:val="000000"/>
          <w:sz w:val="20"/>
        </w:rPr>
        <w:t>”</w:t>
      </w:r>
      <w:r>
        <w:rPr>
          <w:rFonts w:ascii="Times New Roman" w:hAnsi="Times New Roman"/>
          <w:color w:val="000000"/>
          <w:sz w:val="22"/>
        </w:rPr>
        <w:t>) or by such other means of delivery as may be mutually agreed upon by the parties hereto, which in all cases shall be duly authorized, freely tradeable, transferable, registered shares of Ordinary Shares in good deliverable form.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that if the Company or its transfer agent (if applicable), defaults in its obligation to deliver duly authorized, freely tradeable, transferable, registered Placement Shares in good deliverable form by 2:30 P.M., New York City time,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loss, claim, damage, or expense (including reasonable legal fees and expenses), as incurred, arising out of or in connection with such default by the Company or its transfer agent (if applicable) (excluding any amounts paid pursuant to subclause (b)(i) above) and (iii) pay to the Agent any commission, discount or other compensation to which it would otherwise have been entitled absent such default.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Limitations on Offering Size</w:t>
      </w:r>
      <w:r>
        <w:rPr>
          <w:rFonts w:ascii="Times New Roman" w:hAnsi="Times New Roman"/>
          <w:color w:val="000000"/>
          <w:sz w:val="22"/>
        </w:rPr>
        <w:t>.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of Ordinary Shares registered pursuant to, and available for offer and sale under, the Registration Statement pursuant to which the offering of Placement Shares is being made, (ii) the number of authorized but unissued shares of Ordinary Shares of the Company (less shares of Ordinary Shares issuable upon exercise, conversion or exchange of any outstanding securities of the Company or otherwise reserved from the Company’s authorized capital stock), (iii) the number or dollar amount of shares of Ordinary Shares permitted to be offered and sold by the Company under Form F-3 (including General Instruction I.B.5. thereof, if such instruction is applicable), (iv) the number or dollar amount of shares of Ordinary Shares held in treasury by the Company and/or any of its subsidiaries and that the Company’s board of directors (the “</w:t>
      </w:r>
      <w:r>
        <w:rPr>
          <w:rFonts w:ascii="Times New Roman" w:hAnsi="Times New Roman"/>
          <w:b/>
          <w:color w:val="000000"/>
          <w:sz w:val="22"/>
          <w:u w:val="single"/>
        </w:rPr>
        <w:t>Board</w:t>
      </w:r>
      <w:r>
        <w:rPr>
          <w:rFonts w:ascii="Times New Roman" w:hAnsi="Times New Roman"/>
          <w:color w:val="000000"/>
          <w:sz w:val="20"/>
        </w:rPr>
        <w:t>”</w:t>
      </w:r>
      <w:r>
        <w:rPr>
          <w:rFonts w:ascii="Times New Roman" w:hAnsi="Times New Roman"/>
          <w:color w:val="000000"/>
          <w:sz w:val="22"/>
        </w:rPr>
        <w:t>) or a duly authorized committee thereof or authorized executive officers of the Company are authorized to issue and sell from time to time, and notified to the Agent in writing, or (v) the dollar amount of shares of Ordinary Shares for which the Company has filed the Prospectus Supplement. Under no circumstances shall the Company cause or request the offer or sale of any Placement Shares pursuant to this Agreement at a price lower than the minimum price authorized from time to time by the Board or a duly authorized committee thereof or authorized executive officers of the Company, and notified to the Agent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Representations and Warranties of the Company</w:t>
      </w:r>
      <w:r>
        <w:rPr>
          <w:rFonts w:ascii="Times New Roman" w:hAnsi="Times New Roman"/>
          <w:color w:val="000000"/>
          <w:sz w:val="22"/>
        </w:rPr>
        <w:t>. The Company represents and warrants to, and agrees with, the Agent that as of the date of this Agreement, unless such representation or warranty specifies a different time, and as of (i) each Representation Date (as defined in Section 7(m)), (ii) each date on which a Placement Notice is given, (iii) the date and time of each sale of any Placement Shares pursuant to this Agreement and (iv) each Settlement Date (each such time or date referred to in clauses (i) through (iv), an “</w:t>
      </w:r>
      <w:r>
        <w:rPr>
          <w:rFonts w:ascii="Times New Roman" w:hAnsi="Times New Roman"/>
          <w:b/>
          <w:color w:val="000000"/>
          <w:sz w:val="22"/>
          <w:u w:val="single"/>
        </w:rPr>
        <w:t>Applicable Time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Compliance with Registration Requirements</w:t>
      </w:r>
      <w:r>
        <w:rPr>
          <w:rFonts w:ascii="Times New Roman" w:hAnsi="Times New Roman"/>
          <w:color w:val="000000"/>
          <w:sz w:val="22"/>
        </w:rPr>
        <w:t>. The Company and the transactions contemplated by this Agreement meet the requirements for and comply with the conditions for the use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Form F-3 (including General Instructions I.A and I.B.1.) under the Securities Act. The Registration Statement has been filed with the Commission and has become effective under the Securities Act prior to the issuance of any Placement Notices by the Company. At the time the Registration Statement originally became effective, the Company met the then-applicable requirements for use of Form F-3 (including General Instructions I.A and I.B.1.) under the Securities Act. The Registration Statement meets, and the offering and sale of Placement Shares as contemplated hereby comply with, the requirements of Rule 415(a)(1)(x) under the Securities Act. The Agent is named as the agent engaged by the Company in the section entitled “Plan of Distribution” in the Prospectus Supplement. The Company has not received, and has no notice from the Commission of, any notice pursuant to Rule 401(g)(1)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 proceedings for such purpose are pending before or, to the knowledge of the Company, threatened by the Commission. At the time of the initial filing of the Registration Statement, the Company paid the required Commission filing fees relating to the securities covered by the Registration Statement, including the Placement Shares that may be sold pursuant to this Agreement, in accordance with Rule 457(o)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 and its counsel.</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Accurate Disclosure</w:t>
      </w:r>
      <w:r>
        <w:rPr>
          <w:rFonts w:ascii="Times New Roman" w:hAnsi="Times New Roman"/>
          <w:color w:val="000000"/>
          <w:sz w:val="22"/>
        </w:rPr>
        <w:t>. Each of the Registration Statement and any post-effective amendment thereto, at the time it became or becomes effective, at each deemed effective date with respect to the Agent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each Prospectus Supplement, Prospectus or issuer free writing prospectus (or any amendments or supplements to any of the foregoing) furnished to the Agent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order to make the statements therein, in light of the circumstances under which they were made, not misleading.</w:t>
      </w:r>
    </w:p>
    <w:p>
      <w:pPr>
        <w:pStyle w:val="TextBody"/>
        <w:bidi w:val="0"/>
        <w:jc w:val="left"/>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Not an Ineligible Issuer</w:t>
      </w:r>
      <w:r>
        <w:rPr>
          <w:rFonts w:ascii="Times New Roman" w:hAnsi="Times New Roman"/>
          <w:color w:val="000000"/>
          <w:sz w:val="22"/>
        </w:rPr>
        <w:t>. (i) At the time of filing the Registration Statement and (ii) at the time of the execution of this Agreement (with such date being used as the determination date for purposes of this clause (ii)), the Company was not and is not an “ineligible issuer” (as defined in Rule 405 under the Securities Act), without taking account of any determination by the Commission pursuant to Rule 405 that it is not necessary that the Company be considered an ineligible issuer.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Well-Known Seasoned Issuer Status</w:t>
      </w:r>
      <w:r>
        <w:rPr>
          <w:rFonts w:ascii="Times New Roman" w:hAnsi="Times New Roman"/>
          <w:color w:val="000000"/>
          <w:sz w:val="22"/>
        </w:rPr>
        <w:t>. (A) At the original effectiveness of the Registration Statement, (B) at the time of the most recent amendment thereto for the purposes of complying with Section 10(a)(3) of the Securities Act (whether such amendment was by post-effective amendment or incorporated report filed pursuant to Section 13 or 15(d) of the Exchange Act or in the form of a prospectus), and (C) at the time the Company or any person acting on its behalf (within the meaning, for this clause only, of Rule 163(c) under the Securities Act) made any offer relating to the Placement Shares in reliance on the exemption of Rule 163 under the Securities Act, the Company was and is a “well-known seasoned issuer” (as defined in Rule 405 under the Securities Act).</w:t>
      </w:r>
    </w:p>
    <w:p>
      <w:pPr>
        <w:pStyle w:val="TextBody"/>
        <w:bidi w:val="0"/>
        <w:jc w:val="left"/>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Free Writing Prospectuses</w:t>
      </w:r>
      <w:r>
        <w:rPr>
          <w:rFonts w:ascii="Times New Roman" w:hAnsi="Times New Roman"/>
          <w:color w:val="000000"/>
          <w:sz w:val="22"/>
        </w:rPr>
        <w:t>. Each issuer free writing prospectus, as of its issue date and as of each Applicable Time,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Each issuer free writing prospectus that the Company has filed, or is required to file, pursuant to Rule 433 or that was prepared by or on behalf of or used by the Company complies or will comply in all material respects with the requirements of the Securities Act.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Offering Materials</w:t>
      </w:r>
      <w:r>
        <w:rPr>
          <w:rFonts w:ascii="Times New Roman" w:hAnsi="Times New Roman"/>
          <w:color w:val="000000"/>
          <w:sz w:val="22"/>
        </w:rPr>
        <w:t>. The Company has not distributed and, prior to the later to occur of each Settlement Date 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w:t>
      </w:r>
    </w:p>
    <w:p>
      <w:pPr>
        <w:pStyle w:val="TextBody"/>
        <w:bidi w:val="0"/>
        <w:jc w:val="left"/>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Interactive Data</w:t>
      </w:r>
      <w:r>
        <w:rPr>
          <w:rFonts w:ascii="Times New Roman" w:hAnsi="Times New Roman"/>
          <w:color w:val="000000"/>
          <w:sz w:val="22"/>
        </w:rPr>
        <w:t>.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Reporting Obligations</w:t>
      </w:r>
      <w:r>
        <w:rPr>
          <w:rFonts w:ascii="Times New Roman" w:hAnsi="Times New Roman"/>
          <w:color w:val="000000"/>
          <w:sz w:val="22"/>
        </w:rPr>
        <w:t>. The Company is subject to and in compliance in all material respects with the reporting requirements of Section 13 or Section 15(d) of the Exchange Act. The Ordinary Shares are registered pursuant to Section 12(b) of the Exchange Act and are listed on Nasdaq, and the Company has taken no action designed to, or reasonably likely to have the effect of, terminating the registration of the Ordinary Shares under the Exchange Act or delisting the Ordinary Shares from Nasdaq, nor has the Company received any notification that the Commission or Nasdaq is contemplating terminating such registration or listing. The Company is in compliance with the current listing standards of Nasdaq in all material respects. The Company has filed a Notification of Listing of Additional Shares with Nasdaq with respect to the Placement Shares.</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No Broker’s Fee</w:t>
      </w:r>
      <w:r>
        <w:rPr>
          <w:rFonts w:ascii="Times New Roman" w:hAnsi="Times New Roman"/>
          <w:color w:val="000000"/>
          <w:sz w:val="22"/>
        </w:rPr>
        <w:t>. No person (as such term is defined in Rule 1-02 of Regulation S-X promulgated under the Securities Act) has the right to act as an underwriter or as a financial advisor to the Company in connection with the offer and sale of the Placement Shares hereunder, whether as a result of the filing or effectiveness of the Registration Statement or the sale of the Placement Shares as contemplated hereby or otherwise. Except for the Agent, there is no broker, finder or other party that is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entitled to receive from the Company or any of its Subsidiaries (as defined below) any brokerage or finder’s fee or other fee or commission as a result of any transactions contemplated by this Agreement.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Independent Accountants</w:t>
      </w:r>
      <w:r>
        <w:rPr>
          <w:rFonts w:ascii="Times New Roman" w:hAnsi="Times New Roman"/>
          <w:color w:val="000000"/>
          <w:sz w:val="22"/>
        </w:rPr>
        <w:t>. PricewaterhouseCoopers SA, who has audited the Company’s financial statements included or incorporated by reference in the Registration Statement and the Prospectus, is an independent public accountant as required by the Securities Act, the Securities Act Regulations, the Exchange Act, the Commission’s rules and regulations under the Exchange Act (the “</w:t>
      </w:r>
      <w:r>
        <w:rPr>
          <w:rFonts w:ascii="Times New Roman" w:hAnsi="Times New Roman"/>
          <w:b/>
          <w:color w:val="000000"/>
          <w:sz w:val="22"/>
          <w:u w:val="single"/>
        </w:rPr>
        <w:t>Exchange Act Regulations</w:t>
      </w:r>
      <w:r>
        <w:rPr>
          <w:rFonts w:ascii="Times New Roman" w:hAnsi="Times New Roman"/>
          <w:color w:val="000000"/>
          <w:sz w:val="20"/>
        </w:rPr>
        <w:t>”</w:t>
      </w:r>
      <w:r>
        <w:rPr>
          <w:rFonts w:ascii="Times New Roman" w:hAnsi="Times New Roman"/>
          <w:color w:val="000000"/>
          <w:sz w:val="22"/>
        </w:rPr>
        <w:t>) and the Public Company Accounting Oversight Board.</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Financial Statements</w:t>
      </w:r>
      <w:r>
        <w:rPr>
          <w:rFonts w:ascii="Times New Roman" w:hAnsi="Times New Roman"/>
          <w:color w:val="000000"/>
          <w:sz w:val="22"/>
        </w:rPr>
        <w:t>. The financial statements of the Company included or incorporated by reference in the Registration Statement, the Prospectus and notes, present fairly in all material respects the financial position of the Company and its consolidated subsidiaries at the dates indicated and the statements of loss, statements of comprehensive loss, statements of financial position, statements of changes in equity and statements of cash flows of the Company and its consolidated subsidiaries for the periods specified; said financial statements have been prepared in conformity with IFRS Accounting Standards (“</w:t>
      </w:r>
      <w:r>
        <w:rPr>
          <w:rFonts w:ascii="Times New Roman" w:hAnsi="Times New Roman"/>
          <w:b/>
          <w:color w:val="000000"/>
          <w:sz w:val="22"/>
          <w:u w:val="single"/>
        </w:rPr>
        <w:t>IFRS</w:t>
      </w:r>
      <w:r>
        <w:rPr>
          <w:rFonts w:ascii="Times New Roman" w:hAnsi="Times New Roman"/>
          <w:color w:val="000000"/>
          <w:sz w:val="20"/>
        </w:rPr>
        <w:t>”</w:t>
      </w:r>
      <w:r>
        <w:rPr>
          <w:rFonts w:ascii="Times New Roman" w:hAnsi="Times New Roman"/>
          <w:color w:val="000000"/>
          <w:sz w:val="22"/>
        </w:rPr>
        <w:t>) as issued by the International Accounting Standards Board applied on a consistent basis throughout the periods involved. The summary financial information included in the Registration Statement and the Prospectus have been compiled on a basis consistent with that of the audited financial statements included therein.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(l) </w:t>
      </w:r>
      <w:r>
        <w:rPr>
          <w:rFonts w:ascii="Times New Roman" w:hAnsi="Times New Roman"/>
          <w:color w:val="000000"/>
          <w:sz w:val="22"/>
          <w:u w:val="single"/>
        </w:rPr>
        <w:t>No Material Adverse Change in Business</w:t>
      </w:r>
      <w:r>
        <w:rPr>
          <w:rFonts w:ascii="Times New Roman" w:hAnsi="Times New Roman"/>
          <w:color w:val="000000"/>
          <w:sz w:val="22"/>
        </w:rPr>
        <w:t>. Except as otherwise stated therein, since the date of the most recent financial statements included in the Registration Statement and the Prospectus, (A) there has been no material adverse change in the condition, financial or otherwise, or in the earnings, business affairs or business prospects of the Company and its subsidiaries considered as one enterprise, whether or not arising in the ordinary course of business (a “</w:t>
      </w:r>
      <w:r>
        <w:rPr>
          <w:rFonts w:ascii="Times New Roman" w:hAnsi="Times New Roman"/>
          <w:b/>
          <w:color w:val="000000"/>
          <w:sz w:val="22"/>
          <w:u w:val="single"/>
        </w:rPr>
        <w:t>Material Adverse Effect</w:t>
      </w:r>
      <w:r>
        <w:rPr>
          <w:rFonts w:ascii="Times New Roman" w:hAnsi="Times New Roman"/>
          <w:color w:val="000000"/>
          <w:sz w:val="20"/>
        </w:rPr>
        <w:t>”</w:t>
      </w:r>
      <w:r>
        <w:rPr>
          <w:rFonts w:ascii="Times New Roman" w:hAnsi="Times New Roman"/>
          <w:color w:val="000000"/>
          <w:sz w:val="22"/>
        </w:rPr>
        <w:t>), (B) there have been no transactions entered into by the Company or any of its subsidiaries, other than those in the ordinary course of business, which are material with respect to the Company and its subsidiaries considered as one enterprise, and (C) except for regular dividends on the Ordinary Shares in amounts per share that are consistent with past practice, there has been no dividend or distribution of any kind declared, paid or made by the Company on any class of its capital stock.</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(m) </w:t>
      </w:r>
      <w:r>
        <w:rPr>
          <w:rFonts w:ascii="Times New Roman" w:hAnsi="Times New Roman"/>
          <w:color w:val="000000"/>
          <w:sz w:val="22"/>
          <w:u w:val="single"/>
        </w:rPr>
        <w:t>Incorporation and Authority of the Company</w:t>
      </w:r>
      <w:r>
        <w:rPr>
          <w:rFonts w:ascii="Times New Roman" w:hAnsi="Times New Roman"/>
          <w:color w:val="000000"/>
          <w:sz w:val="22"/>
        </w:rPr>
        <w:t>. The Company has been duly incorporated or otherwise organized and is validly existing as a corporation under the laws of the jurisdiction of its organization and has corporate power and authority to own, lease and operate its properties and to conduct its business as described in the Registration Statement and the Prospectus and to enter into and perform its obligations under this Agreement. The Company is not bankrupt (</w:t>
      </w:r>
      <w:r>
        <w:rPr>
          <w:rFonts w:ascii="Times New Roman" w:hAnsi="Times New Roman"/>
          <w:i/>
          <w:color w:val="000000"/>
          <w:sz w:val="22"/>
        </w:rPr>
        <w:t>im Konkurs</w:t>
      </w:r>
      <w:r>
        <w:rPr>
          <w:rFonts w:ascii="Times New Roman" w:hAnsi="Times New Roman"/>
          <w:color w:val="000000"/>
          <w:sz w:val="22"/>
        </w:rPr>
        <w:t>), has not filed for a moratorium (</w:t>
      </w:r>
      <w:r>
        <w:rPr>
          <w:rFonts w:ascii="Times New Roman" w:hAnsi="Times New Roman"/>
          <w:i/>
          <w:color w:val="000000"/>
          <w:sz w:val="22"/>
        </w:rPr>
        <w:t>Nachlassstundung</w:t>
      </w:r>
      <w:r>
        <w:rPr>
          <w:rFonts w:ascii="Times New Roman" w:hAnsi="Times New Roman"/>
          <w:color w:val="000000"/>
          <w:sz w:val="22"/>
        </w:rPr>
        <w:t>), is not in liquidation (</w:t>
      </w:r>
      <w:r>
        <w:rPr>
          <w:rFonts w:ascii="Times New Roman" w:hAnsi="Times New Roman"/>
          <w:i/>
          <w:color w:val="000000"/>
          <w:sz w:val="22"/>
        </w:rPr>
        <w:t>in Liquidation</w:t>
      </w:r>
      <w:r>
        <w:rPr>
          <w:rFonts w:ascii="Times New Roman" w:hAnsi="Times New Roman"/>
          <w:color w:val="000000"/>
          <w:sz w:val="22"/>
        </w:rPr>
        <w:t>) and to the best of the Company's knowledge, no proceedings to commence such bankruptcy, moratorium or liquidation have been filed;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to be in good standing would not result in a Material Adverse Effect.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(n) </w:t>
      </w:r>
      <w:r>
        <w:rPr>
          <w:rFonts w:ascii="Times New Roman" w:hAnsi="Times New Roman"/>
          <w:color w:val="000000"/>
          <w:sz w:val="22"/>
          <w:u w:val="single"/>
        </w:rPr>
        <w:t>Good Standing of Subsidiaries</w:t>
      </w:r>
      <w:r>
        <w:rPr>
          <w:rFonts w:ascii="Times New Roman" w:hAnsi="Times New Roman"/>
          <w:color w:val="000000"/>
          <w:sz w:val="22"/>
        </w:rPr>
        <w:t>. Each “significant subsidiary” of the Company (as such term is defined in Rule 1-02 of Regulation S-X) (each, a “</w:t>
      </w:r>
      <w:r>
        <w:rPr>
          <w:rFonts w:ascii="Times New Roman" w:hAnsi="Times New Roman"/>
          <w:b/>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and, collectively, the “</w:t>
      </w:r>
      <w:r>
        <w:rPr>
          <w:rFonts w:ascii="Times New Roman" w:hAnsi="Times New Roman"/>
          <w:b/>
          <w:color w:val="000000"/>
          <w:sz w:val="22"/>
          <w:u w:val="single"/>
        </w:rPr>
        <w:t>Subsidiaries</w:t>
      </w:r>
      <w:r>
        <w:rPr>
          <w:rFonts w:ascii="Times New Roman" w:hAnsi="Times New Roman"/>
          <w:color w:val="000000"/>
          <w:sz w:val="20"/>
        </w:rPr>
        <w:t>”</w:t>
      </w:r>
      <w:r>
        <w:rPr>
          <w:rFonts w:ascii="Times New Roman" w:hAnsi="Times New Roman"/>
          <w:color w:val="000000"/>
          <w:sz w:val="22"/>
        </w:rPr>
        <w:t>) has been duly organized and is validly existing and, if applicable, in good standing under the laws of the jurisdiction of its incorporation or organization, has corporate or similar power and authority to own, lease and operate its properties and to conduct its business as described in the Registration Statement and the Prospectus and is duly qualified to transact business and, if applicable, is in good standing in each jurisdiction in which such qualification is required, whether by reason of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ownership or leasing of property or the conduct of business, except where the failure to so qualify or to be in good standing would not result in a Material Adverse Effect. Except as otherwise disclosed in the Registration Statement and the Prospectus, all of the issued and outstanding capital stock of each Subsidiary has been duly authorized and validly issued, is fully paid and non-assessable and is owned by the Company, directly or through subsidiaries, free and clear of any security interest, mortgage, pledge, lien, encumbrance, claim or equity, other than security interests created in connection with the Company’s loan facility with Kreos Capital VII (UK) Limited. None of the outstanding shares of capital stock of any Subsidiary were issued in violation of the preemptive or similar rights of any securityholder of such Subsidiary. The only subsidiaries of the Company are the subsidiaries listed on Exhibit 8.1 of the Company’s most recent 20-F, as incorporated in the Registration Statement.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(o) </w:t>
      </w:r>
      <w:r>
        <w:rPr>
          <w:rFonts w:ascii="Times New Roman" w:hAnsi="Times New Roman"/>
          <w:color w:val="000000"/>
          <w:sz w:val="22"/>
          <w:u w:val="single"/>
        </w:rPr>
        <w:t>Capitalization</w:t>
      </w:r>
      <w:r>
        <w:rPr>
          <w:rFonts w:ascii="Times New Roman" w:hAnsi="Times New Roman"/>
          <w:color w:val="000000"/>
          <w:sz w:val="22"/>
        </w:rPr>
        <w:t>. The authorized, issued and outstanding shares of capital stock of the Company is as set forth in the most recent financial statements included in the Registration Statement and Prospectus, except for subsequent issuances, if any, pursuant to this Agreement, pursuant to reservations, agreements or employee benefit plans referred to in the Registration Statement and the Prospectus or pursuant to the exercise of convertible securities or options referred to in the Registration Statement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(p) </w:t>
      </w:r>
      <w:r>
        <w:rPr>
          <w:rFonts w:ascii="Times New Roman" w:hAnsi="Times New Roman"/>
          <w:color w:val="000000"/>
          <w:sz w:val="22"/>
          <w:u w:val="single"/>
        </w:rPr>
        <w:t>Authorization of Agreement</w:t>
      </w:r>
      <w:r>
        <w:rPr>
          <w:rFonts w:ascii="Times New Roman" w:hAnsi="Times New Roman"/>
          <w:color w:val="000000"/>
          <w:sz w:val="22"/>
        </w:rPr>
        <w:t>. This Agreement has been duly authorized, executed and delivered by the Company.</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(q) </w:t>
      </w:r>
      <w:r>
        <w:rPr>
          <w:rFonts w:ascii="Times New Roman" w:hAnsi="Times New Roman"/>
          <w:color w:val="000000"/>
          <w:sz w:val="22"/>
          <w:u w:val="single"/>
        </w:rPr>
        <w:t>Authorization and Description of Placement Shares</w:t>
      </w:r>
      <w:r>
        <w:rPr>
          <w:rFonts w:ascii="Times New Roman" w:hAnsi="Times New Roman"/>
          <w:color w:val="000000"/>
          <w:sz w:val="22"/>
        </w:rPr>
        <w:t>. The Placement Shares to be purchased by the Agent from the Company have been duly authorized for issuance and sale to the Agent pursuant to this Agreement and, when issued and delivered by the Company pursuant to this Agreement against payment of the consideration set forth herein, will be validly issued and fully paid and non-assessable; and the issuance of the Placement Shares is not subject to the preemptive or other similar rights of any securityholder of the Company. The Placement Shares conform to all statements relating thereto contained in the Registration Statement and the Prospectus and such description conforms in all material respects to the rights set forth in the instruments defining the same. No holder of Placement Shares will be subject to personal liability solely by reason of being such a holder.</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(r) </w:t>
      </w:r>
      <w:r>
        <w:rPr>
          <w:rFonts w:ascii="Times New Roman" w:hAnsi="Times New Roman"/>
          <w:color w:val="000000"/>
          <w:sz w:val="22"/>
          <w:u w:val="single"/>
        </w:rPr>
        <w:t>No Registration Rights</w:t>
      </w:r>
      <w:r>
        <w:rPr>
          <w:rFonts w:ascii="Times New Roman" w:hAnsi="Times New Roman"/>
          <w:color w:val="000000"/>
          <w:sz w:val="22"/>
        </w:rPr>
        <w:t>. There are no persons with registration rights or other similar rights to have any securities registered for sale pursuant to the Registration Statement or otherwise registered for sale or sold by the Company under the Securities Act pursuant to this Agreement, other than those rights that have been disclosed in the Registration Statement and the Prospectus and have been satisfied or waived.</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 </w:t>
      </w:r>
      <w:r>
        <w:rPr>
          <w:rFonts w:ascii="Times New Roman" w:hAnsi="Times New Roman"/>
          <w:color w:val="000000"/>
          <w:sz w:val="22"/>
          <w:u w:val="single"/>
        </w:rPr>
        <w:t>Absence of Violations, Defaults and Conflicts</w:t>
      </w:r>
      <w:r>
        <w:rPr>
          <w:rFonts w:ascii="Times New Roman" w:hAnsi="Times New Roman"/>
          <w:color w:val="000000"/>
          <w:sz w:val="22"/>
        </w:rPr>
        <w:t>. Neither the Company nor any of its subsidiaries is (A) in violation of its articles of association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w:t>
      </w:r>
      <w:r>
        <w:rPr>
          <w:rFonts w:ascii="Times New Roman" w:hAnsi="Times New Roman"/>
          <w:b/>
          <w:color w:val="000000"/>
          <w:sz w:val="22"/>
          <w:u w:val="single"/>
        </w:rPr>
        <w:t>Agreements and Instruments</w:t>
      </w:r>
      <w:r>
        <w:rPr>
          <w:rFonts w:ascii="Times New Roman" w:hAnsi="Times New Roman"/>
          <w:color w:val="000000"/>
          <w:sz w:val="20"/>
        </w:rPr>
        <w:t>”</w:t>
      </w:r>
      <w:r>
        <w:rPr>
          <w:rFonts w:ascii="Times New Roman" w:hAnsi="Times New Roman"/>
          <w:color w:val="000000"/>
          <w:sz w:val="22"/>
        </w:rPr>
        <w:t>), except for such defaults that would not, singly or in the aggregate, reasonably be expected to result in a Material Adverse Effect, or (C) in violation of any applicable law, statute, rule, regulation, judgment, order, writ or decree of any arbitrator, court, governmental body, regulatory body, administrative agency or other authority, body or agency having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jurisdiction over the Company or any of its subsidiaries or any of their respective properties, assets or operations (each, a “</w:t>
      </w:r>
      <w:r>
        <w:rPr>
          <w:rFonts w:ascii="Times New Roman" w:hAnsi="Times New Roman"/>
          <w:b/>
          <w:color w:val="000000"/>
          <w:sz w:val="22"/>
          <w:u w:val="single"/>
        </w:rPr>
        <w:t>Governmental Entity</w:t>
      </w:r>
      <w:r>
        <w:rPr>
          <w:rFonts w:ascii="Times New Roman" w:hAnsi="Times New Roman"/>
          <w:color w:val="000000"/>
          <w:sz w:val="20"/>
        </w:rPr>
        <w:t>”</w:t>
      </w:r>
      <w:r>
        <w:rPr>
          <w:rFonts w:ascii="Times New Roman" w:hAnsi="Times New Roman"/>
          <w:color w:val="000000"/>
          <w:sz w:val="22"/>
        </w:rPr>
        <w:t>), except for such violations that would not, singly or in the aggregate, reasonably be expected to result in a Material Adverse Effect. The execution, delivery and performance of this Agreement and the consummation of the transactions contemplated herein and in the Registration Statement and the Prospectus (including the issuance and sale of the Placement Shares and the use of the proceeds from the sale of the Placement Shares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singly or in the aggregate, reasonably be expected to result in a Material Adverse Effect), nor will such action result in any violation of the provisions of the charter, by-laws or similar organizational document of the Company or any of its subsidiaries or any law, statute, rule, regulation, judgment, order, writ or decree of any Governmental Entity. As used herein, a “</w:t>
      </w:r>
      <w:r>
        <w:rPr>
          <w:rFonts w:ascii="Times New Roman" w:hAnsi="Times New Roman"/>
          <w:b/>
          <w:color w:val="000000"/>
          <w:sz w:val="22"/>
          <w:u w:val="single"/>
        </w:rPr>
        <w:t>Repayment Event</w:t>
      </w:r>
      <w:r>
        <w:rPr>
          <w:rFonts w:ascii="Times New Roman" w:hAnsi="Times New Roman"/>
          <w:color w:val="000000"/>
          <w:sz w:val="20"/>
        </w:rPr>
        <w:t xml:space="preserve">” </w:t>
      </w:r>
      <w:r>
        <w:rPr>
          <w:rFonts w:ascii="Times New Roman" w:hAnsi="Times New Roman"/>
          <w:color w:val="000000"/>
          <w:sz w:val="22"/>
        </w:rPr>
        <w:t>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(t) </w:t>
      </w:r>
      <w:r>
        <w:rPr>
          <w:rFonts w:ascii="Times New Roman" w:hAnsi="Times New Roman"/>
          <w:color w:val="000000"/>
          <w:sz w:val="22"/>
          <w:u w:val="single"/>
        </w:rPr>
        <w:t>Absence of Labor Dispute</w:t>
      </w:r>
      <w:r>
        <w:rPr>
          <w:rFonts w:ascii="Times New Roman" w:hAnsi="Times New Roman"/>
          <w:color w:val="000000"/>
          <w:sz w:val="22"/>
        </w:rPr>
        <w:t>. No labor dispute with the employees of the Company or any of its subsidiaries exists or, to the knowledge of the Company, is imminent, and the Company is not aware of any existing or imminent labor disturbance by the employees of any of its or any subsidiary’s principal suppliers, manufacturers or contractors, which, in either case, would result in a Material Adverse Effect.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(u) </w:t>
      </w:r>
      <w:r>
        <w:rPr>
          <w:rFonts w:ascii="Times New Roman" w:hAnsi="Times New Roman"/>
          <w:color w:val="000000"/>
          <w:sz w:val="22"/>
          <w:u w:val="single"/>
        </w:rPr>
        <w:t>Absence of Proceedings</w:t>
      </w:r>
      <w:r>
        <w:rPr>
          <w:rFonts w:ascii="Times New Roman" w:hAnsi="Times New Roman"/>
          <w:color w:val="000000"/>
          <w:sz w:val="22"/>
        </w:rPr>
        <w:t>. There is no action, suit, proceeding, inquiry or investigation before or brought by any Governmental Entity now pending or, to the knowledge of the Company, threatened, against or affecting the Company or any of its subsidiaries, which would reasonably be expected to result in a Material Adverse Effect, or which would reasonably be expected to materially and adversely affect their respective properties or assets or the consummation of the transactions contemplated in this Agreement or the performance by the Company of its obligations hereunder; and the aggregate of all pending legal or governmental proceedings to which the Company or any such subsidiary is a party or of which any of their respective properties or assets is the subject which are not described in the Registration Statement and the Prospectus, including ordinary routine litigation incidental to the business, would not reasonably be expected to result in a Material Adverse Effect.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(v) </w:t>
      </w:r>
      <w:r>
        <w:rPr>
          <w:rFonts w:ascii="Times New Roman" w:hAnsi="Times New Roman"/>
          <w:color w:val="000000"/>
          <w:sz w:val="22"/>
          <w:u w:val="single"/>
        </w:rPr>
        <w:t>Accuracy of Exhibits</w:t>
      </w:r>
      <w:r>
        <w:rPr>
          <w:rFonts w:ascii="Times New Roman" w:hAnsi="Times New Roman"/>
          <w:color w:val="000000"/>
          <w:sz w:val="22"/>
        </w:rPr>
        <w:t>. There are no contracts or documents which are required to be described or incorporated by reference in the Registration Statement or the Prospectus or to be filed as exhibits to the Registration Statement which have not been so described, incorporated and filed as required.</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(w) </w:t>
      </w:r>
      <w:r>
        <w:rPr>
          <w:rFonts w:ascii="Times New Roman" w:hAnsi="Times New Roman"/>
          <w:color w:val="000000"/>
          <w:sz w:val="22"/>
          <w:u w:val="single"/>
        </w:rPr>
        <w:t>Absence of Further Requirements</w:t>
      </w:r>
      <w:r>
        <w:rPr>
          <w:rFonts w:ascii="Times New Roman" w:hAnsi="Times New Roman"/>
          <w:color w:val="000000"/>
          <w:sz w:val="22"/>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Placement Shares hereunder or the consummation of the transactions contemplated by this Agreement, except such as have been already obtained or as may be required under the Securities Act, the Securities Act Regulations, the rules of the Nasdaq Global Market, the Nasdaq Iceland Main Market, state securities laws or the rules of the Financial Industry Regulatory Authority, Inc. (“</w:t>
      </w:r>
      <w:r>
        <w:rPr>
          <w:rFonts w:ascii="Times New Roman" w:hAnsi="Times New Roman"/>
          <w:b/>
          <w:color w:val="000000"/>
          <w:sz w:val="22"/>
          <w:u w:val="single"/>
        </w:rPr>
        <w:t>FINRA</w:t>
      </w:r>
      <w:r>
        <w:rPr>
          <w:rFonts w:ascii="Times New Roman" w:hAnsi="Times New Roman"/>
          <w:color w:val="000000"/>
          <w:sz w:val="20"/>
        </w:rPr>
        <w:t>”</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(x) </w:t>
      </w:r>
      <w:r>
        <w:rPr>
          <w:rFonts w:ascii="Times New Roman" w:hAnsi="Times New Roman"/>
          <w:color w:val="000000"/>
          <w:sz w:val="22"/>
          <w:u w:val="single"/>
        </w:rPr>
        <w:t>Possession of Licenses and Permits</w:t>
      </w:r>
      <w:r>
        <w:rPr>
          <w:rFonts w:ascii="Times New Roman" w:hAnsi="Times New Roman"/>
          <w:color w:val="000000"/>
          <w:sz w:val="22"/>
        </w:rPr>
        <w:t>. The Company and its subsidiaries possess such permits, licenses, approvals, consents and other authorizations (collectively, “</w:t>
      </w:r>
      <w:r>
        <w:rPr>
          <w:rFonts w:ascii="Times New Roman" w:hAnsi="Times New Roman"/>
          <w:b/>
          <w:color w:val="000000"/>
          <w:sz w:val="22"/>
          <w:u w:val="single"/>
        </w:rPr>
        <w:t>Governmental Licenses</w:t>
      </w:r>
      <w:r>
        <w:rPr>
          <w:rFonts w:ascii="Times New Roman" w:hAnsi="Times New Roman"/>
          <w:color w:val="000000"/>
          <w:sz w:val="20"/>
        </w:rPr>
        <w:t>”</w:t>
      </w:r>
      <w:r>
        <w:rPr>
          <w:rFonts w:ascii="Times New Roman" w:hAnsi="Times New Roman"/>
          <w:color w:val="000000"/>
          <w:sz w:val="22"/>
        </w:rPr>
        <w:t>) issued by the appropriate Governmental Entities necessary to conduct the business now operated by them, except where the failure so to possess would not, singly or in the aggregate, reasonably be expected to result in a Material Adverse Effect. The Company and its subsidiaries are in compliance with the terms and conditions of all Governmental Licenses, except where the failure so to comply would not, singly or in the aggregate, reasonably be expected to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reasonably be expected to result in a Material Adverse Effect. Neither the Company nor any of its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(y) </w:t>
      </w:r>
      <w:r>
        <w:rPr>
          <w:rFonts w:ascii="Times New Roman" w:hAnsi="Times New Roman"/>
          <w:color w:val="000000"/>
          <w:sz w:val="22"/>
          <w:u w:val="single"/>
        </w:rPr>
        <w:t>Title to Property</w:t>
      </w:r>
      <w:r>
        <w:rPr>
          <w:rFonts w:ascii="Times New Roman" w:hAnsi="Times New Roman"/>
          <w:color w:val="000000"/>
          <w:sz w:val="22"/>
        </w:rPr>
        <w:t>. The Company and its subsidiaries have good and marketable title to all real property owned by them (if any) and good title to all other properties owned by them, in each case, free and clear of all mortgages, pledges, liens, security interests, claims, restrictions or encumbrances of any kind except such as (A) are described in the Registration Statement and the Prospectus or (B) do not, singly or in the aggregate, materially and adversely affect the value of such property and do not materially interfere with the use made and proposed to be made of such property by the Company or any of its subsidiaries; and all of the leases and subleases material to the business of the Company and its subsidiaries, considered as one enterprise, and under which the Company or any of its subsidiaries holds properties described in the Registration Statement or the Prospectus, are in full force and effect, and neither the Company nor any such subsidiary has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(z) </w:t>
      </w:r>
      <w:r>
        <w:rPr>
          <w:rFonts w:ascii="Times New Roman" w:hAnsi="Times New Roman"/>
          <w:color w:val="000000"/>
          <w:sz w:val="22"/>
          <w:u w:val="single"/>
        </w:rPr>
        <w:t>Intellectual Property</w:t>
      </w:r>
      <w:r>
        <w:rPr>
          <w:rFonts w:ascii="Times New Roman" w:hAnsi="Times New Roman"/>
          <w:color w:val="000000"/>
          <w:sz w:val="22"/>
        </w:rPr>
        <w:t>. (i) The Company and its subsidiaries own, or possess valid and enforceable rights to use, any and all patents, patent rights, licenses, inventions, copyrights, know how (including trade secrets and other unpatented and/or unpatentable proprietary or confidential information, systems or procedures), trademarks, service marks, trade names, domain names, other source indicators and other similar intellectual property or proprietary rights throughout the world (including any and all registrations and applications for registration of, and goodwill associated with, any of the foregoing) (collectively, “</w:t>
      </w:r>
      <w:r>
        <w:rPr>
          <w:rFonts w:ascii="Times New Roman" w:hAnsi="Times New Roman"/>
          <w:b/>
          <w:color w:val="000000"/>
          <w:sz w:val="22"/>
          <w:u w:val="single"/>
        </w:rPr>
        <w:t>Intellectual Property</w:t>
      </w:r>
      <w:r>
        <w:rPr>
          <w:rFonts w:ascii="Times New Roman" w:hAnsi="Times New Roman"/>
          <w:color w:val="000000"/>
          <w:sz w:val="20"/>
        </w:rPr>
        <w:t>”</w:t>
      </w:r>
      <w:r>
        <w:rPr>
          <w:rFonts w:ascii="Times New Roman" w:hAnsi="Times New Roman"/>
          <w:color w:val="000000"/>
          <w:sz w:val="22"/>
        </w:rPr>
        <w:t>), in each case, used or held for use in, or otherwise necessary to carry on the conduct of, their respective businesses as now operated by them and as proposed to be operated by them; (ii) to the knowledge of the Company, the Company’s and its subsidiaries’ conduct of their respective businesses has not infringed, misappropriated or otherwise violated any Intellectual Property of any third party; (iii) neither the Company nor any of its subsidiaries has received any written notice or is otherwise aware of, any pending or threatened claim alleging infringement, misappropriation or other violation of any Intellectual Property of any person, or challenging the validity, enforceability, scope or ownership of any Intellectual Property owned by or exclusively licensed to the Company or any of its subsidiaries; (iv) to the knowledge of the Company, all Intellectual Property owned by or exclusively licensed to the Company or any of its subsidiaries is valid and enforceable; and (v) the Company and its subsidiaries have taken reasonable steps in accordance with normal industry practice to maintain the confidentiality of all Intellectual Property for which the value to the Company or any of its subsidiaries is contingent upon maintaining the confidentiality thereof, and no such confidential information has been disclosed other than to employees, consultants, agents and contractors of the Company or its subsidiaries in the course of their services to the Company or its subsidiaries, all of whom are bound by valid and enforceable confidentiality obligations.</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(aa) </w:t>
      </w:r>
      <w:r>
        <w:rPr>
          <w:rFonts w:ascii="Times New Roman" w:hAnsi="Times New Roman"/>
          <w:color w:val="000000"/>
          <w:sz w:val="22"/>
          <w:u w:val="single"/>
        </w:rPr>
        <w:t>Environmental Laws</w:t>
      </w:r>
      <w:r>
        <w:rPr>
          <w:rFonts w:ascii="Times New Roman" w:hAnsi="Times New Roman"/>
          <w:color w:val="000000"/>
          <w:sz w:val="22"/>
        </w:rPr>
        <w:t>. Except as would not, singly or in the aggregate, reasonably be expected to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hAnsi="Times New Roman"/>
          <w:b/>
          <w:color w:val="000000"/>
          <w:sz w:val="22"/>
          <w:u w:val="single"/>
        </w:rPr>
        <w:t>Hazardous Materials</w:t>
      </w:r>
      <w:r>
        <w:rPr>
          <w:rFonts w:ascii="Times New Roman" w:hAnsi="Times New Roman"/>
          <w:color w:val="000000"/>
          <w:sz w:val="20"/>
        </w:rPr>
        <w:t>”</w:t>
      </w:r>
      <w:r>
        <w:rPr>
          <w:rFonts w:ascii="Times New Roman" w:hAnsi="Times New Roman"/>
          <w:color w:val="000000"/>
          <w:sz w:val="22"/>
        </w:rPr>
        <w:t>) or to the manufacture, processing, distribution, use, treatment, storage, disposal, transport or handling of Hazardous Materials (collectively, “</w:t>
      </w:r>
      <w:r>
        <w:rPr>
          <w:rFonts w:ascii="Times New Roman" w:hAnsi="Times New Roman"/>
          <w:b/>
          <w:color w:val="000000"/>
          <w:sz w:val="22"/>
          <w:u w:val="single"/>
        </w:rPr>
        <w:t>Environmental Laws</w:t>
      </w:r>
      <w:r>
        <w:rPr>
          <w:rFonts w:ascii="Times New Roman" w:hAnsi="Times New Roman"/>
          <w:color w:val="000000"/>
          <w:sz w:val="20"/>
        </w:rPr>
        <w:t>”</w:t>
      </w:r>
      <w:r>
        <w:rPr>
          <w:rFonts w:ascii="Times New Roman" w:hAnsi="Times New Roman"/>
          <w:color w:val="000000"/>
          <w:sz w:val="22"/>
        </w:rPr>
        <w:t>), (B) the Company and its subsidiaries have all permits, authorizations and approvals required under any applicable Environmental Laws and are each in compliance with their requirements, (C) there are no pending or, to the knowledge of the Company, threatened administrative, regulatory or judicial actions, suits, demands, demand letters, claims, liens, notices of noncompliance or violation, investigations or proceedings relating to any Environmental Law against the Company or any of its subsidiaries and (D) there are no events or circumstances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(bb) </w:t>
      </w:r>
      <w:r>
        <w:rPr>
          <w:rFonts w:ascii="Times New Roman" w:hAnsi="Times New Roman"/>
          <w:color w:val="000000"/>
          <w:sz w:val="22"/>
          <w:u w:val="single"/>
        </w:rPr>
        <w:t>Accounting Controls and Disclosure Controls</w:t>
      </w:r>
      <w:r>
        <w:rPr>
          <w:rFonts w:ascii="Times New Roman" w:hAnsi="Times New Roman"/>
          <w:color w:val="000000"/>
          <w:sz w:val="22"/>
        </w:rPr>
        <w:t>. The Company and each of its subsidiaries maintain effective internal control over financial reporting (as defined under Rule 13a-15 and 15d-15 under the Exchange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IFRS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the eXtensible Business Reporting Language included in the Registration Statement and the Prospectus fairly presents the information called for in all material respects and is prepared in accordance with the Commission's rules and guidelines applicable thereto.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and adversely affected, or is reasonably likely to materially and adversely affect, the Company’s internal control over financial reporting.</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Company and each of its subsidiaries maintain an effective system of disclosure controls and procedures (as defined in Rule 13a-15 and Rule 15d-15 under the Exchange Act Regulations) that are designed to provide reasonable assurance that information required to be disclosed by the Company in the reports that it files or submits under the Exchange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(cc) </w:t>
      </w:r>
      <w:r>
        <w:rPr>
          <w:rFonts w:ascii="Times New Roman" w:hAnsi="Times New Roman"/>
          <w:color w:val="000000"/>
          <w:sz w:val="22"/>
          <w:u w:val="single"/>
        </w:rPr>
        <w:t>Compliance with the Sarbanes-Oxley Act</w:t>
      </w:r>
      <w:r>
        <w:rPr>
          <w:rFonts w:ascii="Times New Roman" w:hAnsi="Times New Roman"/>
          <w:color w:val="000000"/>
          <w:sz w:val="22"/>
        </w:rPr>
        <w:t>. There is and has been no failure on the part of the Company or any of the Company’s directors or officers, in their capacities as such, to comply in all material respects with any applicable provision of the Sarbanes-Oxley Act of 2002 and the rules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regulations promulgated in connection therewith (the “</w:t>
      </w:r>
      <w:r>
        <w:rPr>
          <w:rFonts w:ascii="Times New Roman" w:hAnsi="Times New Roman"/>
          <w:b/>
          <w:color w:val="000000"/>
          <w:sz w:val="22"/>
          <w:u w:val="single"/>
        </w:rPr>
        <w:t>Sarbanes-Oxley Act</w:t>
      </w:r>
      <w:r>
        <w:rPr>
          <w:rFonts w:ascii="Times New Roman" w:hAnsi="Times New Roman"/>
          <w:color w:val="000000"/>
          <w:sz w:val="20"/>
        </w:rPr>
        <w:t>”</w:t>
      </w:r>
      <w:r>
        <w:rPr>
          <w:rFonts w:ascii="Times New Roman" w:hAnsi="Times New Roman"/>
          <w:color w:val="000000"/>
          <w:sz w:val="22"/>
        </w:rPr>
        <w:t>), including Section 402 related to loans and Sections 302 and 906 related to certifications.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(dd) </w:t>
      </w:r>
      <w:r>
        <w:rPr>
          <w:rFonts w:ascii="Times New Roman" w:hAnsi="Times New Roman"/>
          <w:color w:val="000000"/>
          <w:sz w:val="22"/>
          <w:u w:val="single"/>
        </w:rPr>
        <w:t>Payment of Taxes</w:t>
      </w:r>
      <w:r>
        <w:rPr>
          <w:rFonts w:ascii="Times New Roman" w:hAnsi="Times New Roman"/>
          <w:color w:val="000000"/>
          <w:sz w:val="22"/>
        </w:rPr>
        <w:t>. All United States federal income tax returns of the Company and its subsidiaries required by law to be filed by them have been filed, except insofar as the failure to file such returns would not result in a Material Adverse Effect, and all taxes shown as due on such returns or United States federal income taxes otherwise assessed against the Company and its subsidiaries, which are due and payable, have been paid, except assessments against which appeals, contests, or similar proceedings have been or will be promptly taken and as to which adequate reserves have been provided in accordance with IFRS. The Company and its subsidiaries have filed all other tax returns that are required to have been filed by them pursuant to applicable foreign, state, or local law, except insofar as the failure to file such returns would not result in a Material Adverse Effect, and have paid all taxes shown as due on such returns or all taxes imposed pursuant to applicable foreign, state, or local law that are otherwise assessed against the Company and its subsidiaries, except for such taxes, if any, that are being contested in good faith and as to which adequate reserves have been established by the Company or any of its subsidiaries in accordance with IFRS.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(ee) </w:t>
      </w:r>
      <w:r>
        <w:rPr>
          <w:rFonts w:ascii="Times New Roman" w:hAnsi="Times New Roman"/>
          <w:color w:val="000000"/>
          <w:sz w:val="22"/>
          <w:u w:val="single"/>
        </w:rPr>
        <w:t>Transfer Taxes</w:t>
      </w:r>
      <w:r>
        <w:rPr>
          <w:rFonts w:ascii="Times New Roman" w:hAnsi="Times New Roman"/>
          <w:color w:val="000000"/>
          <w:sz w:val="22"/>
        </w:rPr>
        <w:t>. No stamp duty, stamp duty reserve, registration, issuance, transfer taxes or other similar documentary taxes, duties, fees or charges (“</w:t>
      </w:r>
      <w:r>
        <w:rPr>
          <w:rFonts w:ascii="Times New Roman" w:hAnsi="Times New Roman"/>
          <w:b/>
          <w:color w:val="000000"/>
          <w:sz w:val="22"/>
          <w:u w:val="single"/>
        </w:rPr>
        <w:t>Transfer Taxes</w:t>
      </w:r>
      <w:r>
        <w:rPr>
          <w:rFonts w:ascii="Times New Roman" w:hAnsi="Times New Roman"/>
          <w:color w:val="000000"/>
          <w:sz w:val="20"/>
        </w:rPr>
        <w:t>”</w:t>
      </w:r>
      <w:r>
        <w:rPr>
          <w:rFonts w:ascii="Times New Roman" w:hAnsi="Times New Roman"/>
          <w:color w:val="000000"/>
          <w:sz w:val="22"/>
        </w:rPr>
        <w:t>) are payable or required to be paid by or on behalf of the Agent in Switzerland or any political subdivision, authority or agency thereof or therein having power to tax in connection with (i) the execution, delivery and performance of this Agreement, (ii) the issuance and delivery of the Placement Shares in the manner contemplated by this Agreement and the Prospectus, or (iii) the sale and delivery by the Agent as contemplated herein and in the Prospectus.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(ff) </w:t>
      </w:r>
      <w:r>
        <w:rPr>
          <w:rFonts w:ascii="Times New Roman" w:hAnsi="Times New Roman"/>
          <w:color w:val="000000"/>
          <w:sz w:val="22"/>
          <w:u w:val="single"/>
        </w:rPr>
        <w:t>Insurance</w:t>
      </w:r>
      <w:r>
        <w:rPr>
          <w:rFonts w:ascii="Times New Roman" w:hAnsi="Times New Roman"/>
          <w:color w:val="000000"/>
          <w:sz w:val="22"/>
        </w:rPr>
        <w:t>. The Company and its subsidiaries carry or are entitled to the benefits of insurance, with financially sound and reputable insurers, in such amounts and covering such risks as the Company reasonably believes is generally maintained by companies of established repute and comparable size engaged in the same or similar business, and all such insurance is in full force and effect.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Neither of the Company nor any of its subsidiaries has been denied any insurance coverage which it has sought or for which it has applied.</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(gg) </w:t>
      </w:r>
      <w:r>
        <w:rPr>
          <w:rFonts w:ascii="Times New Roman" w:hAnsi="Times New Roman"/>
          <w:color w:val="000000"/>
          <w:sz w:val="22"/>
          <w:u w:val="single"/>
        </w:rPr>
        <w:t>Investment Company Act</w:t>
      </w:r>
      <w:r>
        <w:rPr>
          <w:rFonts w:ascii="Times New Roman" w:hAnsi="Times New Roman"/>
          <w:color w:val="000000"/>
          <w:sz w:val="22"/>
        </w:rPr>
        <w:t>. The Company is not required, and upon the issuance and sale of the Placement Shares as herein contemplated and the application of the net proceeds therefrom as described in the Registration Statement and the Prospectus will not be required, to register as an “investment company” under the Investment Company Act of 1940, as amended.</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(hh) </w:t>
      </w:r>
      <w:r>
        <w:rPr>
          <w:rFonts w:ascii="Times New Roman" w:hAnsi="Times New Roman"/>
          <w:color w:val="000000"/>
          <w:sz w:val="22"/>
          <w:u w:val="single"/>
        </w:rPr>
        <w:t>Absence of Manipulation</w:t>
      </w:r>
      <w:r>
        <w:rPr>
          <w:rFonts w:ascii="Times New Roman" w:hAnsi="Times New Roman"/>
          <w:color w:val="000000"/>
          <w:sz w:val="22"/>
        </w:rPr>
        <w:t>. Neither the Company nor any affiliate of the Company has taken, nor will the Company or any affiliate take, directly or indirectly, any action which is designed, or would reasonably be expected, to cause or result in, or which constitutes, the stabilization or manipulation of the price of any security of the Company to facilitate the sale or resale of the Placement Shares or to result in a violation of Regulation M under the Exchange Act.</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Foreign Corrupt Practices Act</w:t>
      </w:r>
      <w:r>
        <w:rPr>
          <w:rFonts w:ascii="Times New Roman" w:hAnsi="Times New Roman"/>
          <w:color w:val="000000"/>
          <w:sz w:val="22"/>
        </w:rPr>
        <w:t>. None of the Company, any of its subsidiaries or, to the knowledge of the Company, any director, officer,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hAnsi="Times New Roman"/>
          <w:b/>
          <w:color w:val="000000"/>
          <w:sz w:val="22"/>
          <w:u w:val="single"/>
        </w:rPr>
        <w:t>FCPA</w:t>
      </w:r>
      <w:r>
        <w:rPr>
          <w:rFonts w:ascii="Times New Roman" w:hAnsi="Times New Roman"/>
          <w:color w:val="000000"/>
          <w:sz w:val="20"/>
        </w:rPr>
        <w:t>”</w:t>
      </w:r>
      <w:r>
        <w:rPr>
          <w:rFonts w:ascii="Times New Roman" w:hAnsi="Times New Roman"/>
          <w:color w:val="000000"/>
          <w:sz w:val="22"/>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(jj) </w:t>
      </w:r>
      <w:r>
        <w:rPr>
          <w:rFonts w:ascii="Times New Roman" w:hAnsi="Times New Roman"/>
          <w:color w:val="000000"/>
          <w:sz w:val="22"/>
          <w:u w:val="single"/>
        </w:rPr>
        <w:t>Money Laundering Laws</w:t>
      </w:r>
      <w:r>
        <w:rPr>
          <w:rFonts w:ascii="Times New Roman" w:hAnsi="Times New Roman"/>
          <w:color w:val="000000"/>
          <w:sz w:val="22"/>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w:t>
      </w:r>
      <w:r>
        <w:rPr>
          <w:rFonts w:ascii="Times New Roman" w:hAnsi="Times New Roman"/>
          <w:b/>
          <w:color w:val="000000"/>
          <w:sz w:val="22"/>
          <w:u w:val="single"/>
        </w:rPr>
        <w:t>Money Laundering Laws</w:t>
      </w:r>
      <w:r>
        <w:rPr>
          <w:rFonts w:ascii="Times New Roman" w:hAnsi="Times New Roman"/>
          <w:color w:val="000000"/>
          <w:sz w:val="20"/>
        </w:rPr>
        <w:t>”</w:t>
      </w:r>
      <w:r>
        <w:rPr>
          <w:rFonts w:ascii="Times New Roman" w:hAnsi="Times New Roman"/>
          <w:color w:val="000000"/>
          <w:sz w:val="22"/>
        </w:rPr>
        <w:t>); and no action, suit or proceeding by or before any Governmental Entity involving the Company or any of its subsidiaries with respect to the Money Laundering Laws is pending or, to the knowledge of the Company, threatened.</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(kk) </w:t>
      </w:r>
      <w:r>
        <w:rPr>
          <w:rFonts w:ascii="Times New Roman" w:hAnsi="Times New Roman"/>
          <w:color w:val="000000"/>
          <w:sz w:val="22"/>
          <w:u w:val="single"/>
        </w:rPr>
        <w:t>OFAC</w:t>
      </w:r>
      <w:r>
        <w:rPr>
          <w:rFonts w:ascii="Times New Roman" w:hAnsi="Times New Roman"/>
          <w:color w:val="000000"/>
          <w:sz w:val="22"/>
        </w:rPr>
        <w:t>. None of the Company, any of its subsidiaries or, to the knowledge of the Company, any director, officer, agent, employee, affiliate or representative of the Company or any of its subsidiaries is an individual or entity (“</w:t>
      </w:r>
      <w:r>
        <w:rPr>
          <w:rFonts w:ascii="Times New Roman" w:hAnsi="Times New Roman"/>
          <w:b/>
          <w:color w:val="000000"/>
          <w:sz w:val="22"/>
          <w:u w:val="single"/>
        </w:rPr>
        <w:t>Person</w:t>
      </w:r>
      <w:r>
        <w:rPr>
          <w:rFonts w:ascii="Times New Roman" w:hAnsi="Times New Roman"/>
          <w:color w:val="000000"/>
          <w:sz w:val="20"/>
        </w:rPr>
        <w:t>”</w:t>
      </w:r>
      <w:r>
        <w:rPr>
          <w:rFonts w:ascii="Times New Roman" w:hAnsi="Times New Roman"/>
          <w:color w:val="000000"/>
          <w:sz w:val="22"/>
        </w:rPr>
        <w:t>) currently the subject or target of any sanctions administered or enforced by the United States Government, including, without limitation, the U.S. Department of the Treasury’s Office of Foreign Assets Control (“</w:t>
      </w:r>
      <w:r>
        <w:rPr>
          <w:rFonts w:ascii="Times New Roman" w:hAnsi="Times New Roman"/>
          <w:b/>
          <w:color w:val="000000"/>
          <w:sz w:val="22"/>
          <w:u w:val="single"/>
        </w:rPr>
        <w:t>OFAC</w:t>
      </w:r>
      <w:r>
        <w:rPr>
          <w:rFonts w:ascii="Times New Roman" w:hAnsi="Times New Roman"/>
          <w:color w:val="000000"/>
          <w:sz w:val="20"/>
        </w:rPr>
        <w:t>”</w:t>
      </w:r>
      <w:r>
        <w:rPr>
          <w:rFonts w:ascii="Times New Roman" w:hAnsi="Times New Roman"/>
          <w:color w:val="000000"/>
          <w:sz w:val="22"/>
        </w:rPr>
        <w:t>), the United Nations Security Council, the European Union, His Majesty’s Treasury, or other relevant sanctions authority (collectively, “</w:t>
      </w:r>
      <w:r>
        <w:rPr>
          <w:rFonts w:ascii="Times New Roman" w:hAnsi="Times New Roman"/>
          <w:b/>
          <w:color w:val="000000"/>
          <w:sz w:val="22"/>
          <w:u w:val="single"/>
        </w:rPr>
        <w:t>Sanctions</w:t>
      </w:r>
      <w:r>
        <w:rPr>
          <w:rFonts w:ascii="Times New Roman" w:hAnsi="Times New Roman"/>
          <w:color w:val="000000"/>
          <w:sz w:val="20"/>
        </w:rPr>
        <w:t>”</w:t>
      </w:r>
      <w:r>
        <w:rPr>
          <w:rFonts w:ascii="Times New Roman" w:hAnsi="Times New Roman"/>
          <w:color w:val="000000"/>
          <w:sz w:val="22"/>
        </w:rPr>
        <w:t>), nor is the Company located, organized or resident in a country or territory that is the subject of comprehensive Sanctions (including, without limitation, Cuba, Iran, North Korea, Syria, and the Crimea region of Ukraine, non-government controlled areas of the Kherson and Zaporizhzhia regions of Ukraine, so-called Donetsk People’s Republic, and so-called Luhansk People’s Republic and any other Covered Region of Ukraine identified pursuant to Executive Order 14065) (“</w:t>
      </w:r>
      <w:r>
        <w:rPr>
          <w:rFonts w:ascii="Times New Roman" w:hAnsi="Times New Roman"/>
          <w:b/>
          <w:color w:val="000000"/>
          <w:sz w:val="22"/>
          <w:u w:val="single"/>
        </w:rPr>
        <w:t>Sanctioned Countries</w:t>
      </w:r>
      <w:r>
        <w:rPr>
          <w:rFonts w:ascii="Times New Roman" w:hAnsi="Times New Roman"/>
          <w:color w:val="000000"/>
          <w:sz w:val="20"/>
        </w:rPr>
        <w:t>”</w:t>
      </w:r>
      <w:r>
        <w:rPr>
          <w:rFonts w:ascii="Times New Roman" w:hAnsi="Times New Roman"/>
          <w:color w:val="000000"/>
          <w:sz w:val="22"/>
        </w:rPr>
        <w:t>); and the Company will not directly or indirectly use the proceeds of the sale of the Placement Shares, or lend, contribute or otherwise make available such proceeds to any subsidiaries, joint venture partners or other Person, to fund any activities of or business with any Person that, at the time of such funding, is the subject of Sanctions, or with a Sanctioned Country, or in any other manner that will result in a violation by any Person (including any Person participating in the transaction, whether as underwriter, advisor, investor or otherwise) of Sanctions.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(ll) </w:t>
      </w:r>
      <w:r>
        <w:rPr>
          <w:rFonts w:ascii="Times New Roman" w:hAnsi="Times New Roman"/>
          <w:color w:val="000000"/>
          <w:sz w:val="22"/>
          <w:u w:val="single"/>
        </w:rPr>
        <w:t>Lending Relationship</w:t>
      </w:r>
      <w:r>
        <w:rPr>
          <w:rFonts w:ascii="Times New Roman" w:hAnsi="Times New Roman"/>
          <w:color w:val="000000"/>
          <w:sz w:val="22"/>
        </w:rPr>
        <w:t>. Except as disclosed in the Registration Statement and the Prospectus, the Company (i) does not have any material lending or other relationship with any banking or lending affiliate of the Agent and (ii) does not intend to use any of the proceeds from the sale of the Placement Shares to repay any outstanding debt owed to any affiliate of the Agent.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(mm) </w:t>
      </w:r>
      <w:r>
        <w:rPr>
          <w:rFonts w:ascii="Times New Roman" w:hAnsi="Times New Roman"/>
          <w:color w:val="000000"/>
          <w:sz w:val="22"/>
          <w:u w:val="single"/>
        </w:rPr>
        <w:t>Statistical and Market-Related Data</w:t>
      </w:r>
      <w:r>
        <w:rPr>
          <w:rFonts w:ascii="Times New Roman" w:hAnsi="Times New Roman"/>
          <w:color w:val="000000"/>
          <w:sz w:val="22"/>
        </w:rPr>
        <w:t>. Any statistical and market-related data included in the Registration Statement or the Prospectus are based on or derived from sources that the Company believes, after reasonable inquiry, to be reliable and accurate and, to the extent required, the Company has obtained the written consent to the use of such data from such sources.</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(nn) </w:t>
      </w:r>
      <w:r>
        <w:rPr>
          <w:rFonts w:ascii="Times New Roman" w:hAnsi="Times New Roman"/>
          <w:color w:val="000000"/>
          <w:sz w:val="22"/>
          <w:u w:val="single"/>
        </w:rPr>
        <w:t>Cybersecurity</w:t>
      </w:r>
      <w:r>
        <w:rPr>
          <w:rFonts w:ascii="Times New Roman" w:hAnsi="Times New Roman"/>
          <w:color w:val="000000"/>
          <w:sz w:val="22"/>
        </w:rPr>
        <w:t>. (i) The Company and its subsidiaries’ respective information technology assets, equipment, computers, systems, networks, hardware, software, websites, applications and databases (collectively, “</w:t>
      </w:r>
      <w:r>
        <w:rPr>
          <w:rFonts w:ascii="Times New Roman" w:hAnsi="Times New Roman"/>
          <w:b/>
          <w:color w:val="000000"/>
          <w:sz w:val="22"/>
          <w:u w:val="single"/>
        </w:rPr>
        <w:t>IT Systems</w:t>
      </w:r>
      <w:r>
        <w:rPr>
          <w:rFonts w:ascii="Times New Roman" w:hAnsi="Times New Roman"/>
          <w:color w:val="000000"/>
          <w:sz w:val="20"/>
        </w:rPr>
        <w:t>”</w:t>
      </w:r>
      <w:r>
        <w:rPr>
          <w:rFonts w:ascii="Times New Roman" w:hAnsi="Times New Roman"/>
          <w:color w:val="000000"/>
          <w:sz w:val="22"/>
        </w:rPr>
        <w:t>) are adequate for, and operate and perform in all material respects as required in connection with, the operation of the respective businesses of the Company and its subsidiaries, in each case, to the knowledge of the Company, free and clear of all material bugs, errors, defects, Trojan horses, time bombs, malware and other corruptants; (ii) to the knowledge of the Company, there has been no breach, destruction, loss, unauthorized distribution, use, access, disablement, misappropriation or modification, or other compromise or misuse of, or security incident relating to, any IT Systems (“</w:t>
      </w:r>
      <w:r>
        <w:rPr>
          <w:rFonts w:ascii="Times New Roman" w:hAnsi="Times New Roman"/>
          <w:b/>
          <w:color w:val="000000"/>
          <w:sz w:val="22"/>
          <w:u w:val="single"/>
        </w:rPr>
        <w:t>Breach</w:t>
      </w:r>
      <w:r>
        <w:rPr>
          <w:rFonts w:ascii="Times New Roman" w:hAnsi="Times New Roman"/>
          <w:color w:val="000000"/>
          <w:sz w:val="20"/>
        </w:rPr>
        <w:t>”</w:t>
      </w:r>
      <w:r>
        <w:rPr>
          <w:rFonts w:ascii="Times New Roman" w:hAnsi="Times New Roman"/>
          <w:color w:val="000000"/>
          <w:sz w:val="22"/>
        </w:rPr>
        <w:t>); (iii) neither the Company nor any of its subsidiaries have been notified of, and each of them have no knowledge of any event or condition that would reasonably be expected to result in, any Breach; and (iv) the Company and its subsidiaries have implemented, maintained and complied, in all material respects, with commercially reasonable controls, policies, procedures, and safeguards designed to maintain and protect their material confidential information and the integrity, continuous operation, redundancy and security of all IT Systems and all personal, sensitive, confidential or regulated data (“</w:t>
      </w:r>
      <w:r>
        <w:rPr>
          <w:rFonts w:ascii="Times New Roman" w:hAnsi="Times New Roman"/>
          <w:b/>
          <w:color w:val="000000"/>
          <w:sz w:val="22"/>
          <w:u w:val="single"/>
        </w:rPr>
        <w:t>Data</w:t>
      </w:r>
      <w:r>
        <w:rPr>
          <w:rFonts w:ascii="Times New Roman" w:hAnsi="Times New Roman"/>
          <w:color w:val="000000"/>
          <w:sz w:val="20"/>
        </w:rPr>
        <w:t>”</w:t>
      </w:r>
      <w:r>
        <w:rPr>
          <w:rFonts w:ascii="Times New Roman" w:hAnsi="Times New Roman"/>
          <w:color w:val="000000"/>
          <w:sz w:val="22"/>
        </w:rPr>
        <w:t>) used in connection with their businesses.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(oo) </w:t>
      </w:r>
      <w:r>
        <w:rPr>
          <w:rFonts w:ascii="Times New Roman" w:hAnsi="Times New Roman"/>
          <w:color w:val="000000"/>
          <w:sz w:val="22"/>
          <w:u w:val="single"/>
        </w:rPr>
        <w:t>Privacy</w:t>
      </w:r>
      <w:r>
        <w:rPr>
          <w:rFonts w:ascii="Times New Roman" w:hAnsi="Times New Roman"/>
          <w:color w:val="000000"/>
          <w:sz w:val="22"/>
        </w:rPr>
        <w:t>. (i) The Company and its subsidiaries have complied at all times since the Company’s inception, and are presently in compliance, in all material respects, with all applicable internal and external written privacy policies, contractual obligations, industry standards required by executed contract, applicable state, federal and international data privacy and security laws and regulations, and binding judgments, orders, rules and regulations of any applicable court or arbitrator or other governmental or regulatory authority, in each case, regarding the collection, use, transfer, storage, protection, disposal, disclosure or other processing by the Company and its subsidiaries of Data (collectively, the “</w:t>
      </w:r>
      <w:r>
        <w:rPr>
          <w:rFonts w:ascii="Times New Roman" w:hAnsi="Times New Roman"/>
          <w:b/>
          <w:color w:val="000000"/>
          <w:sz w:val="22"/>
          <w:u w:val="single"/>
        </w:rPr>
        <w:t>Data Privacy Obligations</w:t>
      </w:r>
      <w:r>
        <w:rPr>
          <w:rFonts w:ascii="Times New Roman" w:hAnsi="Times New Roman"/>
          <w:color w:val="000000"/>
          <w:sz w:val="20"/>
        </w:rPr>
        <w:t>”</w:t>
      </w:r>
      <w:r>
        <w:rPr>
          <w:rFonts w:ascii="Times New Roman" w:hAnsi="Times New Roman"/>
          <w:color w:val="000000"/>
          <w:sz w:val="22"/>
        </w:rPr>
        <w:t>); (ii) neither the Company nor any of its subsidiaries has received any written notification of or complaint regarding, or are aware of any other facts that, individually or in the aggregate, would reasonably indicate, material non-compliance by the Company or any of its subsidiaries with any Data Privacy Obligation; and (iii) there is no pending, or, to the knowledge of the Company, threatened, action, suit or proceeding by or before any applicable court or governmental agency, authority or body alleging non-compliance by the Company or any of its subsidiaries with any Data Privacy Obligation.</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(pp) </w:t>
      </w:r>
      <w:r>
        <w:rPr>
          <w:rFonts w:ascii="Times New Roman" w:hAnsi="Times New Roman"/>
          <w:color w:val="000000"/>
          <w:sz w:val="22"/>
          <w:u w:val="single"/>
        </w:rPr>
        <w:t>No Rights of Immunity</w:t>
      </w:r>
      <w:r>
        <w:rPr>
          <w:rFonts w:ascii="Times New Roman" w:hAnsi="Times New Roman"/>
          <w:color w:val="000000"/>
          <w:sz w:val="22"/>
        </w:rPr>
        <w:t>. Except as provided by laws or statutes generally applicable to transactions of the type described in this Agreement, neither the Company nor any of its respective properties, assets or revenues has any right of immunity under the laws of Switzerland, New York or United States law, from any legal action, suit or proceeding, from the giving of any relief in any such legal action, suit or proceeding, from set-off or counterclaim, from the jurisdiction of any Swiss,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Section 18 of this Agreement.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(qq) </w:t>
      </w:r>
      <w:r>
        <w:rPr>
          <w:rFonts w:ascii="Times New Roman" w:hAnsi="Times New Roman"/>
          <w:color w:val="000000"/>
          <w:sz w:val="22"/>
          <w:u w:val="single"/>
        </w:rPr>
        <w:t>Regulatory Compliance</w:t>
      </w:r>
      <w:r>
        <w:rPr>
          <w:rFonts w:ascii="Times New Roman" w:hAnsi="Times New Roman"/>
          <w:color w:val="000000"/>
          <w:sz w:val="22"/>
        </w:rPr>
        <w:t>. The Company and its subsidiaries: (i) has operated and currently operates its business in compliance in all material respects with applicable Health Care Laws (as defined below) of the Food and Drug Administration (“</w:t>
      </w:r>
      <w:r>
        <w:rPr>
          <w:rFonts w:ascii="Times New Roman" w:hAnsi="Times New Roman"/>
          <w:b/>
          <w:color w:val="000000"/>
          <w:sz w:val="22"/>
          <w:u w:val="single"/>
        </w:rPr>
        <w:t>FDA</w:t>
      </w:r>
      <w:r>
        <w:rPr>
          <w:rFonts w:ascii="Times New Roman" w:hAnsi="Times New Roman"/>
          <w:color w:val="000000"/>
          <w:sz w:val="20"/>
        </w:rPr>
        <w:t>”</w:t>
      </w:r>
      <w:r>
        <w:rPr>
          <w:rFonts w:ascii="Times New Roman" w:hAnsi="Times New Roman"/>
          <w:color w:val="000000"/>
          <w:sz w:val="22"/>
        </w:rPr>
        <w:t>), the Department of Health and Human Services (“</w:t>
      </w:r>
      <w:r>
        <w:rPr>
          <w:rFonts w:ascii="Times New Roman" w:hAnsi="Times New Roman"/>
          <w:b/>
          <w:color w:val="000000"/>
          <w:sz w:val="22"/>
          <w:u w:val="single"/>
        </w:rPr>
        <w:t>HHS</w:t>
      </w:r>
      <w:r>
        <w:rPr>
          <w:rFonts w:ascii="Times New Roman" w:hAnsi="Times New Roman"/>
          <w:color w:val="000000"/>
          <w:sz w:val="20"/>
        </w:rPr>
        <w:t>”</w:t>
      </w:r>
      <w:r>
        <w:rPr>
          <w:rFonts w:ascii="Times New Roman" w:hAnsi="Times New Roman"/>
          <w:color w:val="000000"/>
          <w:sz w:val="22"/>
        </w:rPr>
        <w:t>), the European Medicines Agency and any comparable foreign or other regulatory authority 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which they are subject (collectively, the “</w:t>
      </w:r>
      <w:r>
        <w:rPr>
          <w:rFonts w:ascii="Times New Roman" w:hAnsi="Times New Roman"/>
          <w:b/>
          <w:color w:val="000000"/>
          <w:sz w:val="22"/>
          <w:u w:val="single"/>
        </w:rPr>
        <w:t>Applicable Regulatory Authorities</w:t>
      </w:r>
      <w:r>
        <w:rPr>
          <w:rFonts w:ascii="Times New Roman" w:hAnsi="Times New Roman"/>
          <w:color w:val="000000"/>
          <w:sz w:val="20"/>
        </w:rPr>
        <w:t>”</w:t>
      </w:r>
      <w:r>
        <w:rPr>
          <w:rFonts w:ascii="Times New Roman" w:hAnsi="Times New Roman"/>
          <w:color w:val="000000"/>
          <w:sz w:val="22"/>
        </w:rPr>
        <w:t>) applicable to the ownership, testing, development, manufacture, packaging, processing, use, distribution, storage, import, export or disposal of any of the Company’s or its subsidiaries’ product candidates or any product manufactured or distributed by the Company and its subsidiaries; (ii) has not received any FDA Form 483, written notice of adverse finding, warning letter, untitled letter or other correspondence or written notice from any court or arbitrator or governmental or regulatory authority alleging or asserting non-compliance with (A) any Health Care Laws or (B) or any licenses, certificates, approvals, clearances, exemptions, authorizations, permits and supplements or amendments thereto required by any such Health Care Laws (“</w:t>
      </w:r>
      <w:r>
        <w:rPr>
          <w:rFonts w:ascii="Times New Roman" w:hAnsi="Times New Roman"/>
          <w:b/>
          <w:color w:val="000000"/>
          <w:sz w:val="22"/>
          <w:u w:val="single"/>
        </w:rPr>
        <w:t>Regulatory Authorizations</w:t>
      </w:r>
      <w:r>
        <w:rPr>
          <w:rFonts w:ascii="Times New Roman" w:hAnsi="Times New Roman"/>
          <w:color w:val="000000"/>
          <w:sz w:val="20"/>
        </w:rPr>
        <w:t>”</w:t>
      </w:r>
      <w:r>
        <w:rPr>
          <w:rFonts w:ascii="Times New Roman" w:hAnsi="Times New Roman"/>
          <w:color w:val="000000"/>
          <w:sz w:val="22"/>
        </w:rPr>
        <w:t>); (iii) possesses all Regulatory Authorizations required to conduct its business as currently conducted, except where the failure to possess the same would not, individually or in the aggregate, have a Material Adverse Effect, and such Regulatory Authorizations are valid and in full force and effect and neither the Company nor any of its subsidiaries are in violation, in any material respect, of any term of any such Regulatory Authorizations; (iv) has not received written notice of any claim, action, suit, audit, survey, proceeding, hearing, enforcement, investigation, arbitration or other action from the Applicable Regulatory Authorities or any other third party alleging that any product of the Company is in material violation of any applicable Health Care Laws or Regulatory Authorizations and has no knowledge that the Applicable Regulatory Authorities or any other third party is considering any such claim, litigation, arbitration, action, suit, investigation or proceeding; (v) has not received written notice that any of the Applicable Regulatory Authorities has taken, is taking or intends to take action to limit, suspend, modify or revoke any material Regulatory Authorizations and has no knowledge that any of the Applicable Regulatory Authorities is considering such action; (vi) has filed, obtained, maintained or submitted all material reports, documents, forms, notices, applications, records, claims, submissions and supplements or amendments as required by any Health Care Laws or Regulatory Authorizations and that all such reports, documents, forms, notices, applications, records, claims, submissions and supplements or amendments were materially complete and correct on the date filed (or were materially corrected or supplemented by a subsequent submission); (vii) is not a party to or have any ongoing reporting obligations pursuant to any corporate integrity agreements, deferred prosecution agreements, monitoring agreements, consent decrees, settlement orders, plans of correction or similar agreements with or imposed by any Applicable Regulatory Authority; and (viii) along with its employees, officers, contractors, agents and directors has not been excluded, suspended or debarred from participation in any government health care program or human clinical research or, to the knowledge of the Company, is subject to a governmental inquiry, investigation, proceeding, or other similar action that could reasonably be expected to result in debarment, suspension or exclusion. The term “</w:t>
      </w:r>
      <w:r>
        <w:rPr>
          <w:rFonts w:ascii="Times New Roman" w:hAnsi="Times New Roman"/>
          <w:b/>
          <w:color w:val="000000"/>
          <w:sz w:val="22"/>
          <w:u w:val="single"/>
        </w:rPr>
        <w:t>Health Care Laws</w:t>
      </w:r>
      <w:r>
        <w:rPr>
          <w:rFonts w:ascii="Times New Roman" w:hAnsi="Times New Roman"/>
          <w:color w:val="000000"/>
          <w:sz w:val="20"/>
        </w:rPr>
        <w:t xml:space="preserve">” </w:t>
      </w:r>
      <w:r>
        <w:rPr>
          <w:rFonts w:ascii="Times New Roman" w:hAnsi="Times New Roman"/>
          <w:color w:val="000000"/>
          <w:sz w:val="22"/>
        </w:rPr>
        <w:t>means Title XVIII of the Social Security Act, 42 U.S.C. §§ 1395-1395mmm (the Medicare statute); Title XIX of the Social Security Act, 42 U.S.C. §§ 1396-1396w-8 (the Medicaid statute); the Federal Anti-Kickback Statute, 42 U.S.C. § 1320a-7b(b); the civil False Claims Act, 31 U.S.C. §§ 3729 et seq.; the criminal False Claims Act, 42 U.S.C. 1320a-7b(a); any criminal laws relating to health care fraud and abuse, including but not limited to 18 U.S.C. Sections 286, 287, 1001 and 1349, and the health care fraud criminal provisions under the Health Insurance Portability and Accountability Act of 1996, 42 U.S.C. §§ 1320d et seq., (“</w:t>
      </w:r>
      <w:r>
        <w:rPr>
          <w:rFonts w:ascii="Times New Roman" w:hAnsi="Times New Roman"/>
          <w:b/>
          <w:color w:val="000000"/>
          <w:sz w:val="22"/>
          <w:u w:val="single"/>
        </w:rPr>
        <w:t>HIPAA</w:t>
      </w:r>
      <w:r>
        <w:rPr>
          <w:rFonts w:ascii="Times New Roman" w:hAnsi="Times New Roman"/>
          <w:color w:val="000000"/>
          <w:sz w:val="20"/>
        </w:rPr>
        <w:t>”</w:t>
      </w:r>
      <w:r>
        <w:rPr>
          <w:rFonts w:ascii="Times New Roman" w:hAnsi="Times New Roman"/>
          <w:color w:val="000000"/>
          <w:sz w:val="22"/>
        </w:rPr>
        <w:t>); the Civil Monetary Penalties Law, 42 U.S.C. § 1320a-7a; the Physician Payments Sunshine Act, 42 U.S.C. § 1320a-7h; the Exclusion Laws, 42 U.S.C. § 1320a-7; HIPAA, as amended by the Health Information Technology for Economic and Clinical Health Act, 42 U.S.C. §§ 17921 et seq.; the Federal Food, Drug, and Cosmetic Act, 21 U.S.C. §§ 301 et seq.; the Public Health Service Act, 42 U.S.C. §§ 201 et seq.; each as amended, and the regulations promulgated pursuant to such laws; and any similar foreign, federal, state and local laws and regulations.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(rr) </w:t>
      </w:r>
      <w:r>
        <w:rPr>
          <w:rFonts w:ascii="Times New Roman" w:hAnsi="Times New Roman"/>
          <w:color w:val="000000"/>
          <w:sz w:val="22"/>
          <w:u w:val="single"/>
        </w:rPr>
        <w:t>Manufacturing and Suppliers</w:t>
      </w:r>
      <w:r>
        <w:rPr>
          <w:rFonts w:ascii="Times New Roman" w:hAnsi="Times New Roman"/>
          <w:color w:val="000000"/>
          <w:sz w:val="22"/>
        </w:rPr>
        <w:t>. To the Company’s knowledge, the manufacturing facilities and operations of its suppliers are operated in compliance with all applicable statutes, rules, regulations and policies of the Applicable Regulatory Authorities and applicable Health Care Laws, except for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non-compliance that would not, singly or in the aggregate reasonably be expected to result in a Material Adverse Effect.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(ss) </w:t>
      </w:r>
      <w:r>
        <w:rPr>
          <w:rFonts w:ascii="Times New Roman" w:hAnsi="Times New Roman"/>
          <w:color w:val="000000"/>
          <w:sz w:val="22"/>
          <w:u w:val="single"/>
        </w:rPr>
        <w:t>Studies, Tests and Trials</w:t>
      </w:r>
      <w:r>
        <w:rPr>
          <w:rFonts w:ascii="Times New Roman" w:hAnsi="Times New Roman"/>
          <w:color w:val="000000"/>
          <w:sz w:val="22"/>
        </w:rPr>
        <w:t>. None of the Company’s product candidates have received marketing approval or licensure from any Applicable Regulatory Authority. All clinical and pre-clinical studies and trials conducted by or, to the knowledge of the Company, on behalf of or sponsored by the Company or its subsidiaries, or in which the Company or its subsidiaries has participated, with respect to the Company’s product candidates, including any such studies and trials that are described in the Registration Statement and the Prospectus, or the results of which are referred to in the Registration Statement and the Prospectus, as applicable (collectively, “</w:t>
      </w:r>
      <w:r>
        <w:rPr>
          <w:rFonts w:ascii="Times New Roman" w:hAnsi="Times New Roman"/>
          <w:b/>
          <w:color w:val="000000"/>
          <w:sz w:val="22"/>
          <w:u w:val="single"/>
        </w:rPr>
        <w:t>Company Trials</w:t>
      </w:r>
      <w:r>
        <w:rPr>
          <w:rFonts w:ascii="Times New Roman" w:hAnsi="Times New Roman"/>
          <w:color w:val="000000"/>
          <w:sz w:val="20"/>
        </w:rPr>
        <w:t>”</w:t>
      </w:r>
      <w:r>
        <w:rPr>
          <w:rFonts w:ascii="Times New Roman" w:hAnsi="Times New Roman"/>
          <w:color w:val="000000"/>
          <w:sz w:val="22"/>
        </w:rPr>
        <w:t>), were, and if still pending are, to the Company’s knowledge, being conducted in all material respects in accordance with applicable Health Care Laws, including, without limitation, current Good Clinical Practices and Good Laboratory Practices (to the extent required), and with standard medical and scientific research procedures and any applicable rules, regulations and policies of the jurisdiction in which such trials and studies are being conducted; the descriptions in the Registration Statement and the Prospectus of the results of any Company Trials are accurate and complete descriptions in all material respects and fairly present the data derived therefrom; the Company has no knowledge of any other studies or trials not described in the Registration Statement and the Prospectus, the results of which are materially inconsistent with or call into question the results described or referred to in the Registration Statement and the Prospectus; the Company and each of its subsidiaries have not received, any written notices, correspondence or other communications from the Applicable Regulatory Authorities or any other governmental entity requiring or threatening the termination, material modification or suspension of Company Trials that are described in the Registration Statement and the Prospectus or the results of which are referred to in the Registration Statement and the Prospectus, other than ordinary course communications with respect to modifications in connection with the design and implementation of such studies or trials, and, to the Company’s knowledge, there are no reasonable grounds for the same. No investigational new drug application or comparable submission filed by or on behalf of the Company or any of its subsidiaries has been terminated or suspended by the FDA or any other Applicable Regulatory Authority. The Company has obtained (or caused to be obtained) informed consent by or on behalf of each human subject who participated in a Company Trial. In using or disclosing patient information received by the Company or any of its subsidiaries in connection with a Company Trial, the Company or such subsidiary has complied in all material respects with all applicable laws and regulatory rules or requirements, including, without limitation, HIPAA and the rules and regulations thereunder. To the Company’s knowledge, none of the Company Trials involved any investigator who has been disqualified as a clinical investigator or has been found by the FDA to have engaged in scientific misconduct.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(tt) </w:t>
      </w:r>
      <w:r>
        <w:rPr>
          <w:rFonts w:ascii="Times New Roman" w:hAnsi="Times New Roman"/>
          <w:color w:val="000000"/>
          <w:sz w:val="22"/>
          <w:u w:val="single"/>
        </w:rPr>
        <w:t>No Ratings</w:t>
      </w:r>
      <w:r>
        <w:rPr>
          <w:rFonts w:ascii="Times New Roman" w:hAnsi="Times New Roman"/>
          <w:color w:val="000000"/>
          <w:sz w:val="22"/>
        </w:rPr>
        <w:t>. At the date of this Agreement, neither the Company nor its subsidiaries have any debt securities or preferred shares that are rated by any “nationally recognized statistical rating agency” (as defined in Section 3(a)(62) of the Exchange Act).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(uu) </w:t>
      </w:r>
      <w:r>
        <w:rPr>
          <w:rFonts w:ascii="Times New Roman" w:hAnsi="Times New Roman"/>
          <w:color w:val="000000"/>
          <w:sz w:val="22"/>
          <w:u w:val="single"/>
        </w:rPr>
        <w:t>FPI Status</w:t>
      </w:r>
      <w:r>
        <w:rPr>
          <w:rFonts w:ascii="Times New Roman" w:hAnsi="Times New Roman"/>
          <w:color w:val="000000"/>
          <w:sz w:val="22"/>
        </w:rPr>
        <w:t>. The Company is a “foreign private issuer” as defined in Rule 405 of the Securities Act.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(vv) </w:t>
      </w:r>
      <w:r>
        <w:rPr>
          <w:rFonts w:ascii="Times New Roman" w:hAnsi="Times New Roman"/>
          <w:color w:val="000000"/>
          <w:sz w:val="22"/>
          <w:u w:val="single"/>
        </w:rPr>
        <w:t>Enforcement of Foreign Judgments</w:t>
      </w:r>
      <w:r>
        <w:rPr>
          <w:rFonts w:ascii="Times New Roman" w:hAnsi="Times New Roman"/>
          <w:color w:val="000000"/>
          <w:sz w:val="22"/>
        </w:rPr>
        <w:t>. Any final judgment for a fixed or determined sum of money rendered by any U.S. federal or New York state court located in the State of New York having jurisdiction under its own laws in respect of any suit, action or proceeding against the Company based upon the Agreement would be declared enforceable against the Company by the courts of Switzerland, without reconsideration or reexamination of the merits within the limits set out in the Swiss Federal Private International Law Act of 18 December 1987, as amended.</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(ww) </w:t>
      </w:r>
      <w:r>
        <w:rPr>
          <w:rFonts w:ascii="Times New Roman" w:hAnsi="Times New Roman"/>
          <w:color w:val="000000"/>
          <w:sz w:val="22"/>
          <w:u w:val="single"/>
        </w:rPr>
        <w:t>Valid Choice of Law</w:t>
      </w:r>
      <w:r>
        <w:rPr>
          <w:rFonts w:ascii="Times New Roman" w:hAnsi="Times New Roman"/>
          <w:color w:val="000000"/>
          <w:sz w:val="22"/>
        </w:rPr>
        <w:t>. The choice of laws of the State of New York as the governing law of the Agreement is a valid choice of law under the laws of Switzerland and will be honored by the courts of Switzerland, subject to the restrictions described under the caption “Service of Process and Enforcement of Civil Liabilities” in the Registration Statement and the Prospectus. The Company has the power to submit, and pursuant to Section 17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(xx) </w:t>
      </w:r>
      <w:r>
        <w:rPr>
          <w:rFonts w:ascii="Times New Roman" w:hAnsi="Times New Roman"/>
          <w:color w:val="000000"/>
          <w:sz w:val="22"/>
          <w:u w:val="single"/>
        </w:rPr>
        <w:t>Indemnification and Contribution</w:t>
      </w:r>
      <w:r>
        <w:rPr>
          <w:rFonts w:ascii="Times New Roman" w:hAnsi="Times New Roman"/>
          <w:color w:val="000000"/>
          <w:sz w:val="22"/>
        </w:rPr>
        <w:t>. The indemnification and contribution provisions set forth in Section 9 hereof do not contravene the laws of Switzerland or its public policy.</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(yy) </w:t>
      </w:r>
      <w:r>
        <w:rPr>
          <w:rFonts w:ascii="Times New Roman" w:hAnsi="Times New Roman"/>
          <w:color w:val="000000"/>
          <w:sz w:val="22"/>
          <w:u w:val="single"/>
        </w:rPr>
        <w:t>Legality</w:t>
      </w:r>
      <w:r>
        <w:rPr>
          <w:rFonts w:ascii="Times New Roman" w:hAnsi="Times New Roman"/>
          <w:color w:val="000000"/>
          <w:sz w:val="22"/>
        </w:rPr>
        <w:t>. The legality, validity, enforceability or admissibility into evidence of any of the Registration Statement, the Prospectus, this Agreement, the Placement Shares in any jurisdiction in which the Company is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(zz) </w:t>
      </w:r>
      <w:r>
        <w:rPr>
          <w:rFonts w:ascii="Times New Roman" w:hAnsi="Times New Roman"/>
          <w:color w:val="000000"/>
          <w:sz w:val="22"/>
          <w:u w:val="single"/>
        </w:rPr>
        <w:t>No Covered Foreign Person</w:t>
      </w:r>
      <w:r>
        <w:rPr>
          <w:rFonts w:ascii="Times New Roman" w:hAnsi="Times New Roman"/>
          <w:color w:val="000000"/>
          <w:sz w:val="22"/>
        </w:rPr>
        <w:t>. Neither the Company nor any of its subsidiaries (i) is a “covered foreign person” within the meaning of the final rules implementing Executive Order 14105 of August 9, 2023, “Addressing United States Investments in Certain National Security Technologies and Products in Countries of Concern” (the “</w:t>
      </w:r>
      <w:r>
        <w:rPr>
          <w:rFonts w:ascii="Times New Roman" w:hAnsi="Times New Roman"/>
          <w:b/>
          <w:color w:val="000000"/>
          <w:sz w:val="22"/>
          <w:u w:val="single"/>
        </w:rPr>
        <w:t>Outbound Order</w:t>
      </w:r>
      <w:r>
        <w:rPr>
          <w:rFonts w:ascii="Times New Roman" w:hAnsi="Times New Roman"/>
          <w:color w:val="000000"/>
          <w:sz w:val="20"/>
        </w:rPr>
        <w:t>”</w:t>
      </w:r>
      <w:r>
        <w:rPr>
          <w:rFonts w:ascii="Times New Roman" w:hAnsi="Times New Roman"/>
          <w:color w:val="000000"/>
          <w:sz w:val="22"/>
        </w:rPr>
        <w:t>), promulgated by Office of Investment Security, Department of the Treasury, (ii) is currently engaged in, or has plans to engage in, one or more of the activities identified in the definitions of “notifiable transaction” or “prohibited transaction” under 31 C.F.R. Part 850 and (iii) is currently holding or has plans to hold, directly or indirectly, a board seat on, a voting or equity interest in, or any contractual power to direct or cause the direction of the management or policies of a “person of a country of concern” (as identified in the Outbound Order) that engages in one or more activities identified in the definitions of “notifiable transaction” or “prohibited transaction” under 31 C.F.R. Part 850.</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(aaa) </w:t>
      </w:r>
      <w:r>
        <w:rPr>
          <w:rFonts w:ascii="Times New Roman" w:hAnsi="Times New Roman"/>
          <w:color w:val="000000"/>
          <w:sz w:val="22"/>
          <w:u w:val="single"/>
        </w:rPr>
        <w:t>Legal Action</w:t>
      </w:r>
      <w:r>
        <w:rPr>
          <w:rFonts w:ascii="Times New Roman" w:hAnsi="Times New Roman"/>
          <w:color w:val="000000"/>
          <w:sz w:val="22"/>
        </w:rPr>
        <w:t>. A holder of the Placement Shares and the Agent are each entitled to sue as plaintiff in the court of the jurisdiction of formation and domicile of the Company for the enforcement of its respective rights under this Agreement and such access to such courts will not be subject to any conditions which are not applicable to residents of such jurisdiction or a company incorporated in such jurisdiction except that plaintiffs not residing in Switzerland may be required to guarantee payment of a possible order for payment of costs or damages at the request of the defendant.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(bbb) </w:t>
      </w:r>
      <w:r>
        <w:rPr>
          <w:rFonts w:ascii="Times New Roman" w:hAnsi="Times New Roman"/>
          <w:color w:val="000000"/>
          <w:sz w:val="22"/>
          <w:u w:val="single"/>
        </w:rPr>
        <w:t>Purchase and Sale of Ordinary Shares</w:t>
      </w:r>
      <w:r>
        <w:rPr>
          <w:rFonts w:ascii="Times New Roman" w:hAnsi="Times New Roman"/>
          <w:color w:val="000000"/>
          <w:sz w:val="22"/>
        </w:rPr>
        <w:t>. The Company acknowledges and agrees that the Agent has informed the Company that the Agent may, to the extent permitted under the Securities Act and the Exchange Act, purchase and sell shares of Ordinary Shares for its own account while this Agreement is in effect; provided, that (i) 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(ccc) </w:t>
      </w:r>
      <w:r>
        <w:rPr>
          <w:rFonts w:ascii="Times New Roman" w:hAnsi="Times New Roman"/>
          <w:color w:val="000000"/>
          <w:sz w:val="22"/>
          <w:u w:val="single"/>
        </w:rPr>
        <w:t>No Similar Transactions</w:t>
      </w:r>
      <w:r>
        <w:rPr>
          <w:rFonts w:ascii="Times New Roman" w:hAnsi="Times New Roman"/>
          <w:color w:val="000000"/>
          <w:sz w:val="22"/>
        </w:rPr>
        <w:t>. The Company is not a party to any agreement with an agent or underwriter for any other “at the market” or continuous equity transaction.</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Any certificate signed by any officer of the Company and delivered to the Agent or its counsel in connection with the offering of the Placement Shares shall be deemed a representation and warranty by the Company, as to matters covered thereby, to the Agent.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7. </w:t>
      </w:r>
      <w:r>
        <w:rPr>
          <w:rFonts w:ascii="Times New Roman" w:hAnsi="Times New Roman"/>
          <w:color w:val="000000"/>
          <w:sz w:val="22"/>
          <w:u w:val="single"/>
        </w:rPr>
        <w:t>Covenants of the Company</w:t>
      </w:r>
      <w:r>
        <w:rPr>
          <w:rFonts w:ascii="Times New Roman" w:hAnsi="Times New Roman"/>
          <w:color w:val="000000"/>
          <w:sz w:val="22"/>
        </w:rPr>
        <w:t>. The Company covenants and agrees with the Agent that: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Registration Statement Amendments</w:t>
      </w:r>
      <w:r>
        <w:rPr>
          <w:rFonts w:ascii="Times New Roman" w:hAnsi="Times New Roman"/>
          <w:color w:val="000000"/>
          <w:sz w:val="22"/>
        </w:rPr>
        <w:t>.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or for additional information (in each case, insofar as it relates to the transactions contemplated hereby); (ii) the Company will prepare and file with the Commission, promptly upon the Agent’s reasonable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Section 9 hereof) will be to cease making sales under this Agreement until such amendment or supplement is filed, subject to compliance with Section 4 hereof);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thereto (provided, however, that the failure of the Agent to make such objection shall not relieve the Company of any obligation or liability hereunder, or affect the Agent’s right to rely on the representations and warranties made by the Company in this Agreement and provided, further, that the only remedy the Agent shall have with respect to the Company’s making such filing notwithstanding the Agent’s objection (but without limiting the Agent’s rights under Section 9 hereof) will be to cease making sales under this Agreement, subject to compliance with Section 4 hereof) and the Company will furnish to the Agent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 (the determination to file or not file any amendment or supplement with the Commission under this Section 7(a), based on the Company’s reasonable opinion or reasonable objections, shall be made exclusively by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Notice of Commission Stop Orders</w:t>
      </w:r>
      <w:r>
        <w:rPr>
          <w:rFonts w:ascii="Times New Roman" w:hAnsi="Times New Roman"/>
          <w:color w:val="000000"/>
          <w:sz w:val="22"/>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any amendments to the Registration Statement or any amendment or supplements to the Prospectus or for additional information related to the offering of the Placement Shares or for additional information related to the Registration Statement or the Prospectus.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Delivery of Prospectus; Subsequent Changes</w:t>
      </w:r>
      <w:r>
        <w:rPr>
          <w:rFonts w:ascii="Times New Roman" w:hAnsi="Times New Roman"/>
          <w:color w:val="000000"/>
          <w:sz w:val="22"/>
        </w:rPr>
        <w:t xml:space="preserve">.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hAnsi="Times New Roman"/>
          <w:i/>
          <w:color w:val="000000"/>
          <w:sz w:val="22"/>
        </w:rPr>
        <w:t>provided, however</w:t>
      </w:r>
      <w:r>
        <w:rPr>
          <w:rFonts w:ascii="Times New Roman" w:hAnsi="Times New Roman"/>
          <w:color w:val="000000"/>
          <w:sz w:val="22"/>
        </w:rPr>
        <w:t>, that the Company may delay the filing of any amendment or supplement if, in the reasonable judgment of the Company, it is in the best interests of the Company to do so. If the Company has omitted any information from the Registration Statement pursuant to Rule 430B under the Securities Act, it will use its best efforts to comply with the provisions thereof and make all requisite filings with the Commission pursuant to said Rule 430B and to notify the Agent promptly of all such filings if not available on EDGAR.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Listing of Placement Shares</w:t>
      </w:r>
      <w:r>
        <w:rPr>
          <w:rFonts w:ascii="Times New Roman" w:hAnsi="Times New Roman"/>
          <w:color w:val="000000"/>
          <w:sz w:val="22"/>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or will issue securities that are traded on Nasdaq.</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Delivery of Registration Statement and Prospectus</w:t>
      </w:r>
      <w:r>
        <w:rPr>
          <w:rFonts w:ascii="Times New Roman" w:hAnsi="Times New Roman"/>
          <w:color w:val="000000"/>
          <w:sz w:val="22"/>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Company shall not be required to furnish any document (other than the Prospectus) to the Agent to the extent such document is available on EDGAR.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Earnings Statement</w:t>
      </w:r>
      <w:r>
        <w:rPr>
          <w:rFonts w:ascii="Times New Roman" w:hAnsi="Times New Roman"/>
          <w:color w:val="000000"/>
          <w:sz w:val="22"/>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 provided that the Company will be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deemed to have furnished such statement to its security holders and the Agent to the extent such statement has been filed on EDGAR.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Expenses</w:t>
      </w:r>
      <w:r>
        <w:rPr>
          <w:rFonts w:ascii="Times New Roman" w:hAnsi="Times New Roman"/>
          <w:color w:val="000000"/>
          <w:sz w:val="22"/>
        </w:rPr>
        <w:t>. The Company, whether or not the transactions contemplated hereunder are consummated or this Agreement is terminated in accordance with the provisions of Section 11 hereunder, will pay all expenses incident to the performance of its obligations hereunder, including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(ii) the preparation, issuance, sale and delivery of the Placement Shares and any taxes due or payable in connection therewith, (iii) the qualification of the Placement Shares under securities laws in accordance with the provisions of Section 7(w)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 agent or registrar for the Shares, and (vii) the reasonable fees and disbursements of the Agent’s outside legal counsel (A) in an amount not to exceed $55,000 pursuant to this clause (vii)(A) arising out of executing this Agreement and the Company’s delivery of the initial certificate pursuant to Section 7(m) and the reasonable and documented fees and associated expenses of the Agent’s outside legal counsel for filings with the FINRA Corporate Financing Department (excluding FINRA filing fees referred to in clause (vi) above)</w:t>
      </w:r>
      <w:r>
        <w:rPr>
          <w:rFonts w:ascii="Times New Roman" w:hAnsi="Times New Roman"/>
          <w:color w:val="000000"/>
          <w:sz w:val="20"/>
        </w:rPr>
        <w:t xml:space="preserve"> </w:t>
      </w:r>
      <w:r>
        <w:rPr>
          <w:rFonts w:ascii="Times New Roman" w:hAnsi="Times New Roman"/>
          <w:color w:val="000000"/>
          <w:sz w:val="22"/>
        </w:rPr>
        <w:t>and (B) in an amount not to exceed $25,000 in connection with each Representation Date (as defined below) on which the Company is required to provide a certificate pursuant to Section 7(m).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Use of Proceeds</w:t>
      </w:r>
      <w:r>
        <w:rPr>
          <w:rFonts w:ascii="Times New Roman" w:hAnsi="Times New Roman"/>
          <w:color w:val="000000"/>
          <w:sz w:val="22"/>
        </w:rPr>
        <w:t>. The Company will use the Net Proceeds as described in the Prospectus in the section entitled “Use of Proceeds.”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Notice of Other Sales</w:t>
      </w:r>
      <w:r>
        <w:rPr>
          <w:rFonts w:ascii="Times New Roman" w:hAnsi="Times New Roman"/>
          <w:color w:val="000000"/>
          <w:sz w:val="22"/>
        </w:rPr>
        <w:t xml:space="preserve">. Without the prior written consent of the Agent, the Company will not, directly or indirectly, offer to sell, sell, contract to sell, grant any option to sell or otherwise dispose of any shares of Ordinary Shares (other than the Placement Shares offered pursuant to this Agreement) or securities convertible into or exchangeable or exercisable for shares of Ordinary Shares, warrants or any rights to purchase or acquire shares of Ordinary Shares during the period beginning on the fifth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shares of Ordinary Shares (other than the Placement Shares offered pursuant to this Agreement) or securities convertible into or exchangeable or exercisable for shares of Ordinary Shares, warrants or any rights to purchase or acquire, shares of Ordinary Shares prior to the later of the termination of this Agreement and the sixtieth day immediately following the final Settlement Date with respect to Placement Shares sold pursuant to such Placement Notice;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such restrictions will not be required in connection with the Company’s issuance or sale of (i) shares of Ordinary Shares, options to purchase shares of Ordinary Shares, Stock Appreciation Rights, restricted stock, other securities under the Company’s existing equity incentive plans, or shares of Ordinary Shares issuable upon the exercise of options or vesting of other securities, pursuant to any employee or director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stock option or benefits plan, stock ownership plan or dividend reinvestment plan (but not shares of Ordinary Shares subject to a waiver to exceed plan limits in its dividend reinvestment plan) of the Company whether now in effect or hereafter implemented, (ii) shares of Ordinary Shares issuable upon conversion of securities or the exercise of warrants, options or other rights in effect or outstanding, and disclosed in filings by the Company available on EDGAR or otherwise in writing to the Agent during the term of this Agreement and (iii) shares of Ordinary Shares or securities convertible into or exchangeable for shares of Ordinary Shares as consideration for mergers, acquisitions, joint ventures, collaborations, licensing agreements, other business combinations or strategic alliances occurring after the date of this Agreement which are not issued for capital raising purposes.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Change of Circumstances</w:t>
      </w:r>
      <w:r>
        <w:rPr>
          <w:rFonts w:ascii="Times New Roman" w:hAnsi="Times New Roman"/>
          <w:color w:val="000000"/>
          <w:sz w:val="22"/>
        </w:rPr>
        <w:t>. The Company will, at any time during a fiscal quarter in which the Company intends to tender a Placement Notice or sell Placement Shares,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Due Diligence Cooperation</w:t>
      </w:r>
      <w:r>
        <w:rPr>
          <w:rFonts w:ascii="Times New Roman" w:hAnsi="Times New Roman"/>
          <w:color w:val="000000"/>
          <w:sz w:val="22"/>
        </w:rPr>
        <w:t>. During the term of this Agreement, the Company will cooperate with any reasonable due diligence review conducted by the Agent, its affiliates agents and counsel from time to time in connection with the transactions contemplated hereby, including providing information and making available documents and senior corporate officers, during regular business hours and at the Company’s principal offices, as the Agent may reasonably request.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(l) </w:t>
      </w:r>
      <w:r>
        <w:rPr>
          <w:rFonts w:ascii="Times New Roman" w:hAnsi="Times New Roman"/>
          <w:color w:val="000000"/>
          <w:sz w:val="22"/>
          <w:u w:val="single"/>
        </w:rPr>
        <w:t>Required Filings Relating to Placement of Placement Shares</w:t>
      </w:r>
      <w:r>
        <w:rPr>
          <w:rFonts w:ascii="Times New Roman" w:hAnsi="Times New Roman"/>
          <w:color w:val="000000"/>
          <w:sz w:val="22"/>
        </w:rPr>
        <w:t xml:space="preserve">. The Company agrees that on or prior to such dates as the Securities Act shall require, with respect to the Placement Shares,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Times New Roman" w:hAnsi="Times New Roman"/>
          <w:i/>
          <w:color w:val="000000"/>
          <w:sz w:val="22"/>
        </w:rPr>
        <w:t>provided</w:t>
      </w:r>
      <w:r>
        <w:rPr>
          <w:rFonts w:ascii="Times New Roman" w:hAnsi="Times New Roman"/>
          <w:color w:val="000000"/>
          <w:sz w:val="22"/>
        </w:rPr>
        <w:t>, that, unless a prospectus supplement containing such information is required to be filed under the Securities Act, the requirement of this Section 7(l) may be satisfied by Company’s inclusion in the Company’s Form 20-F, as applicable, of the number or amount of Placement Shares sold through the Agent, the Net Proceeds to the Company and the compensation payable by the Company to the Agent with respect to such Placement Shares during the relevant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(m) </w:t>
      </w:r>
      <w:r>
        <w:rPr>
          <w:rFonts w:ascii="Times New Roman" w:hAnsi="Times New Roman"/>
          <w:color w:val="000000"/>
          <w:sz w:val="22"/>
          <w:u w:val="single"/>
        </w:rPr>
        <w:t>Representation Dates; Certificate</w:t>
      </w:r>
      <w:r>
        <w:rPr>
          <w:rFonts w:ascii="Times New Roman" w:hAnsi="Times New Roman"/>
          <w:color w:val="000000"/>
          <w:sz w:val="22"/>
        </w:rPr>
        <w:t>. On or prior to the date on which the Company first delivers a Placement Notice pursuant to this Agreement (the “</w:t>
      </w:r>
      <w:r>
        <w:rPr>
          <w:rFonts w:ascii="Times New Roman" w:hAnsi="Times New Roman"/>
          <w:b/>
          <w:color w:val="000000"/>
          <w:sz w:val="22"/>
          <w:u w:val="single"/>
        </w:rPr>
        <w:t>First Placement Notice Date</w:t>
      </w:r>
      <w:r>
        <w:rPr>
          <w:rFonts w:ascii="Times New Roman" w:hAnsi="Times New Roman"/>
          <w:color w:val="000000"/>
          <w:sz w:val="20"/>
        </w:rPr>
        <w:t>”</w:t>
      </w:r>
      <w:r>
        <w:rPr>
          <w:rFonts w:ascii="Times New Roman" w:hAnsi="Times New Roman"/>
          <w:color w:val="000000"/>
          <w:sz w:val="22"/>
        </w:rPr>
        <w:t>) and each time the Company: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 amends or supplements the Registration Statement or the Prospectus relating to the Placement Shares (other than a prospectus supplement filed in accordance with Section 7(l) of this Agreement) by means of a post-effective amendment, sticker or supplement but not by means of incorporation of document(s) by reference into the Registration Statement or the Prospectus relating to the Placement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(ii) files an annual report on Form 20-F under the Exchange Act (including any Form 20-F/A containing amended financial information or a material amendment to the previously filed Form 20-F);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(iii) files a report on Form 6-K containing quarterly or half-year financial information (including any Form 6-K/A containing amended financial information or a material amendment to the previously filed report on Form 6-K containing quarterly or half-year financial information) under the Exchange Act; 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(iv) files a report on Form 6-K containing amended financial information that is material to the offering of securities of the Company in the Agent’s reasonable discretion (each date of filing of one or more of the documents referred to in clauses (i) through (iv) shall be a “</w:t>
      </w:r>
      <w:r>
        <w:rPr>
          <w:rFonts w:ascii="Times New Roman" w:hAnsi="Times New Roman"/>
          <w:b/>
          <w:color w:val="000000"/>
          <w:sz w:val="22"/>
          <w:u w:val="single"/>
        </w:rPr>
        <w:t>Representation Date</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the Company shall furnish the Agent (but in the case of clause (iv) above only if (1) a Placement Notice is pending or in effect and (2) the Agent requests such certificate within three Business Days after the filing of such Form 6-K with the Commission) with a certificate, in the form attached hereto as </w:t>
      </w:r>
      <w:r>
        <w:rPr>
          <w:rFonts w:ascii="Times New Roman" w:hAnsi="Times New Roman"/>
          <w:b/>
          <w:color w:val="000000"/>
          <w:sz w:val="22"/>
          <w:u w:val="single"/>
        </w:rPr>
        <w:t>Exhibit 7(m)</w:t>
      </w:r>
      <w:r>
        <w:rPr>
          <w:rFonts w:ascii="Times New Roman" w:hAnsi="Times New Roman"/>
          <w:color w:val="000000"/>
          <w:sz w:val="20"/>
        </w:rPr>
        <w:t xml:space="preserve"> </w:t>
      </w:r>
      <w:r>
        <w:rPr>
          <w:rFonts w:ascii="Times New Roman" w:hAnsi="Times New Roman"/>
          <w:color w:val="000000"/>
          <w:sz w:val="22"/>
        </w:rPr>
        <w:t xml:space="preserve">(modified, as necessary, to relate to the Registration Statement and the Prospectus as then amended or supplemented), within two Trading Days of any Representation Date. The requirement to provide a certificate under this Section 7(m) shall be waived for any Representation Date occurring at a time at which no Placement Notice is pending or in effect or if a suspension is in effect with respect to any Placement Notice, which waiver shall continue until the earlier to occur of (1) the date the Company delivers a Placement Notice hereunder (which for such calendar quarter shall be considered a Representation Date) and (2) the next occurring Representation Date. Notwithstanding the foregoing, if the Company subsequently decides to sell Placement Shares following a Representation 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Times New Roman" w:hAnsi="Times New Roman"/>
          <w:b/>
          <w:color w:val="000000"/>
          <w:sz w:val="22"/>
          <w:u w:val="single"/>
        </w:rPr>
        <w:t>Exhibit 7(m)</w:t>
      </w:r>
      <w:r>
        <w:rPr>
          <w:rFonts w:ascii="Times New Roman" w:hAnsi="Times New Roman"/>
          <w:color w:val="000000"/>
          <w:sz w:val="22"/>
        </w:rPr>
        <w:t>, dated the date of such Placement Notice. Within two Trading Days of each Representation Date, the Company shall have furnished to the Agent such further information, certificates and documents as the Agent may reasonably request.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(n) </w:t>
      </w:r>
      <w:r>
        <w:rPr>
          <w:rFonts w:ascii="Times New Roman" w:hAnsi="Times New Roman"/>
          <w:color w:val="000000"/>
          <w:sz w:val="22"/>
          <w:u w:val="single"/>
        </w:rPr>
        <w:t>Legal Opinions</w:t>
      </w:r>
      <w:r>
        <w:rPr>
          <w:rFonts w:ascii="Times New Roman" w:hAnsi="Times New Roman"/>
          <w:color w:val="000000"/>
          <w:sz w:val="22"/>
        </w:rPr>
        <w:t>. On or prior to the First Placement Notice Date and on any date which the Company is obligated to deliver a certificate pursuant to Section 7(m) for which no suspension or waiver is applicable, the Company shall cause to be furnished to the Agent the written opinion and negative assurance letter of Cooley LLP, counsel to the Company, or such other counsel reasonably satisfactory to the Agent (“</w:t>
      </w:r>
      <w:r>
        <w:rPr>
          <w:rFonts w:ascii="Times New Roman" w:hAnsi="Times New Roman"/>
          <w:b/>
          <w:color w:val="000000"/>
          <w:sz w:val="22"/>
          <w:u w:val="single"/>
        </w:rPr>
        <w:t>Company Counsel</w:t>
      </w:r>
      <w:r>
        <w:rPr>
          <w:rFonts w:ascii="Times New Roman" w:hAnsi="Times New Roman"/>
          <w:color w:val="000000"/>
          <w:sz w:val="20"/>
        </w:rPr>
        <w:t>”</w:t>
      </w:r>
      <w:r>
        <w:rPr>
          <w:rFonts w:ascii="Times New Roman" w:hAnsi="Times New Roman"/>
          <w:color w:val="000000"/>
          <w:sz w:val="22"/>
        </w:rPr>
        <w:t xml:space="preserve">), in form and substance reasonably satisfactory to the Agent and its counsel, dated the date that the opinion and negative assurance letter are required to be delivered, modified, as necessary, to relate to the Registration Statement and the Prospectus as then amended or supplemented;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in lieu of such opinion and negative assurance letter for subsequent Representation Dates, Company Counsel may furnish the Agent with a letter to the effect that the Agent may rely on a prior opinion or negative assurance letter delivered by such counsel under this Section 7(n)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(o) </w:t>
      </w:r>
      <w:r>
        <w:rPr>
          <w:rFonts w:ascii="Times New Roman" w:hAnsi="Times New Roman"/>
          <w:color w:val="000000"/>
          <w:sz w:val="22"/>
          <w:u w:val="single"/>
        </w:rPr>
        <w:t>Intellectual Property Opinion</w:t>
      </w:r>
      <w:r>
        <w:rPr>
          <w:rFonts w:ascii="Times New Roman" w:hAnsi="Times New Roman"/>
          <w:color w:val="000000"/>
          <w:sz w:val="22"/>
        </w:rPr>
        <w:t>. On or prior to the First Placement Notice Date and on any date which the Company is obligated to deliver a certificate pursuant to Section 7(m) for which no suspension or waiver is applicable, the Company shall cause to be furnished to the Agent the written opinions of Plasseraud IP and Knowles Intellectual Property Strategies LLC, counsels for the Company with respect to intellectual property matters, or such other intellectual property counsel reasonably satisfactory to the Agent (together,“</w:t>
      </w:r>
      <w:r>
        <w:rPr>
          <w:rFonts w:ascii="Times New Roman" w:hAnsi="Times New Roman"/>
          <w:b/>
          <w:color w:val="000000"/>
          <w:sz w:val="22"/>
          <w:u w:val="single"/>
        </w:rPr>
        <w:t>Intellectual Property Counsels</w:t>
      </w:r>
      <w:r>
        <w:rPr>
          <w:rFonts w:ascii="Times New Roman" w:hAnsi="Times New Roman"/>
          <w:color w:val="000000"/>
          <w:sz w:val="20"/>
        </w:rPr>
        <w:t>”</w:t>
      </w:r>
      <w:r>
        <w:rPr>
          <w:rFonts w:ascii="Times New Roman" w:hAnsi="Times New Roman"/>
          <w:color w:val="000000"/>
          <w:sz w:val="22"/>
        </w:rPr>
        <w:t>), each in form and substance reasonably satisfactory to the Agent and its counsel, dated the date that the opinion letters are required to be delivered, modified, as necessary, to relate to the Registration Statement and the Prospectus as then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amended or supplemented;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in lieu of such written opinion for subsequent Representation Dates, Intellectual Property Counsels may furnish the Agent with a letter to the effect that the Agent may rely on prior opinion letters delivered by such counsels under this Section 7(o) to the same extent as if it were dated the date of such opinion letters (except that statements in such prior opinion letters shall be deemed to relate to the Registration Statement and the Prospectus as amended or supplemented at such Representation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(p) </w:t>
      </w:r>
      <w:r>
        <w:rPr>
          <w:rFonts w:ascii="Times New Roman" w:hAnsi="Times New Roman"/>
          <w:color w:val="000000"/>
          <w:sz w:val="22"/>
          <w:u w:val="single"/>
        </w:rPr>
        <w:t>Swiss Legal Opinion</w:t>
      </w:r>
      <w:r>
        <w:rPr>
          <w:rFonts w:ascii="Times New Roman" w:hAnsi="Times New Roman"/>
          <w:color w:val="000000"/>
          <w:sz w:val="22"/>
        </w:rPr>
        <w:t>. On or prior to the First Placement Notice Date and on any date which the Company is obligated to deliver a certificate pursuant to Section 7(m) for which no suspension or waiver is applicable, the Company shall cause to be furnished to the Agent the written opinion of Vischer AG, counsel for the Company with respect to Swiss legal matters, or such other Swiss counsel reasonably satisfactory to the Agent (“</w:t>
      </w:r>
      <w:r>
        <w:rPr>
          <w:rFonts w:ascii="Times New Roman" w:hAnsi="Times New Roman"/>
          <w:b/>
          <w:color w:val="000000"/>
          <w:sz w:val="22"/>
          <w:u w:val="single"/>
        </w:rPr>
        <w:t>Swiss Counsel</w:t>
      </w:r>
      <w:r>
        <w:rPr>
          <w:rFonts w:ascii="Times New Roman" w:hAnsi="Times New Roman"/>
          <w:color w:val="000000"/>
          <w:sz w:val="20"/>
        </w:rPr>
        <w:t>”</w:t>
      </w:r>
      <w:r>
        <w:rPr>
          <w:rFonts w:ascii="Times New Roman" w:hAnsi="Times New Roman"/>
          <w:color w:val="000000"/>
          <w:sz w:val="22"/>
        </w:rPr>
        <w:t xml:space="preserve">), in form and substance reasonably satisfactory to the Agent and its counsel, dated the date that the opinion letter is required to be delivered, modified, as necessary, to relate to the Registration Statement and the Prospectus as then amended or supplemented;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in lieu of such written opinion for subsequent Representation Dates, Swiss Counsel may furnish the Agent with a letter to the effect that the Agent may rely on a prior opinion letter delivered by such counsel under this Section 7(p) to the same extent as if it were dated the date of such opinion letter (except that statements in such prior opinion letter shall be deemed to relate to the Registration Statement and the Prospectus as amended or supplemented at such Representation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(q) </w:t>
      </w:r>
      <w:r>
        <w:rPr>
          <w:rFonts w:ascii="Times New Roman" w:hAnsi="Times New Roman"/>
          <w:color w:val="000000"/>
          <w:sz w:val="22"/>
          <w:u w:val="single"/>
        </w:rPr>
        <w:t>Comfort Letter and CFO Certificate</w:t>
      </w:r>
      <w:r>
        <w:rPr>
          <w:rFonts w:ascii="Times New Roman" w:hAnsi="Times New Roman"/>
          <w:color w:val="000000"/>
          <w:sz w:val="22"/>
        </w:rPr>
        <w:t>. On or prior to the First Placement Notice Date and on any date which the Company is obligated to deliver a certificate pursuant to Section 7(m) for which no suspension or waiver is applicable, the Company shall cause its independent registered public accounting firm (and any other independent accountants whose report is included in the Registration Statement or the Prospectus) to furnish the Agent letters (the “</w:t>
      </w:r>
      <w:r>
        <w:rPr>
          <w:rFonts w:ascii="Times New Roman" w:hAnsi="Times New Roman"/>
          <w:b/>
          <w:color w:val="000000"/>
          <w:sz w:val="22"/>
          <w:u w:val="single"/>
        </w:rPr>
        <w:t>Comfort Letters</w:t>
      </w:r>
      <w:r>
        <w:rPr>
          <w:rFonts w:ascii="Times New Roman" w:hAnsi="Times New Roman"/>
          <w:color w:val="000000"/>
          <w:sz w:val="20"/>
        </w:rPr>
        <w:t>”</w:t>
      </w:r>
      <w:r>
        <w:rPr>
          <w:rFonts w:ascii="Times New Roman" w:hAnsi="Times New Roman"/>
          <w:color w:val="000000"/>
          <w:sz w:val="22"/>
        </w:rPr>
        <w:t xml:space="preserve">), dated the date the Comfort Letter is delivered, which shall meet the requirements set forth in this Section 7(q); </w:t>
      </w:r>
      <w:r>
        <w:rPr>
          <w:rFonts w:ascii="Times New Roman" w:hAnsi="Times New Roman"/>
          <w:i/>
          <w:color w:val="000000"/>
          <w:sz w:val="22"/>
        </w:rPr>
        <w:t>provided</w:t>
      </w:r>
      <w:r>
        <w:rPr>
          <w:rFonts w:ascii="Times New Roman" w:hAnsi="Times New Roman"/>
          <w:color w:val="000000"/>
          <w:sz w:val="22"/>
        </w:rPr>
        <w:t>, that if requested by the Agent, the Company shall cause a Comfort Letter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hAnsi="Times New Roman"/>
          <w:b/>
          <w:color w:val="000000"/>
          <w:sz w:val="22"/>
          <w:u w:val="single"/>
        </w:rPr>
        <w:t>Initial Comfort Letter</w:t>
      </w:r>
      <w:r>
        <w:rPr>
          <w:rFonts w:ascii="Times New Roman" w:hAnsi="Times New Roman"/>
          <w:color w:val="000000"/>
          <w:sz w:val="20"/>
        </w:rPr>
        <w:t>”</w:t>
      </w:r>
      <w:r>
        <w:rPr>
          <w:rFonts w:ascii="Times New Roman" w:hAnsi="Times New Roman"/>
          <w:color w:val="000000"/>
          <w:sz w:val="22"/>
        </w:rPr>
        <w:t>) and (iii) update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In addition, in certain cases, the Agent may request a certificate of the Chief Financial Officer of the Company with respect to certain financial data providing “management comfort” with respect to such information, in form and substance reasonably satisfactory to the Agent.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(r) </w:t>
      </w:r>
      <w:r>
        <w:rPr>
          <w:rFonts w:ascii="Times New Roman" w:hAnsi="Times New Roman"/>
          <w:color w:val="000000"/>
          <w:sz w:val="22"/>
          <w:u w:val="single"/>
        </w:rPr>
        <w:t>Market Activities</w:t>
      </w:r>
      <w:r>
        <w:rPr>
          <w:rFonts w:ascii="Times New Roman" w:hAnsi="Times New Roman"/>
          <w:color w:val="000000"/>
          <w:sz w:val="22"/>
        </w:rPr>
        <w:t xml:space="preserve">. The Company will not, directly or indirectly, and will cause its officers, directors and Subsidiaries not to (i) take any action designed to cause or result in, or that constitutes or might reasonably be expected to constitute, the stabilization or manipulation of the price of any security of the Company to facilitate the sale or resale of shares of Ordinary Shares or (ii) sell, bid for, or purchase shares of Ordinary Shares in violation of Regulation M, or pay anyone any compensation for soliciting purchases of the Placement Shares other than the Agent;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Company may bid for and purchase shares of Ordinary Shares in accordance with Rule 10b-18 under the Exchange Act.</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(s) </w:t>
      </w:r>
      <w:r>
        <w:rPr>
          <w:rFonts w:ascii="Times New Roman" w:hAnsi="Times New Roman"/>
          <w:color w:val="000000"/>
          <w:sz w:val="22"/>
          <w:u w:val="single"/>
        </w:rPr>
        <w:t>Insurance</w:t>
      </w:r>
      <w:r>
        <w:rPr>
          <w:rFonts w:ascii="Times New Roman" w:hAnsi="Times New Roman"/>
          <w:color w:val="000000"/>
          <w:sz w:val="22"/>
        </w:rPr>
        <w:t>. The Company and its Subsidiaries shall maintain, or cause to be maintained, insurance in such amounts and covering such risks as is reasonable and customary for the business for which it is engaged.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(t) </w:t>
      </w:r>
      <w:r>
        <w:rPr>
          <w:rFonts w:ascii="Times New Roman" w:hAnsi="Times New Roman"/>
          <w:color w:val="000000"/>
          <w:sz w:val="22"/>
          <w:u w:val="single"/>
        </w:rPr>
        <w:t>Compliance with Laws</w:t>
      </w:r>
      <w:r>
        <w:rPr>
          <w:rFonts w:ascii="Times New Roman" w:hAnsi="Times New Roman"/>
          <w:color w:val="000000"/>
          <w:sz w:val="22"/>
        </w:rPr>
        <w:t>. The Company and each of its Subsidiaries shall maintain, or cause to be maintained, all material environmental certificates, authorizations or permits required by federal, state and local law in order to conduct their businesses as described in the Prospectus (collectively, “</w:t>
      </w:r>
      <w:r>
        <w:rPr>
          <w:rFonts w:ascii="Times New Roman" w:hAnsi="Times New Roman"/>
          <w:b/>
          <w:color w:val="000000"/>
          <w:sz w:val="22"/>
          <w:u w:val="single"/>
        </w:rPr>
        <w:t>Permits</w:t>
      </w:r>
      <w:r>
        <w:rPr>
          <w:rFonts w:ascii="Times New Roman" w:hAnsi="Times New Roman"/>
          <w:color w:val="000000"/>
          <w:sz w:val="20"/>
        </w:rPr>
        <w:t>”</w:t>
      </w:r>
      <w:r>
        <w:rPr>
          <w:rFonts w:ascii="Times New Roman" w:hAnsi="Times New Roman"/>
          <w:color w:val="000000"/>
          <w:sz w:val="22"/>
        </w:rPr>
        <w:t>), and the Company and each of its Subsidiaries shall conduct their businesses, or cause their businesses to be conducted, in substantial compliance with such Permits and with applicable Environmental Laws, except where the failure to maintain or be in compliance with such Permits could not reasonably be expected to result in a Material Adverse Effect.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(u) </w:t>
      </w:r>
      <w:r>
        <w:rPr>
          <w:rFonts w:ascii="Times New Roman" w:hAnsi="Times New Roman"/>
          <w:color w:val="000000"/>
          <w:sz w:val="22"/>
          <w:u w:val="single"/>
        </w:rPr>
        <w:t>Investment Company Act</w:t>
      </w:r>
      <w:r>
        <w:rPr>
          <w:rFonts w:ascii="Times New Roman" w:hAnsi="Times New Roman"/>
          <w:color w:val="000000"/>
          <w:sz w:val="22"/>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(v) </w:t>
      </w:r>
      <w:r>
        <w:rPr>
          <w:rFonts w:ascii="Times New Roman" w:hAnsi="Times New Roman"/>
          <w:color w:val="000000"/>
          <w:sz w:val="22"/>
          <w:u w:val="single"/>
        </w:rPr>
        <w:t>Securities Act and Exchange Act</w:t>
      </w:r>
      <w:r>
        <w:rPr>
          <w:rFonts w:ascii="Times New Roman" w:hAnsi="Times New Roman"/>
          <w:color w:val="000000"/>
          <w:sz w:val="22"/>
        </w:rPr>
        <w:t>. The Company will use its best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(w) </w:t>
      </w:r>
      <w:r>
        <w:rPr>
          <w:rFonts w:ascii="Times New Roman" w:hAnsi="Times New Roman"/>
          <w:color w:val="000000"/>
          <w:sz w:val="22"/>
          <w:u w:val="single"/>
        </w:rPr>
        <w:t>No Offer to Sell</w:t>
      </w:r>
      <w:r>
        <w:rPr>
          <w:rFonts w:ascii="Times New Roman" w:hAnsi="Times New Roman"/>
          <w:color w:val="000000"/>
          <w:sz w:val="22"/>
        </w:rPr>
        <w:t>. Other than a free writing prospectus (as defined in Rule 405 under the Securities Act) approved in advance by the Company and the Agent,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(x) </w:t>
      </w:r>
      <w:r>
        <w:rPr>
          <w:rFonts w:ascii="Times New Roman" w:hAnsi="Times New Roman"/>
          <w:color w:val="000000"/>
          <w:sz w:val="22"/>
          <w:u w:val="single"/>
        </w:rPr>
        <w:t>Blue Sky and Other Qualifications</w:t>
      </w:r>
      <w:r>
        <w:rPr>
          <w:rFonts w:ascii="Times New Roman" w:hAnsi="Times New Roman"/>
          <w:color w:val="000000"/>
          <w:sz w:val="22"/>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 w:hAnsi="Times New Roman"/>
          <w:i/>
          <w:color w:val="000000"/>
          <w:sz w:val="22"/>
        </w:rPr>
        <w:t>provided, however</w:t>
      </w:r>
      <w:r>
        <w:rPr>
          <w:rFonts w:ascii="Times New Roman" w:hAnsi="Times New Roman"/>
          <w:color w:val="000000"/>
          <w:sz w:val="22"/>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(y) </w:t>
      </w:r>
      <w:r>
        <w:rPr>
          <w:rFonts w:ascii="Times New Roman" w:hAnsi="Times New Roman"/>
          <w:color w:val="000000"/>
          <w:sz w:val="22"/>
          <w:u w:val="single"/>
        </w:rPr>
        <w:t>Sarbanes-Oxley Act</w:t>
      </w:r>
      <w:r>
        <w:rPr>
          <w:rFonts w:ascii="Times New Roman" w:hAnsi="Times New Roman"/>
          <w:color w:val="000000"/>
          <w:sz w:val="22"/>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IFRS and including those policies and procedures that (i) pertain to the maintenance of records that in reasonable detail accurately and fairly reflect the transactions and dispositions of the assets of the Company, (ii) provide reasonable assurance that transactions are recorded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as necessary to permit the preparation of the Company’s financial statements in accordance with IFRS,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(z) [</w:t>
      </w:r>
      <w:r>
        <w:rPr>
          <w:rFonts w:ascii="Times New Roman" w:hAnsi="Times New Roman"/>
          <w:color w:val="000000"/>
          <w:sz w:val="22"/>
          <w:u w:val="single"/>
        </w:rPr>
        <w:t>Reserved]</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(aa) </w:t>
      </w:r>
      <w:r>
        <w:rPr>
          <w:rFonts w:ascii="Times New Roman" w:hAnsi="Times New Roman"/>
          <w:color w:val="000000"/>
          <w:sz w:val="22"/>
          <w:u w:val="single"/>
        </w:rPr>
        <w:t>Renewal of Registration Statement.</w:t>
      </w:r>
      <w:r>
        <w:rPr>
          <w:rFonts w:ascii="Times New Roman" w:hAnsi="Times New Roman"/>
          <w:color w:val="000000"/>
          <w:sz w:val="20"/>
        </w:rPr>
        <w:t xml:space="preserve"> </w:t>
      </w:r>
      <w:r>
        <w:rPr>
          <w:rFonts w:ascii="Times New Roman" w:hAnsi="Times New Roman"/>
          <w:color w:val="000000"/>
          <w:sz w:val="22"/>
        </w:rPr>
        <w:t>If, immediately prior to the third anniversary of the initial effective date of the Registration Statement (the “</w:t>
      </w:r>
      <w:r>
        <w:rPr>
          <w:rFonts w:ascii="Times New Roman" w:hAnsi="Times New Roman"/>
          <w:b/>
          <w:color w:val="000000"/>
          <w:sz w:val="22"/>
          <w:u w:val="single"/>
        </w:rPr>
        <w:t>Renewal Date</w:t>
      </w:r>
      <w:r>
        <w:rPr>
          <w:rFonts w:ascii="Times New Roman" w:hAnsi="Times New Roman"/>
          <w:color w:val="000000"/>
          <w:sz w:val="20"/>
        </w:rPr>
        <w:t>”</w:t>
      </w:r>
      <w:r>
        <w:rPr>
          <w:rFonts w:ascii="Times New Roman" w:hAnsi="Times New Roman"/>
          <w:color w:val="000000"/>
          <w:sz w:val="22"/>
        </w:rPr>
        <w:t>), any of the Placement Shares remain unsold and this Agreement has not been terminated, the Company, in its sole discretion, will, prior to the Renewal Date, file a new shelf registration statement or, if applicable, an automatic shelf registration statement relating to the Ordinary Shares that may be offered and sold pursuant to this Agreement (which shall include a prospectus reflecting the number or amount of Placement Shares that may be offered and sold pursuant to this Agreement), in a form satisfactory to the Agent and its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(bb) </w:t>
      </w:r>
      <w:r>
        <w:rPr>
          <w:rFonts w:ascii="Times New Roman" w:hAnsi="Times New Roman"/>
          <w:color w:val="000000"/>
          <w:sz w:val="22"/>
          <w:u w:val="single"/>
        </w:rPr>
        <w:t>General Instruction I.B.5. of Form F-3</w:t>
      </w:r>
      <w:r>
        <w:rPr>
          <w:rFonts w:ascii="Times New Roman" w:hAnsi="Times New Roman"/>
          <w:color w:val="000000"/>
          <w:sz w:val="22"/>
        </w:rPr>
        <w:t xml:space="preserve">. If, from and after the date of this Agreement, the Company is no longer eligible to use Form F-3 (including pursuant to General Instruction I.B.5.) at the time it files with the Commission an annual report on Form 20-F or any post-effective amendment to the Registration Statement, then it shall promptly notify the Agent and, within two Business Days after the date of filing of such annual report on Form 20-F or amendment to the Registration Statement, the Company shall file a new prospectus supplement with the Commission reflecting the number of shares of Ordinary Shares available to be offered and sold by the Company under this Agreement pursuant to General Instruction I.B.5. of Form F-3;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Company may delay the filing of any such prospectus supplement for up to 30 days if, in the reasonable judgment of the Company, it is in the best interest of the Company to do so, provided that no Placement Notice is in effect or pending during such time. Until such time as the Company shall have corrected such misstatement or omission or effected such compliance, the Company shall not notify the Agent to resume the offering of Placement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(cc) </w:t>
      </w:r>
      <w:r>
        <w:rPr>
          <w:rFonts w:ascii="Times New Roman" w:hAnsi="Times New Roman"/>
          <w:color w:val="000000"/>
          <w:sz w:val="22"/>
          <w:u w:val="single"/>
        </w:rPr>
        <w:t>Tax Indemnity</w:t>
      </w:r>
      <w:r>
        <w:rPr>
          <w:rFonts w:ascii="Times New Roman" w:hAnsi="Times New Roman"/>
          <w:color w:val="000000"/>
          <w:sz w:val="22"/>
        </w:rPr>
        <w:t>. The Company will indemnify and hold harmless the Agent against any Transfer Taxes, including any interest and penalties, on the issue and sale of the Placement Shares.</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(dd) </w:t>
      </w:r>
      <w:r>
        <w:rPr>
          <w:rFonts w:ascii="Times New Roman" w:hAnsi="Times New Roman"/>
          <w:color w:val="000000"/>
          <w:sz w:val="22"/>
          <w:u w:val="single"/>
        </w:rPr>
        <w:t>Transfer Agent</w:t>
      </w:r>
      <w:r>
        <w:rPr>
          <w:rFonts w:ascii="Times New Roman" w:hAnsi="Times New Roman"/>
          <w:color w:val="000000"/>
          <w:sz w:val="22"/>
        </w:rPr>
        <w:t>. The Company has engaged and will maintain, at its sole expense, a transfer agent and registrar for the Ordinary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(ee) </w:t>
      </w:r>
      <w:r>
        <w:rPr>
          <w:rFonts w:ascii="Times New Roman" w:hAnsi="Times New Roman"/>
          <w:color w:val="000000"/>
          <w:sz w:val="22"/>
          <w:u w:val="single"/>
        </w:rPr>
        <w:t>No Withholding Taxes</w:t>
      </w:r>
      <w:r>
        <w:rPr>
          <w:rFonts w:ascii="Times New Roman" w:hAnsi="Times New Roman"/>
          <w:color w:val="000000"/>
          <w:sz w:val="22"/>
        </w:rPr>
        <w:t>. The Company agrees that all amounts payable hereunder shall be paid free and clear of, and without any deduction or withholding for or on account of, any current or future taxes, levies, imposts, duties, charges or other deductions or withholdings levied in any jurisdiction from or through which tax payment is made on behalf of the Company, unless such deduction or withholding is required by applicable law, in which event the Company will pay additional amounts so that the persons entitled to such payments will receive the amount that such persons would otherwise have received had such deduction or withholding not been required; provided, however, that, upon request, each such person shall cooperate reasonably with the Company to reduce or eliminate amounts required to be so deducted or withheld.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(ff) </w:t>
      </w:r>
      <w:r>
        <w:rPr>
          <w:rFonts w:ascii="Times New Roman" w:hAnsi="Times New Roman"/>
          <w:color w:val="000000"/>
          <w:sz w:val="22"/>
          <w:u w:val="single"/>
        </w:rPr>
        <w:t>No VAT</w:t>
      </w:r>
      <w:r>
        <w:rPr>
          <w:rFonts w:ascii="Times New Roman" w:hAnsi="Times New Roman"/>
          <w:color w:val="000000"/>
          <w:sz w:val="22"/>
        </w:rPr>
        <w:t>. All payments made by or on behalf of the Company under this Agreement shall be exclusive of any value added tax or any other tax of a similar nature (“</w:t>
      </w:r>
      <w:r>
        <w:rPr>
          <w:rFonts w:ascii="Times New Roman" w:hAnsi="Times New Roman"/>
          <w:b/>
          <w:color w:val="000000"/>
          <w:sz w:val="22"/>
          <w:u w:val="single"/>
        </w:rPr>
        <w:t>VAT</w:t>
      </w:r>
      <w:r>
        <w:rPr>
          <w:rFonts w:ascii="Times New Roman" w:hAnsi="Times New Roman"/>
          <w:color w:val="000000"/>
          <w:sz w:val="20"/>
        </w:rPr>
        <w:t>”</w:t>
      </w:r>
      <w:r>
        <w:rPr>
          <w:rFonts w:ascii="Times New Roman" w:hAnsi="Times New Roman"/>
          <w:color w:val="000000"/>
          <w:sz w:val="22"/>
        </w:rPr>
        <w:t>) which is chargeable thereon and if any VAT is or becomes chargeable in respect of any such payment, the Company shall, subject to receipt of an appropriate VAT invoice, pay in addition the amount of such VAT (at the same time and in the same manner as the payment to which such VAT relates). For the avoidance of doubt, all amounts charged by the Agent or for which the Agent is to be reimbursed will be invoiced and payable together with VAT, where applicable. Any amount for which the Agent is to be reimbursed or indemnified under this Agreement will be reimbursed or indemnified together with an amount equal to any VAT payable in relation to the cost, fee, expense or other amount to which the reimbursement or indemnification relates.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(gg) </w:t>
      </w:r>
      <w:r>
        <w:rPr>
          <w:rFonts w:ascii="Times New Roman" w:hAnsi="Times New Roman"/>
          <w:color w:val="000000"/>
          <w:sz w:val="22"/>
          <w:u w:val="single"/>
        </w:rPr>
        <w:t>Uncertificated Securities Book</w:t>
      </w:r>
      <w:r>
        <w:rPr>
          <w:rFonts w:ascii="Times New Roman" w:hAnsi="Times New Roman"/>
          <w:color w:val="000000"/>
          <w:sz w:val="22"/>
        </w:rPr>
        <w:t>. The Company undertakes to keep an uncertificated securities book (</w:t>
      </w:r>
      <w:r>
        <w:rPr>
          <w:rFonts w:ascii="Times New Roman" w:hAnsi="Times New Roman"/>
          <w:i/>
          <w:color w:val="000000"/>
          <w:sz w:val="22"/>
        </w:rPr>
        <w:t>Wertrechtebuch</w:t>
      </w:r>
      <w:r>
        <w:rPr>
          <w:rFonts w:ascii="Times New Roman" w:hAnsi="Times New Roman"/>
          <w:color w:val="000000"/>
          <w:sz w:val="22"/>
        </w:rPr>
        <w:t>) in accordance with article 973c paragraph 2 CO.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Conditions to the Agent’s Obligations</w:t>
      </w:r>
      <w:r>
        <w:rPr>
          <w:rFonts w:ascii="Times New Roman" w:hAnsi="Times New Roman"/>
          <w:color w:val="000000"/>
          <w:sz w:val="22"/>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Registration Statement Effective</w:t>
      </w:r>
      <w:r>
        <w:rPr>
          <w:rFonts w:ascii="Times New Roman" w:hAnsi="Times New Roman"/>
          <w:color w:val="000000"/>
          <w:sz w:val="22"/>
        </w:rPr>
        <w:t>. The Registration Statement shall be effective and shall be available for all offers and sales of Placement Shares (i) that have been issued pursuant to all prior Placement Notices and (ii) that will be issued pursuant to any Placement Notice.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[Reserved]</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No Material Notices</w:t>
      </w:r>
      <w:r>
        <w:rPr>
          <w:rFonts w:ascii="Times New Roman" w:hAnsi="Times New Roman"/>
          <w:color w:val="000000"/>
          <w:sz w:val="22"/>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No Misstatement or Material Omission</w:t>
      </w:r>
      <w:r>
        <w:rPr>
          <w:rFonts w:ascii="Times New Roman" w:hAnsi="Times New Roman"/>
          <w:color w:val="000000"/>
          <w:sz w:val="22"/>
        </w:rPr>
        <w:t>. The Agent shall not have advised the Company that the Registration Statement or Prospectus, or any amendment or supplement thereto, contains an untrue statement of fact that in the Agent’s opinion is material, or omits to state a fact that in the Agent’s opinion is material and is required to be stated therein or is necessary to make the statements therein not misleading.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Material Changes</w:t>
      </w:r>
      <w:r>
        <w:rPr>
          <w:rFonts w:ascii="Times New Roman" w:hAnsi="Times New Roman"/>
          <w:color w:val="000000"/>
          <w:sz w:val="22"/>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result in a Material Adverse Effect,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Company Counsel Legal Opinions</w:t>
      </w:r>
      <w:r>
        <w:rPr>
          <w:rFonts w:ascii="Times New Roman" w:hAnsi="Times New Roman"/>
          <w:color w:val="000000"/>
          <w:sz w:val="22"/>
        </w:rPr>
        <w:t>. The Agent shall have received the opinions and negative assurance letters, as applicable, of Company Counsel, Intellectual Property Counsels and Swiss Counsel required to be delivered pursuant to Section 7(n), Section 7(o) and Section 7(p), as applicable, on or before the date on which such delivery of such opinions and negative assurance letters are required pursuant to Section 7(n), Section 7(o) and Section 7(p), as applicable.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Agent’s Counsel Legal Opinion</w:t>
      </w:r>
      <w:r>
        <w:rPr>
          <w:rFonts w:ascii="Times New Roman" w:hAnsi="Times New Roman"/>
          <w:color w:val="000000"/>
          <w:sz w:val="22"/>
        </w:rPr>
        <w:t>. The Agent shall have received from Davis Polk &amp; Wardwell LLP, counsel for the Agent, such opinion or opinions, on or before the date on which the delivery of the Company Counsel legal opinion is required pursuant to Section 7(n), with respect to such matters as the Agent may reasonably require, and the Company shall have furnished to such counsel such documents as they may request to enable them to pass upon such matters.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Comfort Letter</w:t>
      </w:r>
      <w:r>
        <w:rPr>
          <w:rFonts w:ascii="Times New Roman" w:hAnsi="Times New Roman"/>
          <w:color w:val="000000"/>
          <w:sz w:val="22"/>
        </w:rPr>
        <w:t>. The Agent shall have received the Comfort Letter required to be delivered pursuant to Section 7(q) on or before the date on which such delivery of such Comfort Letter is required pursuant to Section 7(q).</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Representation Certificate</w:t>
      </w:r>
      <w:r>
        <w:rPr>
          <w:rFonts w:ascii="Times New Roman" w:hAnsi="Times New Roman"/>
          <w:color w:val="000000"/>
          <w:sz w:val="22"/>
        </w:rPr>
        <w:t>. The Agent shall have received the certificate required to be delivered pursuant to Section 7(m) on or before the date on which delivery of such certificate is required pursuant to Section 7(m).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Secretary’s Certificate</w:t>
      </w:r>
      <w:r>
        <w:rPr>
          <w:rFonts w:ascii="Times New Roman" w:hAnsi="Times New Roman"/>
          <w:color w:val="000000"/>
          <w:sz w:val="22"/>
        </w:rPr>
        <w:t>. On or prior to the First Placement Notice Date, the Agent shall have received a certificate, signed on behalf of the Company by the Secretary of the Company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attested to by an executive officer of the Company, dated as of such date and in form and substance satisfactory to the Agent and its counsel, certifying as to (i) the Company’s Articles of Association, (ii) the Company’s Organizational Regulations (</w:t>
      </w:r>
      <w:r>
        <w:rPr>
          <w:rFonts w:ascii="Times New Roman" w:hAnsi="Times New Roman"/>
          <w:i/>
          <w:color w:val="000000"/>
          <w:sz w:val="22"/>
        </w:rPr>
        <w:t>Organisationsreglement</w:t>
      </w:r>
      <w:r>
        <w:rPr>
          <w:rFonts w:ascii="Times New Roman" w:hAnsi="Times New Roman"/>
          <w:color w:val="000000"/>
          <w:sz w:val="22"/>
        </w:rPr>
        <w:t xml:space="preserve">), (iii) the resolutions of the Board or duly authorized committee thereof authorizing the execution, delivery and performance of this Agreement and the issuance and sale of the Placement Shares and (iv) the incumbency of the officers of the Company duly authorized to execute this Agreement and the other documents contemplated by this Agreement (including each of the officers set forth on </w:t>
      </w:r>
      <w:r>
        <w:rPr>
          <w:rFonts w:ascii="Times New Roman" w:hAnsi="Times New Roman"/>
          <w:b/>
          <w:color w:val="000000"/>
          <w:sz w:val="22"/>
          <w:u w:val="single"/>
        </w:rPr>
        <w:t>Schedule 2</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No Suspension</w:t>
      </w:r>
      <w:r>
        <w:rPr>
          <w:rFonts w:ascii="Times New Roman" w:hAnsi="Times New Roman"/>
          <w:color w:val="000000"/>
          <w:sz w:val="22"/>
        </w:rPr>
        <w:t>. The Ordinary Shares shall be duly listed, and admitted and authorized for trading, subject to official notice of issuance, on Nasdaq. Trading in the Ordinary Shares shall not have been suspended on, and the Ordinary Shares shall not have been delisted from, Nasdaq.</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(l) </w:t>
      </w:r>
      <w:r>
        <w:rPr>
          <w:rFonts w:ascii="Times New Roman" w:hAnsi="Times New Roman"/>
          <w:color w:val="000000"/>
          <w:sz w:val="22"/>
          <w:u w:val="single"/>
        </w:rPr>
        <w:t>Other Materials</w:t>
      </w:r>
      <w:r>
        <w:rPr>
          <w:rFonts w:ascii="Times New Roman" w:hAnsi="Times New Roman"/>
          <w:color w:val="000000"/>
          <w:sz w:val="22"/>
        </w:rPr>
        <w:t>. On each date on which the Company is required to deliver a certificate pursuant to Section 7(m),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furnished the Agent with conformed copies of such opinions, certificates, letters and other documents as the Agent may have reasonably requested.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(m) </w:t>
      </w:r>
      <w:r>
        <w:rPr>
          <w:rFonts w:ascii="Times New Roman" w:hAnsi="Times New Roman"/>
          <w:color w:val="000000"/>
          <w:sz w:val="22"/>
          <w:u w:val="single"/>
        </w:rPr>
        <w:t>Securities Act Filings Made</w:t>
      </w:r>
      <w:r>
        <w:rPr>
          <w:rFonts w:ascii="Times New Roman" w:hAnsi="Times New Roman"/>
          <w:color w:val="000000"/>
          <w:sz w:val="22"/>
        </w:rPr>
        <w:t>. All filings with the Commission required by Rule 424(b)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(n) </w:t>
      </w:r>
      <w:r>
        <w:rPr>
          <w:rFonts w:ascii="Times New Roman" w:hAnsi="Times New Roman"/>
          <w:color w:val="000000"/>
          <w:sz w:val="22"/>
          <w:u w:val="single"/>
        </w:rPr>
        <w:t>Approval for Listing</w:t>
      </w:r>
      <w:r>
        <w:rPr>
          <w:rFonts w:ascii="Times New Roman" w:hAnsi="Times New Roman"/>
          <w:color w:val="000000"/>
          <w:sz w:val="22"/>
        </w:rPr>
        <w:t>. Either (i) the Placement Shares shall have been approved for listing on Nasdaq, subject only to notice of issuance, or (ii) the Company shall have filed an application for listing of the Placement Shares on Nasdaq at, or prior to, the First Placement Notice Date and Nasdaq shall have reviewed such application and not provided any objections thereto.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(o) </w:t>
      </w:r>
      <w:r>
        <w:rPr>
          <w:rFonts w:ascii="Times New Roman" w:hAnsi="Times New Roman"/>
          <w:color w:val="000000"/>
          <w:sz w:val="22"/>
          <w:u w:val="single"/>
        </w:rPr>
        <w:t>FINRA</w:t>
      </w:r>
      <w:r>
        <w:rPr>
          <w:rFonts w:ascii="Times New Roman" w:hAnsi="Times New Roman"/>
          <w:color w:val="000000"/>
          <w:sz w:val="22"/>
        </w:rPr>
        <w:t>. FINRA shall have raised no objection to the terms of the offering contemplated hereby and the amount of compensation allowable or payable to the Agent as described in the Prospectus.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(p) </w:t>
      </w:r>
      <w:r>
        <w:rPr>
          <w:rFonts w:ascii="Times New Roman" w:hAnsi="Times New Roman"/>
          <w:color w:val="000000"/>
          <w:sz w:val="22"/>
          <w:u w:val="single"/>
        </w:rPr>
        <w:t>No Termination Event</w:t>
      </w:r>
      <w:r>
        <w:rPr>
          <w:rFonts w:ascii="Times New Roman" w:hAnsi="Times New Roman"/>
          <w:color w:val="000000"/>
          <w:sz w:val="22"/>
        </w:rPr>
        <w:t>. There shall not have occurred any event that would permit the Agent to terminate this Agreement pursuant to Section 11(a).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Indemnification and Contribution</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Company Indemnification</w:t>
      </w:r>
      <w:r>
        <w:rPr>
          <w:rFonts w:ascii="Times New Roman" w:hAnsi="Times New Roman"/>
          <w:color w:val="000000"/>
          <w:sz w:val="22"/>
        </w:rPr>
        <w:t>.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any and all investigative, legal and other expenses reasonably incurred in connection with, and any and all amounts paid in settlement (in accordance with this Section 9), any action, suit, investigation or proceeding between any of the indemnified parties and any indemnifying parties or between any indemnified party and any third party (including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(y) the omission or alleged omission to state in any such document a material fact required to be stated therein or necessary to make the statements therein (solely with respect to the Prospectus, in light of the circumstances under which they were made) not misleading;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Agent Indemnification</w:t>
      </w:r>
      <w:r>
        <w:rPr>
          <w:rFonts w:ascii="Times New Roman" w:hAnsi="Times New Roman"/>
          <w:color w:val="000000"/>
          <w:sz w:val="22"/>
        </w:rPr>
        <w:t>. The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Procedure</w:t>
      </w:r>
      <w:r>
        <w:rPr>
          <w:rFonts w:ascii="Times New Roman" w:hAnsi="Times New Roman"/>
          <w:color w:val="000000"/>
          <w:sz w:val="22"/>
        </w:rPr>
        <w:t>.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(1) 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Settlement Without Consent if Failure to Reimburse</w:t>
      </w:r>
      <w:r>
        <w:rPr>
          <w:rFonts w:ascii="Times New Roman" w:hAnsi="Times New Roman"/>
          <w:i/>
          <w:color w:val="000000"/>
          <w:sz w:val="22"/>
        </w:rPr>
        <w:t xml:space="preserve">. </w:t>
      </w:r>
      <w:r>
        <w:rPr>
          <w:rFonts w:ascii="Times New Roman" w:hAnsi="Times New Roman"/>
          <w:color w:val="000000"/>
          <w:sz w:val="22"/>
        </w:rPr>
        <w:t>If an indemnified party shall have requested an indemnifying party to reimburse the indemnified party for reasonable fees and expenses of 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Contribution</w:t>
      </w:r>
      <w:r>
        <w:rPr>
          <w:rFonts w:ascii="Times New Roman" w:hAnsi="Times New Roman"/>
          <w:color w:val="000000"/>
          <w:sz w:val="22"/>
        </w:rPr>
        <w:t>.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investigation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prevent such statement or omission. The Company and the Agent agree that it would not be just and equitable if contributions pursuant to this Section 9(e) were to be determined by</w:t>
      </w:r>
      <w:r>
        <w:rPr>
          <w:rFonts w:ascii="Times New Roman" w:hAnsi="Times New Roman"/>
          <w:color w:val="000000"/>
          <w:sz w:val="20"/>
        </w:rPr>
        <w:t xml:space="preserve">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10. </w:t>
      </w:r>
      <w:r>
        <w:rPr>
          <w:rFonts w:ascii="Times New Roman" w:hAnsi="Times New Roman"/>
          <w:color w:val="000000"/>
          <w:sz w:val="22"/>
          <w:u w:val="single"/>
        </w:rPr>
        <w:t>Representations and Agreements to Survive Delivery</w:t>
      </w:r>
      <w:r>
        <w:rPr>
          <w:rFonts w:ascii="Times New Roman" w:hAnsi="Times New Roman"/>
          <w:color w:val="000000"/>
          <w:sz w:val="22"/>
        </w:rPr>
        <w:t>.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Termination</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(a) The Agent shall have the right, by giving notice as hereinafter specified, at any time to terminate this Agreement if (i) any Material Adverse Effect, or any development that could reasonably be expected to result in a Material Adverse Effect,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in the case of any failure of the Company to deliver (or cause another person to deliver) any certification, opinion or letter required under Section 7(m), Section 7(n), Section 7(o), Section 7(p) or Section 7(q), the Agent’s right to terminate shall not arise unless such failure to deliver (or cause to be delivered) continues for more than 15 calendar days from the date such delivery was required, (iii) any 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New York or Swiss authorities, or (vi) there shall have occurred any outbreak or escalation of national or international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hostilities or any crisis or calamity, or any change in the United States or international financial markets, or any substantial change or development involving a prospective substantial change in United States or international political, financial or economic conditions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16 and Section 17 hereof shall remain in full force and effect notwithstanding such termination. If the Agent elects to terminate this Agreement as provided in this Section 11(a), the Agent shall provide the required notice as specified in Section 12.</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 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 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(d) Unless earlier terminated pursuant to this Section 11, this Agreement shall automatically terminate upon the issuance and sale of all of the Placement Shares through the Agent on the terms and subject to the conditions set forth herein;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the provisions of Section 7(g), Section 9, Section 10, Section 11(f), Section 16 and Section 17 hereof shall remain in full force and effect notwithstanding such termination.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(e) This Agreement shall remain in full force and effect unless terminated pursuant to Sections 11(a), (b), (c), or (d) above or otherwise by mutual agreement of the parties;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any such termination by mutual agreement shall in all cases be deemed to provide that Section 7(g), Section 9, Section 10, Section 11(f), Section 16 and Section 17 shall remain in full force and effect.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(f) Any termination of this Agreement shall be effective on the date specified in such notice of termination; </w:t>
      </w:r>
      <w:r>
        <w:rPr>
          <w:rFonts w:ascii="Times New Roman" w:hAnsi="Times New Roman"/>
          <w:i/>
          <w:color w:val="000000"/>
          <w:sz w:val="22"/>
        </w:rPr>
        <w:t>provided, however</w:t>
      </w:r>
      <w:r>
        <w:rPr>
          <w:rFonts w:ascii="Times New Roman" w:hAnsi="Times New Roman"/>
          <w:color w:val="000000"/>
          <w:sz w:val="22"/>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Company shall remain obligated to reimburse the Agent’s expenses pursuant to Section 7(g).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12. </w:t>
      </w:r>
      <w:r>
        <w:rPr>
          <w:rFonts w:ascii="Times New Roman" w:hAnsi="Times New Roman"/>
          <w:color w:val="000000"/>
          <w:sz w:val="22"/>
          <w:u w:val="single"/>
        </w:rPr>
        <w:t>Notices</w:t>
      </w:r>
      <w:r>
        <w:rPr>
          <w:rFonts w:ascii="Times New Roman" w:hAnsi="Times New Roman"/>
          <w:color w:val="000000"/>
          <w:sz w:val="22"/>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Leerink Partners LLC</w:t>
      </w:r>
    </w:p>
    <w:p>
      <w:pPr>
        <w:pStyle w:val="TextBody"/>
        <w:bidi w:val="0"/>
        <w:jc w:val="left"/>
        <w:rPr>
          <w:rFonts w:ascii="Times New Roman" w:hAnsi="Times New Roman"/>
          <w:sz w:val="20"/>
        </w:rPr>
      </w:pPr>
      <w:r>
        <w:rPr>
          <w:rFonts w:ascii="Times New Roman" w:hAnsi="Times New Roman"/>
          <w:color w:val="000000"/>
          <w:sz w:val="22"/>
        </w:rPr>
        <w:t>1301 Avenue of the Americas, 5</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Floor</w:t>
      </w:r>
    </w:p>
    <w:p>
      <w:pPr>
        <w:pStyle w:val="TextBody"/>
        <w:bidi w:val="0"/>
        <w:jc w:val="left"/>
        <w:rPr>
          <w:rFonts w:ascii="Times New Roman" w:hAnsi="Times New Roman"/>
          <w:color w:val="000000"/>
          <w:sz w:val="22"/>
        </w:rPr>
      </w:pPr>
      <w:r>
        <w:rPr>
          <w:rFonts w:ascii="Times New Roman" w:hAnsi="Times New Roman"/>
          <w:color w:val="000000"/>
          <w:sz w:val="22"/>
        </w:rPr>
        <w:t>New York, New York 10019</w:t>
      </w:r>
    </w:p>
    <w:p>
      <w:pPr>
        <w:pStyle w:val="TextBody"/>
        <w:bidi w:val="0"/>
        <w:jc w:val="left"/>
        <w:rPr>
          <w:rFonts w:ascii="Times New Roman" w:hAnsi="Times New Roman"/>
          <w:color w:val="000000"/>
          <w:sz w:val="22"/>
        </w:rPr>
      </w:pPr>
      <w:r>
        <w:rPr>
          <w:rFonts w:ascii="Times New Roman" w:hAnsi="Times New Roman"/>
          <w:color w:val="000000"/>
          <w:sz w:val="22"/>
        </w:rPr>
        <w:t>Attention: Peter M. Fry</w:t>
      </w:r>
    </w:p>
    <w:p>
      <w:pPr>
        <w:pStyle w:val="TextBody"/>
        <w:bidi w:val="0"/>
        <w:jc w:val="left"/>
        <w:rPr>
          <w:rFonts w:ascii="Times New Roman" w:hAnsi="Times New Roman"/>
          <w:color w:val="000000"/>
          <w:sz w:val="22"/>
        </w:rPr>
      </w:pPr>
      <w:r>
        <w:rPr>
          <w:rFonts w:ascii="Times New Roman" w:hAnsi="Times New Roman"/>
          <w:color w:val="000000"/>
          <w:sz w:val="22"/>
        </w:rPr>
        <w:t>E-mail: peter.fry@leerink.com</w:t>
      </w: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with a copy (which shall not constitute notice) to:</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Leerink Partners LLC</w:t>
      </w:r>
    </w:p>
    <w:p>
      <w:pPr>
        <w:pStyle w:val="TextBody"/>
        <w:bidi w:val="0"/>
        <w:jc w:val="left"/>
        <w:rPr>
          <w:rFonts w:ascii="Times New Roman" w:hAnsi="Times New Roman"/>
          <w:sz w:val="20"/>
        </w:rPr>
      </w:pPr>
      <w:r>
        <w:rPr>
          <w:rFonts w:ascii="Times New Roman" w:hAnsi="Times New Roman"/>
          <w:color w:val="000000"/>
          <w:sz w:val="22"/>
        </w:rPr>
        <w:t>1301 Avenue of the Americas, 5</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Floor</w:t>
      </w:r>
    </w:p>
    <w:p>
      <w:pPr>
        <w:pStyle w:val="TextBody"/>
        <w:bidi w:val="0"/>
        <w:jc w:val="left"/>
        <w:rPr>
          <w:rFonts w:ascii="Times New Roman" w:hAnsi="Times New Roman"/>
          <w:color w:val="000000"/>
          <w:sz w:val="22"/>
        </w:rPr>
      </w:pPr>
      <w:r>
        <w:rPr>
          <w:rFonts w:ascii="Times New Roman" w:hAnsi="Times New Roman"/>
          <w:color w:val="000000"/>
          <w:sz w:val="22"/>
        </w:rPr>
        <w:t>New York, New York 10019</w:t>
      </w:r>
    </w:p>
    <w:p>
      <w:pPr>
        <w:pStyle w:val="TextBody"/>
        <w:bidi w:val="0"/>
        <w:jc w:val="left"/>
        <w:rPr>
          <w:rFonts w:ascii="Times New Roman" w:hAnsi="Times New Roman"/>
          <w:color w:val="000000"/>
          <w:sz w:val="22"/>
        </w:rPr>
      </w:pPr>
      <w:r>
        <w:rPr>
          <w:rFonts w:ascii="Times New Roman" w:hAnsi="Times New Roman"/>
          <w:color w:val="000000"/>
          <w:sz w:val="22"/>
        </w:rPr>
        <w:t>Attention: Legal Department</w:t>
      </w:r>
    </w:p>
    <w:p>
      <w:pPr>
        <w:pStyle w:val="TextBody"/>
        <w:bidi w:val="0"/>
        <w:jc w:val="left"/>
        <w:rPr>
          <w:rFonts w:ascii="Times New Roman" w:hAnsi="Times New Roman"/>
          <w:color w:val="000000"/>
          <w:sz w:val="22"/>
        </w:rPr>
      </w:pPr>
      <w:r>
        <w:rPr>
          <w:rFonts w:ascii="Times New Roman" w:hAnsi="Times New Roman"/>
          <w:color w:val="000000"/>
          <w:sz w:val="22"/>
        </w:rPr>
        <w:t>E-mail: LegalNotice@leerink.com</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and if to the Company, shall be delivered to:</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Bahnhofstrasse 20, CH-6300, Zug, Switzerland, Attention: Chief Executive Officer</w:t>
      </w:r>
    </w:p>
    <w:p>
      <w:pPr>
        <w:pStyle w:val="TextBody"/>
        <w:bidi w:val="0"/>
        <w:jc w:val="left"/>
        <w:rPr>
          <w:rFonts w:ascii="Times New Roman" w:hAnsi="Times New Roman"/>
          <w:color w:val="000000"/>
          <w:sz w:val="22"/>
        </w:rPr>
      </w:pPr>
      <w:r>
        <w:rPr>
          <w:rFonts w:ascii="Times New Roman" w:hAnsi="Times New Roman"/>
          <w:color w:val="000000"/>
          <w:sz w:val="22"/>
        </w:rPr>
        <w:t>E-mail: riad.sherif@oculis.com and legal@oculis.com</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with copies (which shall not constitute notice) to:</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Cooley LLP</w:t>
      </w:r>
    </w:p>
    <w:p>
      <w:pPr>
        <w:pStyle w:val="TextBody"/>
        <w:bidi w:val="0"/>
        <w:jc w:val="left"/>
        <w:rPr>
          <w:rFonts w:ascii="Times New Roman" w:hAnsi="Times New Roman"/>
          <w:color w:val="000000"/>
          <w:sz w:val="22"/>
        </w:rPr>
      </w:pPr>
      <w:r>
        <w:rPr>
          <w:rFonts w:ascii="Times New Roman" w:hAnsi="Times New Roman"/>
          <w:color w:val="000000"/>
          <w:sz w:val="22"/>
        </w:rPr>
        <w:t>11951 Freedom Drive</w:t>
      </w:r>
    </w:p>
    <w:p>
      <w:pPr>
        <w:pStyle w:val="TextBody"/>
        <w:bidi w:val="0"/>
        <w:jc w:val="left"/>
        <w:rPr>
          <w:rFonts w:ascii="Times New Roman" w:hAnsi="Times New Roman"/>
          <w:color w:val="000000"/>
          <w:sz w:val="22"/>
        </w:rPr>
      </w:pPr>
      <w:r>
        <w:rPr>
          <w:rFonts w:ascii="Times New Roman" w:hAnsi="Times New Roman"/>
          <w:color w:val="000000"/>
          <w:sz w:val="22"/>
        </w:rPr>
        <w:t>Reston, Virginia 20190</w:t>
      </w:r>
    </w:p>
    <w:p>
      <w:pPr>
        <w:pStyle w:val="TextBody"/>
        <w:bidi w:val="0"/>
        <w:jc w:val="left"/>
        <w:rPr>
          <w:rFonts w:ascii="Times New Roman" w:hAnsi="Times New Roman"/>
          <w:color w:val="000000"/>
          <w:sz w:val="22"/>
        </w:rPr>
      </w:pPr>
      <w:r>
        <w:rPr>
          <w:rFonts w:ascii="Times New Roman" w:hAnsi="Times New Roman"/>
          <w:color w:val="000000"/>
          <w:sz w:val="22"/>
        </w:rPr>
        <w:t>Attention: Divakar Gupta</w:t>
      </w:r>
    </w:p>
    <w:p>
      <w:pPr>
        <w:pStyle w:val="TextBody"/>
        <w:bidi w:val="0"/>
        <w:jc w:val="left"/>
        <w:rPr>
          <w:rFonts w:ascii="Times New Roman" w:hAnsi="Times New Roman"/>
          <w:color w:val="000000"/>
          <w:sz w:val="22"/>
        </w:rPr>
      </w:pPr>
      <w:r>
        <w:rPr>
          <w:rFonts w:ascii="Times New Roman" w:hAnsi="Times New Roman"/>
          <w:color w:val="000000"/>
          <w:sz w:val="22"/>
        </w:rPr>
        <w:t>E-mail: dgupta@cooley.com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Each party to this Agreement may change such address for notices by sending to the parties to this Agreement written notice of a new address for such purpose. Each such notice or other communication shall be deemed given (i) when delivered personally on or before 4:30 P.M., New York City time, on a Business Day, or, if such day is not a Business Day, on the next succeeding Business Day, (ii) by Electronic Notice as set forth in the next paragraph, (iii) 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Times New Roman" w:hAnsi="Times New Roman"/>
          <w:b/>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shall mean any day on which the Nasdaq and commercial banks in the City of New York are open for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An electronic communication (“</w:t>
      </w:r>
      <w:r>
        <w:rPr>
          <w:rFonts w:ascii="Times New Roman" w:hAnsi="Times New Roman"/>
          <w:b/>
          <w:color w:val="000000"/>
          <w:sz w:val="22"/>
          <w:u w:val="single"/>
        </w:rPr>
        <w:t>Electronic Notice</w:t>
      </w:r>
      <w:r>
        <w:rPr>
          <w:rFonts w:ascii="Times New Roman" w:hAnsi="Times New Roman"/>
          <w:color w:val="000000"/>
          <w:sz w:val="20"/>
        </w:rPr>
        <w:t>”</w:t>
      </w:r>
      <w:r>
        <w:rPr>
          <w:rFonts w:ascii="Times New Roman" w:hAnsi="Times New Roman"/>
          <w:color w:val="000000"/>
          <w:sz w:val="22"/>
        </w:rPr>
        <w:t>) shall be deemed written notice for purposes of this Section 12 if sent to the electronic mail address specified by the receiving party in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Times New Roman" w:hAnsi="Times New Roman"/>
          <w:b/>
          <w:color w:val="000000"/>
          <w:sz w:val="22"/>
          <w:u w:val="single"/>
        </w:rPr>
        <w:t>Nonelectronic Notice</w:t>
      </w:r>
      <w:r>
        <w:rPr>
          <w:rFonts w:ascii="Times New Roman" w:hAnsi="Times New Roman"/>
          <w:color w:val="000000"/>
          <w:sz w:val="20"/>
        </w:rPr>
        <w:t>”</w:t>
      </w:r>
      <w:r>
        <w:rPr>
          <w:rFonts w:ascii="Times New Roman" w:hAnsi="Times New Roman"/>
          <w:color w:val="000000"/>
          <w:sz w:val="22"/>
        </w:rPr>
        <w:t>), which shall be sent to the requesting party within 10 days of receipt of the written request for Nonelectronic Notice.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13. </w:t>
      </w:r>
      <w:r>
        <w:rPr>
          <w:rFonts w:ascii="Times New Roman" w:hAnsi="Times New Roman"/>
          <w:color w:val="000000"/>
          <w:sz w:val="22"/>
          <w:u w:val="single"/>
        </w:rPr>
        <w:t>Successors and Assigns</w:t>
      </w:r>
      <w:r>
        <w:rPr>
          <w:rFonts w:ascii="Times New Roman" w:hAnsi="Times New Roman"/>
          <w:color w:val="000000"/>
          <w:sz w:val="22"/>
        </w:rPr>
        <w:t xml:space="preserve">. This Agreement shall inure to the benefit of and be binding upon the Company and the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hAnsi="Times New Roman"/>
          <w:i/>
          <w:color w:val="000000"/>
          <w:sz w:val="22"/>
        </w:rPr>
        <w:t>provided, however</w:t>
      </w:r>
      <w:r>
        <w:rPr>
          <w:rFonts w:ascii="Times New Roman" w:hAnsi="Times New Roman"/>
          <w:color w:val="000000"/>
          <w:sz w:val="22"/>
        </w:rPr>
        <w:t>, that the Agent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may assign its rights and obligations hereunder to an affiliate of the Agent without obtaining the Company’s consent, so long as such affiliate is a registered broker-dealer.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14. </w:t>
      </w:r>
      <w:r>
        <w:rPr>
          <w:rFonts w:ascii="Times New Roman" w:hAnsi="Times New Roman"/>
          <w:color w:val="000000"/>
          <w:sz w:val="22"/>
          <w:u w:val="single"/>
        </w:rPr>
        <w:t>Adjustments for Share Splits</w:t>
      </w:r>
      <w:r>
        <w:rPr>
          <w:rFonts w:ascii="Times New Roman" w:hAnsi="Times New Roman"/>
          <w:color w:val="000000"/>
          <w:sz w:val="22"/>
        </w:rPr>
        <w:t>. The parties acknowledge and agree that all share-related numbers contained in this Agreement shall be adjusted to take into account any share split, share dividend or similar event effected with respect to the Ordinary Shares.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15. </w:t>
      </w:r>
      <w:r>
        <w:rPr>
          <w:rFonts w:ascii="Times New Roman" w:hAnsi="Times New Roman"/>
          <w:color w:val="000000"/>
          <w:sz w:val="22"/>
          <w:u w:val="single"/>
        </w:rPr>
        <w:t>Entire Agreement; Amendment; Severability; Waiver</w:t>
      </w:r>
      <w:r>
        <w:rPr>
          <w:rFonts w:ascii="Times New Roman" w:hAnsi="Times New Roman"/>
          <w:color w:val="000000"/>
          <w:sz w:val="22"/>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w:t>
      </w:r>
      <w:r>
        <w:rPr>
          <w:rFonts w:ascii="Times New Roman" w:hAnsi="Times New Roman"/>
          <w:b/>
          <w:color w:val="000000"/>
          <w:sz w:val="22"/>
          <w:u w:val="single"/>
        </w:rPr>
        <w:t>Schedule 2</w:t>
      </w:r>
      <w:r>
        <w:rPr>
          <w:rFonts w:ascii="Times New Roman" w:hAnsi="Times New Roman"/>
          <w:color w:val="000000"/>
          <w:sz w:val="20"/>
        </w:rPr>
        <w:t xml:space="preserve"> </w:t>
      </w:r>
      <w:r>
        <w:rPr>
          <w:rFonts w:ascii="Times New Roman" w:hAnsi="Times New Roman"/>
          <w:color w:val="000000"/>
          <w:sz w:val="22"/>
        </w:rPr>
        <w:t xml:space="preserve">of this Agreement may be amended by either party from time to time by sending a notice containing a revised </w:t>
      </w:r>
      <w:r>
        <w:rPr>
          <w:rFonts w:ascii="Times New Roman" w:hAnsi="Times New Roman"/>
          <w:b/>
          <w:color w:val="000000"/>
          <w:sz w:val="22"/>
          <w:u w:val="single"/>
        </w:rPr>
        <w:t>Schedule 2</w:t>
      </w:r>
      <w:r>
        <w:rPr>
          <w:rFonts w:ascii="Times New Roman" w:hAnsi="Times New Roman"/>
          <w:color w:val="000000"/>
          <w:sz w:val="20"/>
        </w:rPr>
        <w:t xml:space="preserve"> </w:t>
      </w:r>
      <w:r>
        <w:rPr>
          <w:rFonts w:ascii="Times New Roman" w:hAnsi="Times New Roman"/>
          <w:color w:val="000000"/>
          <w:sz w:val="22"/>
        </w:rPr>
        <w:t xml:space="preserve">to the other party in the manner provided in Section 12 and, upon such amendment, all references herein to </w:t>
      </w:r>
      <w:r>
        <w:rPr>
          <w:rFonts w:ascii="Times New Roman" w:hAnsi="Times New Roman"/>
          <w:b/>
          <w:color w:val="000000"/>
          <w:sz w:val="22"/>
          <w:u w:val="single"/>
        </w:rPr>
        <w:t>Schedule 2</w:t>
      </w:r>
      <w:r>
        <w:rPr>
          <w:rFonts w:ascii="Times New Roman" w:hAnsi="Times New Roman"/>
          <w:color w:val="000000"/>
          <w:sz w:val="20"/>
        </w:rPr>
        <w:t xml:space="preserve"> </w:t>
      </w:r>
      <w:r>
        <w:rPr>
          <w:rFonts w:ascii="Times New Roman" w:hAnsi="Times New Roman"/>
          <w:color w:val="000000"/>
          <w:sz w:val="22"/>
        </w:rPr>
        <w:t xml:space="preserve">shall automatically be deemed to refer to such amended </w:t>
      </w:r>
      <w:r>
        <w:rPr>
          <w:rFonts w:ascii="Times New Roman" w:hAnsi="Times New Roman"/>
          <w:b/>
          <w:color w:val="000000"/>
          <w:sz w:val="22"/>
          <w:u w:val="single"/>
        </w:rPr>
        <w:t>Schedule 2</w:t>
      </w:r>
      <w:r>
        <w:rPr>
          <w:rFonts w:ascii="Times New Roman" w:hAnsi="Times New Roman"/>
          <w:color w:val="000000"/>
          <w:sz w:val="22"/>
        </w:rPr>
        <w: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16. </w:t>
      </w:r>
      <w:r>
        <w:rPr>
          <w:rFonts w:ascii="Times New Roman" w:hAnsi="Times New Roman"/>
          <w:b/>
          <w:color w:val="000000"/>
          <w:sz w:val="22"/>
          <w:u w:val="single"/>
        </w:rPr>
        <w:t>GOVERNING LAW AND TIME; WAIVER OF JURY TRIAL</w:t>
      </w:r>
      <w:r>
        <w:rPr>
          <w:rFonts w:ascii="Times New Roman" w:hAnsi="Times New Roman"/>
          <w:b/>
          <w:color w:val="000000"/>
          <w:sz w:val="22"/>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17. </w:t>
      </w:r>
      <w:r>
        <w:rPr>
          <w:rFonts w:ascii="Times New Roman" w:hAnsi="Times New Roman"/>
          <w:color w:val="000000"/>
          <w:sz w:val="22"/>
          <w:u w:val="single"/>
        </w:rPr>
        <w:t>Consent to Jurisdiction</w:t>
      </w:r>
      <w:r>
        <w:rPr>
          <w:rFonts w:ascii="Times New Roman" w:hAnsi="Times New Roman"/>
          <w:color w:val="000000"/>
          <w:sz w:val="22"/>
        </w:rPr>
        <w:t>. Any legal suit, action or proceeding arising out of or based upon this Agreement or the transactions contemplated hereby (“</w:t>
      </w:r>
      <w:r>
        <w:rPr>
          <w:rFonts w:ascii="Times New Roman" w:hAnsi="Times New Roman"/>
          <w:b/>
          <w:color w:val="000000"/>
          <w:sz w:val="22"/>
          <w:u w:val="single"/>
        </w:rPr>
        <w:t>Related Proceeding</w:t>
      </w:r>
      <w:r>
        <w:rPr>
          <w:rFonts w:ascii="Times New Roman" w:hAnsi="Times New Roman"/>
          <w:color w:val="000000"/>
          <w:sz w:val="20"/>
        </w:rPr>
        <w:t>”</w:t>
      </w:r>
      <w:r>
        <w:rPr>
          <w:rFonts w:ascii="Times New Roman" w:hAnsi="Times New Roman"/>
          <w:color w:val="000000"/>
          <w:sz w:val="22"/>
        </w:rPr>
        <w:t>)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hAnsi="Times New Roman"/>
          <w:b/>
          <w:color w:val="000000"/>
          <w:sz w:val="22"/>
          <w:u w:val="single"/>
        </w:rPr>
        <w:t>Specified Courts</w:t>
      </w:r>
      <w:r>
        <w:rPr>
          <w:rFonts w:ascii="Times New Roman" w:hAnsi="Times New Roman"/>
          <w:color w:val="000000"/>
          <w:sz w:val="20"/>
        </w:rPr>
        <w:t>”</w:t>
      </w:r>
      <w:r>
        <w:rPr>
          <w:rFonts w:ascii="Times New Roman" w:hAnsi="Times New Roman"/>
          <w:color w:val="000000"/>
          <w:sz w:val="22"/>
        </w:rPr>
        <w:t>), and each party irrevocably submits to the exclusive jurisdiction (except for proceedings instituted in regard to the enforcement of a judgment of any such court (a “</w:t>
      </w:r>
      <w:r>
        <w:rPr>
          <w:rFonts w:ascii="Times New Roman" w:hAnsi="Times New Roman"/>
          <w:b/>
          <w:color w:val="000000"/>
          <w:sz w:val="22"/>
          <w:u w:val="single"/>
        </w:rPr>
        <w:t>Related Judgment</w:t>
      </w:r>
      <w:r>
        <w:rPr>
          <w:rFonts w:ascii="Times New Roman" w:hAnsi="Times New Roman"/>
          <w:color w:val="000000"/>
          <w:sz w:val="20"/>
        </w:rPr>
        <w:t>”</w:t>
      </w:r>
      <w:r>
        <w:rPr>
          <w:rFonts w:ascii="Times New Roman" w:hAnsi="Times New Roman"/>
          <w:color w:val="000000"/>
          <w:sz w:val="22"/>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Each party not located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the United States irrevocably appoints Oculis US Inc. as its agent to receive service of process or other legal summons for purposes of any such suit, action or proceeding that may be instituted in any state or federal court in the City and County of New York. 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The Company agrees to indemnify the Agent, its directors, officers, affiliates and each person, if any, who controls the Agent within the meaning of Section 15 of the Securities Act or Section 20 of the Exchange Act, against any loss incurred by the Agent as a result of any judgment or order being given or made for any amount due hereunder and such judgment or order being expressed and paid in a currency (the “</w:t>
      </w:r>
      <w:r>
        <w:rPr>
          <w:rFonts w:ascii="Times New Roman" w:hAnsi="Times New Roman"/>
          <w:b/>
          <w:color w:val="000000"/>
          <w:sz w:val="22"/>
          <w:u w:val="single"/>
        </w:rPr>
        <w:t>Judgment Currency</w:t>
      </w:r>
      <w:r>
        <w:rPr>
          <w:rFonts w:ascii="Times New Roman" w:hAnsi="Times New Roman"/>
          <w:color w:val="000000"/>
          <w:sz w:val="20"/>
        </w:rPr>
        <w:t>”</w:t>
      </w:r>
      <w:r>
        <w:rPr>
          <w:rFonts w:ascii="Times New Roman" w:hAnsi="Times New Roman"/>
          <w:color w:val="000000"/>
          <w:sz w:val="22"/>
        </w:rPr>
        <w:t>) other than U.S. dollars and as a result of any variation as between (i) the rate of exchange at which the U.S. dollar amount is converted into the Judgment Currency for the 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the Company and shall continue in full force and effect notwithstanding any such judgment or order as aforesaid. The term “rate of exchange” shall include any premiums and costs of exchange payable in connection with the purchase of, or conversion into, the relevant currency.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18. </w:t>
      </w:r>
      <w:r>
        <w:rPr>
          <w:rFonts w:ascii="Times New Roman" w:hAnsi="Times New Roman"/>
          <w:color w:val="000000"/>
          <w:sz w:val="22"/>
          <w:u w:val="single"/>
        </w:rPr>
        <w:t>Construction</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 The section and exhibit headings herein are for convenience only and shall not affect the construction hereof.</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 Words defined in the singular shall have a comparable meaning when used in the plural, and vice versa.</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 The words “hereof,” “hereto,” “herein” and “hereunder” and words of similar import, when used in this Agreement, shall refer to this Agreement as a whole and not to any particular provision of this Agreement.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 Wherever the word “include,” “includes” or “including” is used in this Agreement, it shall be deemed to be followed by the words “without limitation.”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 References herein to any gender shall include each other gender.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19. </w:t>
      </w:r>
      <w:r>
        <w:rPr>
          <w:rFonts w:ascii="Times New Roman" w:hAnsi="Times New Roman"/>
          <w:color w:val="000000"/>
          <w:sz w:val="22"/>
          <w:u w:val="single"/>
        </w:rPr>
        <w:t>Permitted Free Writing Prospectuses</w:t>
      </w:r>
      <w:r>
        <w:rPr>
          <w:rFonts w:ascii="Times New Roman" w:hAnsi="Times New Roman"/>
          <w:color w:val="000000"/>
          <w:sz w:val="22"/>
        </w:rPr>
        <w:t>. The Company represents, warrants and agrees that it has not made and, unless it obtains the prior consent of the Agent, will not make any offer relating to the Placement Shares that would constitute an issuer free writing prospectus, or that would otherwise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36</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constitute a “free writing prospectus,” as defined in Rule 405, required to be filed with the Commission. The Agent represents, warrants and agrees that, unless it obtains the prior consent of the Company, it will not make any offer relating to the Ordinary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Times New Roman" w:hAnsi="Times New Roman"/>
          <w:b/>
          <w:color w:val="000000"/>
          <w:sz w:val="22"/>
          <w:u w:val="single"/>
        </w:rPr>
        <w:t>Permitted Free Writing Prospectus</w:t>
      </w:r>
      <w:r>
        <w:rPr>
          <w:rFonts w:ascii="Times New Roman" w:hAnsi="Times New Roman"/>
          <w:color w:val="000000"/>
          <w:sz w:val="22"/>
        </w:rPr>
        <w:t>.”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20. </w:t>
      </w:r>
      <w:r>
        <w:rPr>
          <w:rFonts w:ascii="Times New Roman" w:hAnsi="Times New Roman"/>
          <w:color w:val="000000"/>
          <w:sz w:val="22"/>
          <w:u w:val="single"/>
        </w:rPr>
        <w:t>Absence of Fiduciary Relationship</w:t>
      </w:r>
      <w:r>
        <w:rPr>
          <w:rFonts w:ascii="Times New Roman" w:hAnsi="Times New Roman"/>
          <w:color w:val="000000"/>
          <w:sz w:val="22"/>
        </w:rPr>
        <w:t>. The Company acknowledges and agrees that: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 the Agent has been retained to act as sales agent in connection with the sale of the Placement Shares, the Agent has acted at arms’ length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 the Company is capable of evaluating, and understanding and understands and accepts, the terms, risks and conditions of the transactions contemplated by this Agreement;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 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 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 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stockholders (or other equity holders), creditors or employees of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21. </w:t>
      </w:r>
      <w:r>
        <w:rPr>
          <w:rFonts w:ascii="Times New Roman" w:hAnsi="Times New Roman"/>
          <w:color w:val="000000"/>
          <w:sz w:val="22"/>
          <w:u w:val="single"/>
        </w:rPr>
        <w:t>Recognition of the U.S. Special Resolution Regimes</w:t>
      </w:r>
      <w:r>
        <w:rPr>
          <w:rFonts w:ascii="Times New Roman" w:hAnsi="Times New Roman"/>
          <w:color w:val="000000"/>
          <w:sz w:val="22"/>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In the event that the Agent is a Covered Entity and the Agent or a BHC Act Affiliate of the Agent becomes subject to a proceeding under a U.S. Special Resolution Regime, Default Rights under this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37</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For purposes of this Agreement, (A) “</w:t>
      </w:r>
      <w:r>
        <w:rPr>
          <w:rFonts w:ascii="Times New Roman" w:hAnsi="Times New Roman"/>
          <w:b/>
          <w:color w:val="000000"/>
          <w:sz w:val="22"/>
          <w:u w:val="single"/>
        </w:rPr>
        <w:t>BHC Act Affiliate</w:t>
      </w:r>
      <w:r>
        <w:rPr>
          <w:rFonts w:ascii="Times New Roman" w:hAnsi="Times New Roman"/>
          <w:color w:val="000000"/>
          <w:sz w:val="20"/>
        </w:rPr>
        <w:t xml:space="preserve">” </w:t>
      </w:r>
      <w:r>
        <w:rPr>
          <w:rFonts w:ascii="Times New Roman" w:hAnsi="Times New Roman"/>
          <w:color w:val="000000"/>
          <w:sz w:val="22"/>
        </w:rPr>
        <w:t>has the meaning assigned to the term “affiliate” in, and shall be interpreted in accordance with, 12 U.S.C. § 1841(k); (B) “</w:t>
      </w:r>
      <w:r>
        <w:rPr>
          <w:rFonts w:ascii="Times New Roman" w:hAnsi="Times New Roman"/>
          <w:b/>
          <w:color w:val="000000"/>
          <w:sz w:val="22"/>
          <w:u w:val="single"/>
        </w:rPr>
        <w:t>Covered Entity</w:t>
      </w:r>
      <w:r>
        <w:rPr>
          <w:rFonts w:ascii="Times New Roman" w:hAnsi="Times New Roman"/>
          <w:color w:val="000000"/>
          <w:sz w:val="20"/>
        </w:rPr>
        <w:t xml:space="preserve">” </w:t>
      </w:r>
      <w:r>
        <w:rPr>
          <w:rFonts w:ascii="Times New Roman" w:hAnsi="Times New Roman"/>
          <w:color w:val="000000"/>
          <w:sz w:val="22"/>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hAnsi="Times New Roman"/>
          <w:b/>
          <w:color w:val="000000"/>
          <w:sz w:val="22"/>
          <w:u w:val="single"/>
        </w:rPr>
        <w:t>Default Right</w:t>
      </w:r>
      <w:r>
        <w:rPr>
          <w:rFonts w:ascii="Times New Roman" w:hAnsi="Times New Roman"/>
          <w:color w:val="000000"/>
          <w:sz w:val="20"/>
        </w:rPr>
        <w:t xml:space="preserve">” </w:t>
      </w:r>
      <w:r>
        <w:rPr>
          <w:rFonts w:ascii="Times New Roman" w:hAnsi="Times New Roman"/>
          <w:color w:val="000000"/>
          <w:sz w:val="22"/>
        </w:rPr>
        <w:t>has the meaning assigned to that term in, and shall be interpreted in accordance with, 12 C.F.R. §§ 252.81, 47.2 or 382.1, as applicable; and (D) “</w:t>
      </w:r>
      <w:r>
        <w:rPr>
          <w:rFonts w:ascii="Times New Roman" w:hAnsi="Times New Roman"/>
          <w:b/>
          <w:color w:val="000000"/>
          <w:sz w:val="22"/>
          <w:u w:val="single"/>
        </w:rPr>
        <w:t>U.S. Special Resolution Regime</w:t>
      </w:r>
      <w:r>
        <w:rPr>
          <w:rFonts w:ascii="Times New Roman" w:hAnsi="Times New Roman"/>
          <w:color w:val="000000"/>
          <w:sz w:val="20"/>
        </w:rPr>
        <w:t xml:space="preserve">” </w:t>
      </w:r>
      <w:r>
        <w:rPr>
          <w:rFonts w:ascii="Times New Roman" w:hAnsi="Times New Roman"/>
          <w:color w:val="000000"/>
          <w:sz w:val="22"/>
        </w:rPr>
        <w:t>means each of (i) the Federal Deposit Insurance Act and the regulations promulgated thereunder and (ii) Title II of the Dodd-Frank Wall Street Reform and Consumer Protection Act and the regulations promulgated thereunder.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22. </w:t>
      </w:r>
      <w:r>
        <w:rPr>
          <w:rFonts w:ascii="Times New Roman" w:hAnsi="Times New Roman"/>
          <w:color w:val="000000"/>
          <w:sz w:val="22"/>
          <w:u w:val="single"/>
        </w:rPr>
        <w:t>Counterparts</w:t>
      </w:r>
      <w:r>
        <w:rPr>
          <w:rFonts w:ascii="Times New Roman" w:hAnsi="Times New Roman"/>
          <w:color w:val="000000"/>
          <w:sz w:val="22"/>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Counterparts may be delivered via facsimile, electronic mail (including any electronic signature covered by the U.S. federal Electronic Signatures in Global and National Commerce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23. </w:t>
      </w:r>
      <w:r>
        <w:rPr>
          <w:rFonts w:ascii="Times New Roman" w:hAnsi="Times New Roman"/>
          <w:color w:val="000000"/>
          <w:sz w:val="22"/>
          <w:u w:val="single"/>
        </w:rPr>
        <w:t>Use of Information</w:t>
      </w:r>
      <w:r>
        <w:rPr>
          <w:rFonts w:ascii="Times New Roman" w:hAnsi="Times New Roman"/>
          <w:color w:val="000000"/>
          <w:sz w:val="22"/>
        </w:rPr>
        <w:t>. The Agent may not provide any information gained in connection with this Agreement and the transactions contemplated by this Agreement, including due diligence, to any third party other than its legal counsel advising it on this Agreement and the transactions contemplated by this Agreement unless expressly approved by the Company in writing.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24. </w:t>
      </w:r>
      <w:r>
        <w:rPr>
          <w:rFonts w:ascii="Times New Roman" w:hAnsi="Times New Roman"/>
          <w:color w:val="000000"/>
          <w:sz w:val="22"/>
          <w:u w:val="single"/>
        </w:rPr>
        <w:t>Agent’s Information</w:t>
      </w:r>
      <w:r>
        <w:rPr>
          <w:rFonts w:ascii="Times New Roman" w:hAnsi="Times New Roman"/>
          <w:color w:val="000000"/>
          <w:sz w:val="22"/>
        </w:rPr>
        <w:t>. As used in this Agreement, “</w:t>
      </w:r>
      <w:r>
        <w:rPr>
          <w:rFonts w:ascii="Times New Roman" w:hAnsi="Times New Roman"/>
          <w:b/>
          <w:color w:val="000000"/>
          <w:sz w:val="22"/>
          <w:u w:val="single"/>
        </w:rPr>
        <w:t>Agent’s Information</w:t>
      </w:r>
      <w:r>
        <w:rPr>
          <w:rFonts w:ascii="Times New Roman" w:hAnsi="Times New Roman"/>
          <w:color w:val="000000"/>
          <w:sz w:val="20"/>
        </w:rPr>
        <w:t xml:space="preserve">” </w:t>
      </w:r>
      <w:r>
        <w:rPr>
          <w:rFonts w:ascii="Times New Roman" w:hAnsi="Times New Roman"/>
          <w:color w:val="000000"/>
          <w:sz w:val="22"/>
        </w:rPr>
        <w:t>means solely the following information in the Registration Statement and the Prospectus: the seventh paragraph under the heading “Plan of Distribution” in the Prospectus Supplement.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All references in this Agreement to “supplements” to the Prospectus shall include any supplements, “wrappers” or similar materials prepared in connection with any offering, sale or private placement of any Placement Shares by the Agent outside of the United States.</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[Remainder of Page Intentionally Blank]</w:t>
      </w:r>
    </w:p>
    <w:p>
      <w:pPr>
        <w:pStyle w:val="TextBody"/>
        <w:bidi w:val="0"/>
        <w:jc w:val="center"/>
        <w:rPr>
          <w:rFonts w:ascii="Times New Roman" w:hAnsi="Times New Roman"/>
          <w:color w:val="000000"/>
          <w:sz w:val="22"/>
        </w:rPr>
      </w:pPr>
      <w:r>
        <w:rPr>
          <w:rFonts w:ascii="Times New Roman" w:hAnsi="Times New Roman"/>
          <w:color w:val="000000"/>
          <w:sz w:val="22"/>
        </w:rPr>
        <w:t>38</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If the foregoing correctly sets forth the understanding between the Company and the Agent, please so indicate in the space provided below for that purpose, whereupon this letter shall constitute a binding agreement between the Company and the Agent.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Very truly yours,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OCULIS HOLDING AG</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Riad Sherif </w:t>
      </w:r>
    </w:p>
    <w:p>
      <w:pPr>
        <w:pStyle w:val="TextBody"/>
        <w:bidi w:val="0"/>
        <w:jc w:val="left"/>
        <w:rPr>
          <w:rFonts w:ascii="Times New Roman" w:hAnsi="Times New Roman"/>
          <w:color w:val="000000"/>
          <w:sz w:val="22"/>
        </w:rPr>
      </w:pPr>
      <w:r>
        <w:rPr>
          <w:rFonts w:ascii="Times New Roman" w:hAnsi="Times New Roman"/>
          <w:color w:val="000000"/>
          <w:sz w:val="22"/>
        </w:rPr>
        <w:t>Name: Riad Sherif</w:t>
      </w:r>
    </w:p>
    <w:p>
      <w:pPr>
        <w:pStyle w:val="TextBody"/>
        <w:bidi w:val="0"/>
        <w:jc w:val="left"/>
        <w:rPr>
          <w:rFonts w:ascii="Times New Roman" w:hAnsi="Times New Roman"/>
          <w:color w:val="000000"/>
          <w:sz w:val="22"/>
        </w:rPr>
      </w:pPr>
      <w:r>
        <w:rPr>
          <w:rFonts w:ascii="Times New Roman" w:hAnsi="Times New Roman"/>
          <w:color w:val="000000"/>
          <w:sz w:val="22"/>
        </w:rPr>
        <w:t>Title: Chief Executive Officer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 Sylvia Cheung </w:t>
      </w:r>
    </w:p>
    <w:p>
      <w:pPr>
        <w:pStyle w:val="TextBody"/>
        <w:bidi w:val="0"/>
        <w:jc w:val="left"/>
        <w:rPr>
          <w:rFonts w:ascii="Times New Roman" w:hAnsi="Times New Roman"/>
          <w:color w:val="000000"/>
          <w:sz w:val="22"/>
        </w:rPr>
      </w:pPr>
      <w:r>
        <w:rPr>
          <w:rFonts w:ascii="Times New Roman" w:hAnsi="Times New Roman"/>
          <w:color w:val="000000"/>
          <w:sz w:val="22"/>
        </w:rPr>
        <w:t>Name: Sylvia Cheung</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ACCEPTED as of the date</w:t>
      </w:r>
    </w:p>
    <w:p>
      <w:pPr>
        <w:pStyle w:val="TextBody"/>
        <w:bidi w:val="0"/>
        <w:jc w:val="left"/>
        <w:rPr>
          <w:rFonts w:ascii="Times New Roman" w:hAnsi="Times New Roman"/>
          <w:b/>
          <w:color w:val="000000"/>
          <w:sz w:val="22"/>
        </w:rPr>
      </w:pPr>
      <w:r>
        <w:rPr>
          <w:rFonts w:ascii="Times New Roman" w:hAnsi="Times New Roman"/>
          <w:b/>
          <w:color w:val="000000"/>
          <w:sz w:val="22"/>
        </w:rPr>
        <w:t>first-above written:</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LEERINK PARTNERS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By: </w:t>
      </w:r>
    </w:p>
    <w:p>
      <w:pPr>
        <w:pStyle w:val="TextBody"/>
        <w:bidi w:val="0"/>
        <w:jc w:val="left"/>
        <w:rPr>
          <w:rFonts w:ascii="Times New Roman" w:hAnsi="Times New Roman"/>
          <w:sz w:val="20"/>
        </w:rPr>
      </w:pPr>
      <w:r>
        <w:rPr>
          <w:rFonts w:ascii="Times New Roman" w:hAnsi="Times New Roman"/>
          <w:color w:val="000000"/>
          <w:sz w:val="22"/>
        </w:rPr>
        <w:t>Name: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Title: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4"/>
        </w:rPr>
      </w:pPr>
      <w:r>
        <w:rPr>
          <w:rFonts w:ascii="Times New Roman" w:hAnsi="Times New Roman"/>
          <w:color w:val="000000"/>
          <w:sz w:val="14"/>
        </w:rPr>
        <w:t xml:space="preserve">#101941232v5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ocs-ex99_1.htm"/>
      <w:bookmarkStart w:id="5" w:name="ksocsex99_1"/>
      <w:bookmarkEnd w:id="4"/>
      <w:bookmarkEnd w:id="5"/>
      <w:r>
        <w:rPr>
          <w:rFonts w:ascii="Times New Roman" w:hAnsi="Times New Roman"/>
          <w:b/>
          <w:color w:val="000000"/>
          <w:sz w:val="20"/>
        </w:rPr>
        <w:t>Exhibit 99.1</w:t>
      </w:r>
      <w:r>
        <w:br w:type="page"/>
      </w:r>
    </w:p>
    <w:p>
      <w:pPr>
        <w:pStyle w:val="TextBody"/>
        <w:bidi w:val="0"/>
        <w:jc w:val="right"/>
        <w:rPr/>
      </w:pPr>
      <w:r>
        <w:rPr/>
        <w:drawing>
          <wp:inline distT="0" distB="0" distL="0" distR="0">
            <wp:extent cx="283845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38450" cy="962025"/>
                    </a:xfrm>
                    <a:prstGeom prst="rect">
                      <a:avLst/>
                    </a:prstGeom>
                  </pic:spPr>
                </pic:pic>
              </a:graphicData>
            </a:graphic>
          </wp:inline>
        </w:drawing>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single" w:sz="12" w:space="1" w:color="000000"/>
        </w:pBdr>
        <w:bidi w:val="0"/>
        <w:jc w:val="left"/>
        <w:rPr/>
      </w:pPr>
      <w:r>
        <w:rPr/>
        <w:t> </w:t>
      </w:r>
    </w:p>
    <w:p>
      <w:pPr>
        <w:pStyle w:val="TextBody"/>
        <w:bidi w:val="0"/>
        <w:jc w:val="left"/>
        <w:rPr>
          <w:rFonts w:ascii="Times New Roman" w:hAnsi="Times New Roman"/>
          <w:b/>
          <w:color w:val="000000"/>
          <w:sz w:val="32"/>
        </w:rPr>
      </w:pPr>
      <w:r>
        <w:rPr>
          <w:rFonts w:ascii="Times New Roman" w:hAnsi="Times New Roman"/>
          <w:b/>
          <w:color w:val="000000"/>
          <w:sz w:val="32"/>
        </w:rPr>
        <w:t>Oculis Holding AG</w:t>
      </w:r>
    </w:p>
    <w:p>
      <w:pPr>
        <w:pStyle w:val="TextBody"/>
        <w:bidi w:val="0"/>
        <w:jc w:val="left"/>
        <w:rPr>
          <w:rFonts w:ascii="Times New Roman" w:hAnsi="Times New Roman"/>
          <w:color w:val="000000"/>
          <w:sz w:val="32"/>
        </w:rPr>
      </w:pPr>
      <w:r>
        <w:rPr>
          <w:rFonts w:ascii="Times New Roman" w:hAnsi="Times New Roman"/>
          <w:color w:val="000000"/>
          <w:sz w:val="32"/>
        </w:rPr>
        <w:t>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bookmarkStart w:id="6" w:name="toc_page"/>
      <w:bookmarkEnd w:id="6"/>
      <w:r>
        <w:rPr/>
        <w:t> </w:t>
      </w:r>
    </w:p>
    <w:tbl>
      <w:tblPr>
        <w:tblW w:w="8972" w:type="dxa"/>
        <w:jc w:val="left"/>
        <w:tblInd w:w="0" w:type="dxa"/>
        <w:tblLayout w:type="fixed"/>
        <w:tblCellMar>
          <w:top w:w="28" w:type="dxa"/>
          <w:left w:w="28" w:type="dxa"/>
          <w:bottom w:w="28" w:type="dxa"/>
          <w:right w:w="28" w:type="dxa"/>
        </w:tblCellMar>
      </w:tblPr>
      <w:tblGrid>
        <w:gridCol w:w="8611"/>
        <w:gridCol w:w="361"/>
      </w:tblGrid>
      <w:tr>
        <w:trPr/>
        <w:tc>
          <w:tcPr>
            <w:tcW w:w="86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Table of Contents</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11" w:type="dxa"/>
            <w:tcBorders/>
            <w:tcMar>
              <w:top w:w="0" w:type="dxa"/>
              <w:left w:w="0" w:type="dxa"/>
              <w:bottom w:w="0" w:type="dxa"/>
              <w:right w:w="0" w:type="dxa"/>
            </w:tcMar>
            <w:vAlign w:val="center"/>
          </w:tcPr>
          <w:p>
            <w:pPr>
              <w:pStyle w:val="TableContents"/>
              <w:bidi w:val="0"/>
              <w:spacing w:before="0" w:after="283"/>
              <w:jc w:val="left"/>
              <w:rPr/>
            </w:pPr>
            <w:hyperlink w:anchor="auditor_report">
              <w:r>
                <w:rPr>
                  <w:rStyle w:val="InternetLink"/>
                  <w:rFonts w:ascii="Times New Roman" w:hAnsi="Times New Roman"/>
                  <w:color w:val="0000FF"/>
                  <w:sz w:val="20"/>
                  <w:u w:val="single"/>
                </w:rPr>
                <w:t>Report of the statutory auditor to the General Meeting</w:t>
              </w:r>
            </w:hyperlink>
            <w:hyperlink w:anchor="auditor_report">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11" w:type="dxa"/>
            <w:tcBorders/>
            <w:tcMar>
              <w:top w:w="0" w:type="dxa"/>
              <w:left w:w="0" w:type="dxa"/>
              <w:bottom w:w="0" w:type="dxa"/>
              <w:right w:w="0" w:type="dxa"/>
            </w:tcMar>
            <w:vAlign w:val="center"/>
          </w:tcPr>
          <w:p>
            <w:pPr>
              <w:pStyle w:val="TableContents"/>
              <w:bidi w:val="0"/>
              <w:spacing w:before="0" w:after="283"/>
              <w:jc w:val="left"/>
              <w:rPr/>
            </w:pPr>
            <w:hyperlink w:anchor="statements_financial_position">
              <w:r>
                <w:rPr>
                  <w:rStyle w:val="InternetLink"/>
                  <w:rFonts w:ascii="Times New Roman" w:hAnsi="Times New Roman"/>
                  <w:color w:val="0000FF"/>
                  <w:sz w:val="20"/>
                  <w:u w:val="single"/>
                </w:rPr>
                <w:t>Consolidated Statements of Financial Position as of December 31, 2025 and 2024</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611" w:type="dxa"/>
            <w:tcBorders/>
            <w:tcMar>
              <w:top w:w="0" w:type="dxa"/>
              <w:left w:w="0" w:type="dxa"/>
              <w:bottom w:w="0" w:type="dxa"/>
              <w:right w:w="0" w:type="dxa"/>
            </w:tcMar>
            <w:vAlign w:val="center"/>
          </w:tcPr>
          <w:p>
            <w:pPr>
              <w:pStyle w:val="TableContents"/>
              <w:bidi w:val="0"/>
              <w:spacing w:before="0" w:after="283"/>
              <w:jc w:val="left"/>
              <w:rPr/>
            </w:pPr>
            <w:hyperlink w:anchor="statement_loss">
              <w:r>
                <w:rPr>
                  <w:rStyle w:val="InternetLink"/>
                  <w:rFonts w:ascii="Times New Roman" w:hAnsi="Times New Roman"/>
                  <w:color w:val="0000FF"/>
                  <w:sz w:val="20"/>
                  <w:u w:val="single"/>
                </w:rPr>
                <w:t>Consolidated Statements of Loss for the years ended December 31, 2025, 2024 and 2023</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611" w:type="dxa"/>
            <w:tcBorders/>
            <w:tcMar>
              <w:top w:w="0" w:type="dxa"/>
              <w:left w:w="0" w:type="dxa"/>
              <w:bottom w:w="0" w:type="dxa"/>
              <w:right w:w="0" w:type="dxa"/>
            </w:tcMar>
            <w:vAlign w:val="center"/>
          </w:tcPr>
          <w:p>
            <w:pPr>
              <w:pStyle w:val="TableContents"/>
              <w:bidi w:val="0"/>
              <w:spacing w:before="0" w:after="283"/>
              <w:jc w:val="left"/>
              <w:rPr/>
            </w:pPr>
            <w:hyperlink w:anchor="statemetnt_comprehensive_loss">
              <w:r>
                <w:rPr>
                  <w:rStyle w:val="InternetLink"/>
                  <w:rFonts w:ascii="Times New Roman" w:hAnsi="Times New Roman"/>
                  <w:color w:val="0000FF"/>
                  <w:sz w:val="20"/>
                  <w:u w:val="single"/>
                </w:rPr>
                <w:t>Consolidated Statements of Comprehensive Loss for the years ended December 31, 2025, 2024 and 2023</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611" w:type="dxa"/>
            <w:tcBorders/>
            <w:tcMar>
              <w:top w:w="0" w:type="dxa"/>
              <w:left w:w="0" w:type="dxa"/>
              <w:bottom w:w="0" w:type="dxa"/>
              <w:right w:w="0" w:type="dxa"/>
            </w:tcMar>
            <w:vAlign w:val="center"/>
          </w:tcPr>
          <w:p>
            <w:pPr>
              <w:pStyle w:val="TableContents"/>
              <w:bidi w:val="0"/>
              <w:spacing w:before="0" w:after="283"/>
              <w:jc w:val="left"/>
              <w:rPr/>
            </w:pPr>
            <w:hyperlink w:anchor="statement_change_equity">
              <w:r>
                <w:rPr>
                  <w:rStyle w:val="InternetLink"/>
                  <w:rFonts w:ascii="Times New Roman" w:hAnsi="Times New Roman"/>
                  <w:color w:val="0000FF"/>
                  <w:sz w:val="20"/>
                  <w:u w:val="single"/>
                </w:rPr>
                <w:t>Consolidated Statements of Changes in Equity for the years ended December 31, 2025, 2024 and 2023</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8611" w:type="dxa"/>
            <w:tcBorders/>
            <w:tcMar>
              <w:top w:w="0" w:type="dxa"/>
              <w:left w:w="0" w:type="dxa"/>
              <w:bottom w:w="0" w:type="dxa"/>
              <w:right w:w="0" w:type="dxa"/>
            </w:tcMar>
            <w:vAlign w:val="center"/>
          </w:tcPr>
          <w:p>
            <w:pPr>
              <w:pStyle w:val="TableContents"/>
              <w:bidi w:val="0"/>
              <w:spacing w:before="0" w:after="283"/>
              <w:jc w:val="left"/>
              <w:rPr/>
            </w:pPr>
            <w:hyperlink w:anchor="statement_cash_flow">
              <w:r>
                <w:rPr>
                  <w:rStyle w:val="InternetLink"/>
                  <w:rFonts w:ascii="Times New Roman" w:hAnsi="Times New Roman"/>
                  <w:color w:val="0000FF"/>
                  <w:sz w:val="20"/>
                  <w:u w:val="single"/>
                </w:rPr>
                <w:t>Consolidated Statements of Cash Flows for the years ended December 31, 2025, 2024 and 2023</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8611" w:type="dxa"/>
            <w:tcBorders/>
            <w:tcMar>
              <w:top w:w="0" w:type="dxa"/>
              <w:left w:w="0" w:type="dxa"/>
              <w:bottom w:w="0" w:type="dxa"/>
              <w:right w:w="0" w:type="dxa"/>
            </w:tcMar>
            <w:vAlign w:val="center"/>
          </w:tcPr>
          <w:p>
            <w:pPr>
              <w:pStyle w:val="TableContents"/>
              <w:bidi w:val="0"/>
              <w:spacing w:before="0" w:after="283"/>
              <w:jc w:val="left"/>
              <w:rPr/>
            </w:pPr>
            <w:hyperlink w:anchor="footnotes">
              <w:r>
                <w:rPr>
                  <w:rStyle w:val="InternetLink"/>
                  <w:rFonts w:ascii="Times New Roman" w:hAnsi="Times New Roman"/>
                  <w:color w:val="0000FF"/>
                  <w:sz w:val="20"/>
                  <w:u w:val="single"/>
                </w:rPr>
                <w:t>Notes to the Consolidated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581150" cy="1019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81150" cy="1019175"/>
                    </a:xfrm>
                    <a:prstGeom prst="rect">
                      <a:avLst/>
                    </a:prstGeom>
                  </pic:spPr>
                </pic:pic>
              </a:graphicData>
            </a:graphic>
          </wp:inline>
        </w:drawing>
      </w:r>
    </w:p>
    <w:p>
      <w:pPr>
        <w:pStyle w:val="TextBody"/>
        <w:bidi w:val="0"/>
        <w:jc w:val="left"/>
        <w:rPr>
          <w:rFonts w:ascii="Arial" w:hAnsi="Arial"/>
          <w:b/>
          <w:color w:val="000000"/>
          <w:sz w:val="32"/>
        </w:rPr>
      </w:pPr>
      <w:bookmarkStart w:id="7" w:name="auditor_report"/>
      <w:bookmarkEnd w:id="7"/>
      <w:r>
        <w:rPr>
          <w:rFonts w:ascii="Arial" w:hAnsi="Arial"/>
          <w:b/>
          <w:color w:val="000000"/>
          <w:sz w:val="32"/>
        </w:rPr>
        <w:t>Report of the statutory auditor to the General Meeting of Oculis Holding AG, Zug</w:t>
      </w:r>
    </w:p>
    <w:p>
      <w:pPr>
        <w:pStyle w:val="TextBody"/>
        <w:bidi w:val="0"/>
        <w:spacing w:before="480" w:after="60"/>
        <w:jc w:val="left"/>
        <w:rPr>
          <w:rFonts w:ascii="Arial" w:hAnsi="Arial"/>
          <w:b/>
          <w:color w:val="000000"/>
          <w:sz w:val="24"/>
        </w:rPr>
      </w:pPr>
      <w:r>
        <w:rPr>
          <w:rFonts w:ascii="Arial" w:hAnsi="Arial"/>
          <w:b/>
          <w:color w:val="000000"/>
          <w:sz w:val="24"/>
        </w:rPr>
        <w:t>Report on the audit of the consolidated financial statements</w:t>
      </w:r>
    </w:p>
    <w:p>
      <w:pPr>
        <w:pStyle w:val="TextBody"/>
        <w:bidi w:val="0"/>
        <w:spacing w:before="340" w:after="200"/>
        <w:jc w:val="left"/>
        <w:rPr>
          <w:rFonts w:ascii="Arial" w:hAnsi="Arial"/>
          <w:b/>
          <w:color w:val="000000"/>
          <w:sz w:val="20"/>
        </w:rPr>
      </w:pPr>
      <w:r>
        <w:rPr>
          <w:rFonts w:ascii="Arial" w:hAnsi="Arial"/>
          <w:b/>
          <w:color w:val="000000"/>
          <w:sz w:val="20"/>
        </w:rPr>
        <w:t>Opinion</w:t>
      </w:r>
    </w:p>
    <w:p>
      <w:pPr>
        <w:pStyle w:val="TextBody"/>
        <w:bidi w:val="0"/>
        <w:spacing w:before="0" w:after="200"/>
        <w:jc w:val="left"/>
        <w:rPr>
          <w:rFonts w:ascii="Georgia;serif" w:hAnsi="Georgia;serif"/>
          <w:color w:val="000000"/>
          <w:sz w:val="20"/>
        </w:rPr>
      </w:pPr>
      <w:r>
        <w:rPr>
          <w:rFonts w:ascii="Georgia;serif" w:hAnsi="Georgia;serif"/>
          <w:color w:val="000000"/>
          <w:sz w:val="20"/>
        </w:rPr>
        <w:t>We have audited the consolidated financial statements of Oculis Holding AG and its subsidiaries (the Group), which comprise the consolidated statement of financial position as at December 31, 2025, and the consolidated statement of loss, the consolidated statement of comprehensive loss, the consolidated statement of changes in equity and the consolidated statement of cash flows for the year then ended, and notes to the consolidated financial statements, including material accounting policy information.</w:t>
      </w:r>
    </w:p>
    <w:p>
      <w:pPr>
        <w:pStyle w:val="TextBody"/>
        <w:bidi w:val="0"/>
        <w:spacing w:before="0" w:after="200"/>
        <w:jc w:val="left"/>
        <w:rPr>
          <w:rFonts w:ascii="Georgia;serif" w:hAnsi="Georgia;serif"/>
          <w:color w:val="000000"/>
          <w:sz w:val="20"/>
        </w:rPr>
      </w:pPr>
      <w:r>
        <w:rPr>
          <w:rFonts w:ascii="Georgia;serif" w:hAnsi="Georgia;serif"/>
          <w:color w:val="000000"/>
          <w:sz w:val="20"/>
        </w:rPr>
        <w:t>In our opinion, the accompanying consolidated financial statements give a true and fair view of the consolidated financial position of the Group as at December 31, 2025 and of its consolidated financial performance and its consolidated cash flows for the year then ended in accordance with IFRS Accounting Standards and comply with Swiss law.</w:t>
      </w:r>
    </w:p>
    <w:p>
      <w:pPr>
        <w:pStyle w:val="TextBody"/>
        <w:bidi w:val="0"/>
        <w:spacing w:before="200" w:after="200"/>
        <w:jc w:val="left"/>
        <w:rPr>
          <w:rFonts w:ascii="Arial" w:hAnsi="Arial"/>
          <w:b/>
          <w:color w:val="000000"/>
          <w:sz w:val="20"/>
        </w:rPr>
      </w:pPr>
      <w:r>
        <w:rPr>
          <w:rFonts w:ascii="Arial" w:hAnsi="Arial"/>
          <w:b/>
          <w:color w:val="000000"/>
          <w:sz w:val="20"/>
        </w:rPr>
        <w:t>Basis for opinion</w:t>
      </w:r>
    </w:p>
    <w:p>
      <w:pPr>
        <w:pStyle w:val="TextBody"/>
        <w:bidi w:val="0"/>
        <w:spacing w:before="0" w:after="200"/>
        <w:jc w:val="left"/>
        <w:rPr>
          <w:rFonts w:ascii="Georgia;serif" w:hAnsi="Georgia;serif"/>
          <w:color w:val="000000"/>
          <w:sz w:val="20"/>
        </w:rPr>
      </w:pPr>
      <w:r>
        <w:rPr>
          <w:rFonts w:ascii="Georgia;serif" w:hAnsi="Georgia;serif"/>
          <w:color w:val="000000"/>
          <w:sz w:val="20"/>
        </w:rPr>
        <w:t>We conducted our audit in accordance with Swiss law, International Standards on Auditing (ISA) and Swiss Standards on Auditing (SA-CH). Our responsibilities under those provisions and standards are further described in the 'Auditor’s responsibilities for the audit of the consolidated financial statements' section of our report. We are independent of the Group in accordance with the provisions of Swiss law and the requirements of the Swiss audit profession that are relevant to audits of the financial statements of public interest entities, as well as the International Code of Ethics for Professional Accountants (including International Independence Standards) issued by the International Ethics Standards Board for Accountants (IESBA Code), as applicable to audits of financial statements of public interest entities. We have also fulfilled our other ethical responsibilities in accordance with these requirements.</w:t>
      </w:r>
    </w:p>
    <w:p>
      <w:pPr>
        <w:pStyle w:val="TextBody"/>
        <w:bidi w:val="0"/>
        <w:spacing w:before="0" w:after="200"/>
        <w:jc w:val="left"/>
        <w:rPr>
          <w:rFonts w:ascii="Georgia;serif" w:hAnsi="Georgia;serif"/>
          <w:color w:val="000000"/>
          <w:sz w:val="20"/>
        </w:rPr>
      </w:pPr>
      <w:r>
        <w:rPr>
          <w:rFonts w:ascii="Georgia;serif" w:hAnsi="Georgia;serif"/>
          <w:color w:val="000000"/>
          <w:sz w:val="20"/>
        </w:rPr>
        <w:t>We believe that the audit evidence we have obtained is sufficient and appropriate to provide a basis for our opinion.</w:t>
      </w:r>
    </w:p>
    <w:p>
      <w:pPr>
        <w:pStyle w:val="TextBody"/>
        <w:bidi w:val="0"/>
        <w:jc w:val="center"/>
        <w:rPr/>
      </w:pPr>
      <w:r>
        <w:rPr/>
        <w:t> </w:t>
      </w:r>
    </w:p>
    <w:tbl>
      <w:tblPr>
        <w:tblW w:w="9347" w:type="dxa"/>
        <w:jc w:val="left"/>
        <w:tblInd w:w="0" w:type="dxa"/>
        <w:tblLayout w:type="fixed"/>
        <w:tblCellMar>
          <w:top w:w="28" w:type="dxa"/>
          <w:left w:w="28" w:type="dxa"/>
          <w:bottom w:w="28" w:type="dxa"/>
          <w:right w:w="28" w:type="dxa"/>
        </w:tblCellMar>
      </w:tblPr>
      <w:tblGrid>
        <w:gridCol w:w="1381"/>
        <w:gridCol w:w="7966"/>
      </w:tblGrid>
      <w:tr>
        <w:trPr/>
        <w:tc>
          <w:tcPr>
            <w:tcW w:w="1381" w:type="dxa"/>
            <w:tcBorders/>
            <w:vAlign w:val="center"/>
          </w:tcPr>
          <w:p>
            <w:pPr>
              <w:pStyle w:val="TableContents"/>
              <w:bidi w:val="0"/>
              <w:spacing w:before="0" w:after="283"/>
              <w:jc w:val="left"/>
              <w:rPr>
                <w:sz w:val="4"/>
                <w:szCs w:val="4"/>
              </w:rPr>
            </w:pPr>
            <w:r>
              <w:rPr>
                <w:sz w:val="4"/>
                <w:szCs w:val="4"/>
              </w:rPr>
            </w:r>
          </w:p>
        </w:tc>
        <w:tc>
          <w:tcPr>
            <w:tcW w:w="7966" w:type="dxa"/>
            <w:tcBorders/>
            <w:vAlign w:val="center"/>
          </w:tcPr>
          <w:p>
            <w:pPr>
              <w:pStyle w:val="TableContents"/>
              <w:bidi w:val="0"/>
              <w:spacing w:before="0" w:after="283"/>
              <w:ind w:left="0" w:right="0" w:hanging="113"/>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283"/>
              <w:ind w:left="0" w:right="0" w:hanging="113"/>
              <w:jc w:val="left"/>
              <w:rPr>
                <w:sz w:val="4"/>
                <w:szCs w:val="4"/>
              </w:rPr>
            </w:pPr>
            <w:r>
              <w:rPr>
                <w:sz w:val="4"/>
                <w:szCs w:val="4"/>
              </w:rPr>
            </w:r>
          </w:p>
        </w:tc>
        <w:tc>
          <w:tcPr>
            <w:tcW w:w="7966" w:type="dxa"/>
            <w:tcBorders/>
            <w:tcMar>
              <w:top w:w="0" w:type="dxa"/>
              <w:left w:w="0" w:type="dxa"/>
              <w:bottom w:w="0" w:type="dxa"/>
              <w:right w:w="0" w:type="dxa"/>
            </w:tcMar>
            <w:vAlign w:val="center"/>
          </w:tcPr>
          <w:p>
            <w:pPr>
              <w:pStyle w:val="TableContents"/>
              <w:bidi w:val="0"/>
              <w:spacing w:before="0" w:after="283"/>
              <w:ind w:left="0" w:right="0" w:hanging="113"/>
              <w:jc w:val="left"/>
              <w:rPr>
                <w:rFonts w:ascii="Georgia;serif" w:hAnsi="Georgia;serif"/>
                <w:color w:val="000000"/>
                <w:sz w:val="18"/>
              </w:rPr>
            </w:pPr>
            <w:r>
              <w:rPr>
                <w:rFonts w:ascii="Georgia;serif" w:hAnsi="Georgia;serif"/>
                <w:color w:val="000000"/>
                <w:sz w:val="18"/>
              </w:rPr>
              <w:t>PricewaterhouseCoopers SA, Avenue de la Rasude 5, 1006 Lausanne</w:t>
            </w:r>
          </w:p>
        </w:tc>
      </w:tr>
      <w:tr>
        <w:trPr/>
        <w:tc>
          <w:tcPr>
            <w:tcW w:w="1381" w:type="dxa"/>
            <w:tcBorders/>
            <w:tcMar>
              <w:top w:w="0" w:type="dxa"/>
              <w:left w:w="0" w:type="dxa"/>
              <w:bottom w:w="0" w:type="dxa"/>
              <w:right w:w="0" w:type="dxa"/>
            </w:tcMar>
            <w:vAlign w:val="center"/>
          </w:tcPr>
          <w:p>
            <w:pPr>
              <w:pStyle w:val="TableContents"/>
              <w:bidi w:val="0"/>
              <w:spacing w:before="0" w:after="283"/>
              <w:ind w:left="0" w:right="0" w:hanging="113"/>
              <w:jc w:val="left"/>
              <w:rPr>
                <w:sz w:val="4"/>
                <w:szCs w:val="4"/>
              </w:rPr>
            </w:pPr>
            <w:r>
              <w:rPr>
                <w:sz w:val="4"/>
                <w:szCs w:val="4"/>
              </w:rPr>
            </w:r>
          </w:p>
        </w:tc>
        <w:tc>
          <w:tcPr>
            <w:tcW w:w="7966" w:type="dxa"/>
            <w:tcBorders/>
            <w:tcMar>
              <w:top w:w="0" w:type="dxa"/>
              <w:left w:w="0" w:type="dxa"/>
              <w:bottom w:w="0" w:type="dxa"/>
              <w:right w:w="0" w:type="dxa"/>
            </w:tcMar>
            <w:vAlign w:val="center"/>
          </w:tcPr>
          <w:p>
            <w:pPr>
              <w:pStyle w:val="TableContents"/>
              <w:bidi w:val="0"/>
              <w:spacing w:before="0" w:after="300"/>
              <w:ind w:left="0" w:right="0" w:hanging="113"/>
              <w:jc w:val="left"/>
              <w:rPr>
                <w:rFonts w:ascii="Georgia;serif" w:hAnsi="Georgia;serif"/>
                <w:color w:val="000000"/>
                <w:sz w:val="18"/>
              </w:rPr>
            </w:pPr>
            <w:r>
              <w:rPr>
                <w:rFonts w:ascii="Georgia;serif" w:hAnsi="Georgia;serif"/>
                <w:color w:val="000000"/>
                <w:sz w:val="18"/>
              </w:rPr>
              <w:t>+41 58 792 81 00</w:t>
            </w:r>
          </w:p>
        </w:tc>
      </w:tr>
      <w:tr>
        <w:trPr/>
        <w:tc>
          <w:tcPr>
            <w:tcW w:w="1381" w:type="dxa"/>
            <w:tcBorders/>
            <w:tcMar>
              <w:top w:w="0" w:type="dxa"/>
              <w:left w:w="0" w:type="dxa"/>
              <w:bottom w:w="0" w:type="dxa"/>
              <w:right w:w="0" w:type="dxa"/>
            </w:tcMar>
            <w:vAlign w:val="center"/>
          </w:tcPr>
          <w:p>
            <w:pPr>
              <w:pStyle w:val="TableContents"/>
              <w:bidi w:val="0"/>
              <w:spacing w:before="0" w:after="283"/>
              <w:ind w:left="0" w:right="0" w:hanging="113"/>
              <w:jc w:val="left"/>
              <w:rPr>
                <w:rFonts w:ascii="Georgia;serif" w:hAnsi="Georgia;serif"/>
                <w:color w:val="000000"/>
                <w:sz w:val="22"/>
              </w:rPr>
            </w:pPr>
            <w:r>
              <w:rPr>
                <w:rFonts w:ascii="Georgia;serif" w:hAnsi="Georgia;serif"/>
                <w:color w:val="000000"/>
                <w:sz w:val="22"/>
              </w:rPr>
              <w:t>www.pwc.ch</w:t>
            </w:r>
          </w:p>
        </w:tc>
        <w:tc>
          <w:tcPr>
            <w:tcW w:w="7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PricewaterhouseCoopers SA is a member of the global PricewaterhouseCoopers network of firms, each of which is a separate and independent legal entity.</w:t>
            </w:r>
          </w:p>
        </w:tc>
      </w:tr>
    </w:tbl>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0" w:after="80"/>
        <w:jc w:val="left"/>
        <w:rPr>
          <w:rFonts w:ascii="Arial" w:hAnsi="Arial"/>
          <w:b/>
          <w:color w:val="000000"/>
          <w:sz w:val="20"/>
        </w:rPr>
      </w:pPr>
      <w:r>
        <w:rPr>
          <w:rFonts w:ascii="Arial" w:hAnsi="Arial"/>
          <w:b/>
          <w:color w:val="000000"/>
          <w:sz w:val="20"/>
        </w:rPr>
        <w:t>Our audit approach</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6" w:space="0" w:color="000000"/>
              <w:left w:val="single" w:sz="6" w:space="0" w:color="000000"/>
              <w:bottom w:val="single" w:sz="6" w:space="0" w:color="000000"/>
              <w:right w:val="single" w:sz="6" w:space="0" w:color="000000"/>
            </w:tcBorders>
            <w:tcMar>
              <w:left w:w="108" w:type="dxa"/>
              <w:right w:w="108"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t> </w:t>
      </w:r>
    </w:p>
    <w:p>
      <w:pPr>
        <w:pStyle w:val="TextBody"/>
        <w:bidi w:val="0"/>
        <w:spacing w:before="80" w:after="60"/>
        <w:jc w:val="left"/>
        <w:rPr/>
      </w:pPr>
      <w:r>
        <w:rPr/>
        <w:t> </w:t>
      </w:r>
    </w:p>
    <w:tbl>
      <w:tblPr>
        <w:tblW w:w="10205" w:type="dxa"/>
        <w:jc w:val="left"/>
        <w:tblInd w:w="0" w:type="dxa"/>
        <w:tblLayout w:type="fixed"/>
        <w:tblCellMar>
          <w:top w:w="28" w:type="dxa"/>
          <w:left w:w="28" w:type="dxa"/>
          <w:bottom w:w="28" w:type="dxa"/>
          <w:right w:w="28" w:type="dxa"/>
        </w:tblCellMar>
      </w:tblPr>
      <w:tblGrid>
        <w:gridCol w:w="2891"/>
        <w:gridCol w:w="7314"/>
      </w:tblGrid>
      <w:tr>
        <w:trPr/>
        <w:tc>
          <w:tcPr>
            <w:tcW w:w="2891" w:type="dxa"/>
            <w:tcBorders/>
            <w:vAlign w:val="center"/>
          </w:tcPr>
          <w:p>
            <w:pPr>
              <w:pStyle w:val="TableContents"/>
              <w:bidi w:val="0"/>
              <w:spacing w:before="0" w:after="283"/>
              <w:jc w:val="left"/>
              <w:rPr>
                <w:sz w:val="4"/>
                <w:szCs w:val="4"/>
              </w:rPr>
            </w:pPr>
            <w:r>
              <w:rPr>
                <w:sz w:val="4"/>
                <w:szCs w:val="4"/>
              </w:rPr>
            </w:r>
          </w:p>
        </w:tc>
        <w:tc>
          <w:tcPr>
            <w:tcW w:w="7314" w:type="dxa"/>
            <w:tcBorders/>
            <w:vAlign w:val="center"/>
          </w:tcPr>
          <w:p>
            <w:pPr>
              <w:pStyle w:val="TableContents"/>
              <w:bidi w:val="0"/>
              <w:spacing w:before="0" w:after="283"/>
              <w:jc w:val="left"/>
              <w:rPr>
                <w:sz w:val="4"/>
                <w:szCs w:val="4"/>
              </w:rPr>
            </w:pPr>
            <w:r>
              <w:rPr>
                <w:sz w:val="4"/>
                <w:szCs w:val="4"/>
              </w:rPr>
            </w:r>
          </w:p>
        </w:tc>
      </w:tr>
      <w:tr>
        <w:trPr/>
        <w:tc>
          <w:tcPr>
            <w:tcW w:w="2891" w:type="dxa"/>
            <w:tcBorders/>
            <w:tcMar>
              <w:top w:w="0" w:type="dxa"/>
              <w:left w:w="0" w:type="dxa"/>
              <w:bottom w:w="0" w:type="dxa"/>
              <w:right w:w="0" w:type="dxa"/>
            </w:tcMar>
            <w:vAlign w:val="center"/>
          </w:tcPr>
          <w:p>
            <w:pPr>
              <w:pStyle w:val="TableContents"/>
              <w:bidi w:val="0"/>
              <w:spacing w:before="100" w:after="283"/>
              <w:ind w:left="0" w:right="0" w:firstLine="720"/>
              <w:jc w:val="left"/>
              <w:rPr/>
            </w:pPr>
            <w:r>
              <w:rPr/>
              <w:drawing>
                <wp:inline distT="0" distB="0" distL="0" distR="0">
                  <wp:extent cx="1314450" cy="2333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14450" cy="2333625"/>
                          </a:xfrm>
                          <a:prstGeom prst="rect">
                            <a:avLst/>
                          </a:prstGeom>
                        </pic:spPr>
                      </pic:pic>
                    </a:graphicData>
                  </a:graphic>
                </wp:inline>
              </w:drawing>
            </w:r>
          </w:p>
        </w:tc>
        <w:tc>
          <w:tcPr>
            <w:tcW w:w="7314" w:type="dxa"/>
            <w:tcBorders/>
            <w:tcMar>
              <w:top w:w="0" w:type="dxa"/>
              <w:left w:w="0" w:type="dxa"/>
              <w:bottom w:w="0" w:type="dxa"/>
              <w:right w:w="0" w:type="dxa"/>
            </w:tcMar>
            <w:vAlign w:val="center"/>
          </w:tcPr>
          <w:p>
            <w:pPr>
              <w:pStyle w:val="TableContents"/>
              <w:bidi w:val="0"/>
              <w:spacing w:before="80" w:after="60"/>
              <w:ind w:left="0" w:right="0" w:firstLine="720"/>
              <w:jc w:val="left"/>
              <w:rPr>
                <w:rFonts w:ascii="Arial" w:hAnsi="Arial"/>
                <w:b/>
                <w:color w:val="000000"/>
                <w:sz w:val="20"/>
              </w:rPr>
            </w:pPr>
            <w:r>
              <w:rPr>
                <w:rFonts w:ascii="Arial" w:hAnsi="Arial"/>
                <w:b/>
                <w:color w:val="000000"/>
                <w:sz w:val="20"/>
              </w:rPr>
              <w:t>Overview</w:t>
            </w:r>
          </w:p>
          <w:p>
            <w:pPr>
              <w:pStyle w:val="TableContents"/>
              <w:bidi w:val="0"/>
              <w:spacing w:before="20" w:after="80"/>
              <w:ind w:left="0" w:right="0" w:firstLine="720"/>
              <w:jc w:val="left"/>
              <w:rPr>
                <w:rFonts w:ascii="Georgia;serif" w:hAnsi="Georgia;serif"/>
                <w:color w:val="000000"/>
                <w:sz w:val="20"/>
              </w:rPr>
            </w:pPr>
            <w:r>
              <w:rPr>
                <w:rFonts w:ascii="Georgia;serif" w:hAnsi="Georgia;serif"/>
                <w:color w:val="000000"/>
                <w:sz w:val="20"/>
              </w:rPr>
              <w:t>Overall group materiality: CHF 4,900 thousand</w:t>
            </w:r>
          </w:p>
          <w:p>
            <w:pPr>
              <w:pStyle w:val="TableContents"/>
              <w:bidi w:val="0"/>
              <w:spacing w:before="0" w:after="80"/>
              <w:ind w:left="0" w:right="0" w:firstLine="720"/>
              <w:jc w:val="left"/>
              <w:rPr>
                <w:rFonts w:ascii="Georgia;serif" w:hAnsi="Georgia;serif"/>
                <w:color w:val="000000"/>
                <w:sz w:val="20"/>
              </w:rPr>
            </w:pPr>
            <w:r>
              <w:rPr>
                <w:rFonts w:ascii="Georgia;serif" w:hAnsi="Georgia;serif"/>
                <w:color w:val="000000"/>
                <w:sz w:val="20"/>
              </w:rPr>
              <w:t>The entities addressed by our full scope audit work as well as specific scope audit contribute to more than 9o% of the Group’s total operating expenses.</w:t>
            </w:r>
          </w:p>
          <w:p>
            <w:pPr>
              <w:pStyle w:val="TableContents"/>
              <w:bidi w:val="0"/>
              <w:spacing w:before="0" w:after="80"/>
              <w:ind w:left="0" w:right="0" w:firstLine="720"/>
              <w:jc w:val="left"/>
              <w:rPr>
                <w:rFonts w:ascii="Georgia;serif" w:hAnsi="Georgia;serif"/>
                <w:color w:val="000000"/>
                <w:sz w:val="20"/>
              </w:rPr>
            </w:pPr>
            <w:r>
              <w:rPr>
                <w:rFonts w:ascii="Georgia;serif" w:hAnsi="Georgia;serif"/>
                <w:color w:val="000000"/>
                <w:sz w:val="20"/>
              </w:rPr>
              <w:t>As key audit matter the following area of focus has been identified:</w:t>
            </w:r>
          </w:p>
          <w:p>
            <w:pPr>
              <w:pStyle w:val="TableContents"/>
              <w:bidi w:val="0"/>
              <w:spacing w:before="0" w:after="80"/>
              <w:ind w:left="0" w:right="0" w:firstLine="720"/>
              <w:jc w:val="left"/>
              <w:rPr>
                <w:rFonts w:ascii="Georgia;serif" w:hAnsi="Georgia;serif"/>
                <w:color w:val="000000"/>
                <w:sz w:val="20"/>
              </w:rPr>
            </w:pPr>
            <w:r>
              <w:rPr>
                <w:rFonts w:ascii="Georgia;serif" w:hAnsi="Georgia;serif"/>
                <w:color w:val="000000"/>
                <w:sz w:val="20"/>
              </w:rPr>
              <w:t>Research and development expenses and accruals related to product development related expenses</w:t>
            </w:r>
          </w:p>
          <w:p>
            <w:pPr>
              <w:pStyle w:val="TableContents"/>
              <w:bidi w:val="0"/>
              <w:spacing w:before="0" w:after="283"/>
              <w:ind w:left="0" w:right="0" w:firstLine="720"/>
              <w:jc w:val="left"/>
              <w:rPr/>
            </w:pPr>
            <w:r>
              <w:rPr/>
              <w:t> </w:t>
            </w:r>
          </w:p>
        </w:tc>
      </w:tr>
    </w:tbl>
    <w:p>
      <w:pPr>
        <w:pStyle w:val="TextBody"/>
        <w:bidi w:val="0"/>
        <w:spacing w:before="80" w:after="60"/>
        <w:jc w:val="left"/>
        <w:rPr/>
      </w:pPr>
      <w:r>
        <w:rPr/>
        <w:t> </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6" w:space="0" w:color="000000"/>
              <w:left w:val="single" w:sz="6" w:space="0" w:color="000000"/>
              <w:bottom w:val="single" w:sz="6" w:space="0" w:color="000000"/>
              <w:right w:val="single" w:sz="6" w:space="0" w:color="000000"/>
            </w:tcBorders>
            <w:tcMar>
              <w:left w:w="108" w:type="dxa"/>
              <w:right w:w="108" w:type="dxa"/>
            </w:tcMar>
            <w:vAlign w:val="center"/>
          </w:tcPr>
          <w:p>
            <w:pPr>
              <w:pStyle w:val="TableContents"/>
              <w:bidi w:val="0"/>
              <w:spacing w:before="0" w:after="283"/>
              <w:jc w:val="left"/>
              <w:rPr>
                <w:sz w:val="4"/>
                <w:szCs w:val="4"/>
              </w:rPr>
            </w:pPr>
            <w:r>
              <w:rPr>
                <w:sz w:val="4"/>
                <w:szCs w:val="4"/>
              </w:rPr>
            </w:r>
          </w:p>
        </w:tc>
      </w:tr>
    </w:tbl>
    <w:p>
      <w:pPr>
        <w:pStyle w:val="TextBody"/>
        <w:bidi w:val="0"/>
        <w:spacing w:before="400" w:after="200"/>
        <w:jc w:val="left"/>
        <w:rPr>
          <w:rFonts w:ascii="Arial" w:hAnsi="Arial"/>
          <w:b/>
          <w:color w:val="000000"/>
          <w:sz w:val="20"/>
        </w:rPr>
      </w:pPr>
      <w:r>
        <w:rPr>
          <w:rFonts w:ascii="Arial" w:hAnsi="Arial"/>
          <w:b/>
          <w:color w:val="000000"/>
          <w:sz w:val="20"/>
        </w:rPr>
        <w:t>Materiality</w:t>
      </w:r>
    </w:p>
    <w:p>
      <w:pPr>
        <w:pStyle w:val="TextBody"/>
        <w:bidi w:val="0"/>
        <w:spacing w:before="0" w:after="200"/>
        <w:jc w:val="left"/>
        <w:rPr>
          <w:rFonts w:ascii="Georgia;serif" w:hAnsi="Georgia;serif"/>
          <w:color w:val="000000"/>
          <w:sz w:val="20"/>
        </w:rPr>
      </w:pPr>
      <w:r>
        <w:rPr>
          <w:rFonts w:ascii="Georgia;serif" w:hAnsi="Georgia;serif"/>
          <w:color w:val="000000"/>
          <w:sz w:val="20"/>
        </w:rPr>
        <w:t>The scope of our audit was influenced by our application of materiality. Our audit opinion aims to provide reasonable assurance that the consolidated financial statements are free from material misstatement. Misstatements may arise due to fraud or error. They are considered material if, individually or in aggregate, they could reasonably be expected to influence the economic decisions of users taken on the basis of the consolidated financial statements.</w:t>
      </w:r>
    </w:p>
    <w:p>
      <w:pPr>
        <w:pStyle w:val="TextBody"/>
        <w:bidi w:val="0"/>
        <w:spacing w:before="0" w:after="200"/>
        <w:jc w:val="left"/>
        <w:rPr>
          <w:rFonts w:ascii="Georgia;serif" w:hAnsi="Georgia;serif"/>
          <w:color w:val="000000"/>
          <w:sz w:val="20"/>
        </w:rPr>
      </w:pPr>
      <w:r>
        <w:rPr>
          <w:rFonts w:ascii="Georgia;serif" w:hAnsi="Georgia;serif"/>
          <w:color w:val="000000"/>
          <w:sz w:val="20"/>
        </w:rPr>
        <w:t>Based on our professional judgement, we determined certain quantitative thresholds for materiality, including the overall Group materiality for the consolidated financial statements as a whole as set out in the table below. These, together with qualitative considerations, helped us to determine the scope of our audit and the nature, timing and extent of our audit procedures and to evaluate the effect of misstatements, both individually and in aggregate, on the consolidated financial statements as a whole.</w:t>
      </w:r>
    </w:p>
    <w:tbl>
      <w:tblPr>
        <w:tblW w:w="10205" w:type="dxa"/>
        <w:jc w:val="left"/>
        <w:tblInd w:w="0" w:type="dxa"/>
        <w:tblLayout w:type="fixed"/>
        <w:tblCellMar>
          <w:top w:w="28" w:type="dxa"/>
          <w:left w:w="28" w:type="dxa"/>
          <w:bottom w:w="28" w:type="dxa"/>
          <w:right w:w="28" w:type="dxa"/>
        </w:tblCellMar>
      </w:tblPr>
      <w:tblGrid>
        <w:gridCol w:w="2309"/>
        <w:gridCol w:w="7896"/>
      </w:tblGrid>
      <w:tr>
        <w:trPr/>
        <w:tc>
          <w:tcPr>
            <w:tcW w:w="2309" w:type="dxa"/>
            <w:tcBorders/>
            <w:vAlign w:val="center"/>
          </w:tcPr>
          <w:p>
            <w:pPr>
              <w:pStyle w:val="TableContents"/>
              <w:bidi w:val="0"/>
              <w:spacing w:before="0" w:after="283"/>
              <w:jc w:val="left"/>
              <w:rPr>
                <w:sz w:val="4"/>
                <w:szCs w:val="4"/>
              </w:rPr>
            </w:pPr>
            <w:r>
              <w:rPr>
                <w:sz w:val="4"/>
                <w:szCs w:val="4"/>
              </w:rPr>
            </w:r>
          </w:p>
        </w:tc>
        <w:tc>
          <w:tcPr>
            <w:tcW w:w="7896" w:type="dxa"/>
            <w:tcBorders/>
            <w:vAlign w:val="center"/>
          </w:tcPr>
          <w:p>
            <w:pPr>
              <w:pStyle w:val="TableContents"/>
              <w:bidi w:val="0"/>
              <w:spacing w:before="0" w:after="283"/>
              <w:ind w:left="0" w:right="0" w:firstLine="28"/>
              <w:jc w:val="left"/>
              <w:rPr>
                <w:sz w:val="4"/>
                <w:szCs w:val="4"/>
              </w:rPr>
            </w:pPr>
            <w:r>
              <w:rPr>
                <w:sz w:val="4"/>
                <w:szCs w:val="4"/>
              </w:rPr>
            </w:r>
          </w:p>
        </w:tc>
      </w:tr>
      <w:tr>
        <w:trPr/>
        <w:tc>
          <w:tcPr>
            <w:tcW w:w="10205"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vAlign w:val="center"/>
          </w:tcPr>
          <w:p>
            <w:pPr>
              <w:pStyle w:val="TableContents"/>
              <w:bidi w:val="0"/>
              <w:spacing w:before="0" w:after="283"/>
              <w:ind w:left="0" w:right="0" w:firstLine="28"/>
              <w:jc w:val="left"/>
              <w:rPr>
                <w:sz w:val="4"/>
                <w:szCs w:val="4"/>
              </w:rPr>
            </w:pPr>
            <w:r>
              <w:rPr>
                <w:sz w:val="4"/>
                <w:szCs w:val="4"/>
              </w:rPr>
            </w:r>
          </w:p>
        </w:tc>
      </w:tr>
      <w:tr>
        <w:trPr/>
        <w:tc>
          <w:tcPr>
            <w:tcW w:w="2309"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80" w:after="56"/>
              <w:jc w:val="left"/>
              <w:rPr>
                <w:rFonts w:ascii="Arial" w:hAnsi="Arial"/>
                <w:b/>
                <w:color w:val="000000"/>
                <w:sz w:val="20"/>
              </w:rPr>
            </w:pPr>
            <w:r>
              <w:rPr>
                <w:rFonts w:ascii="Arial" w:hAnsi="Arial"/>
                <w:b/>
                <w:color w:val="000000"/>
                <w:sz w:val="20"/>
              </w:rPr>
              <w:t>Overall group materiality</w:t>
            </w:r>
          </w:p>
        </w:tc>
        <w:tc>
          <w:tcPr>
            <w:tcW w:w="7896" w:type="dxa"/>
            <w:tcBorders>
              <w:bottom w:val="single" w:sz="6" w:space="0" w:color="000000"/>
              <w:right w:val="single" w:sz="6" w:space="0" w:color="000000"/>
            </w:tcBorders>
            <w:tcMar>
              <w:top w:w="0" w:type="dxa"/>
              <w:left w:w="0" w:type="dxa"/>
              <w:right w:w="108" w:type="dxa"/>
            </w:tcMar>
            <w:vAlign w:val="center"/>
          </w:tcPr>
          <w:p>
            <w:pPr>
              <w:pStyle w:val="TableContents"/>
              <w:bidi w:val="0"/>
              <w:spacing w:before="80" w:after="56"/>
              <w:jc w:val="left"/>
              <w:rPr>
                <w:rFonts w:ascii="Georgia;serif" w:hAnsi="Georgia;serif"/>
                <w:color w:val="000000"/>
                <w:sz w:val="20"/>
              </w:rPr>
            </w:pPr>
            <w:r>
              <w:rPr>
                <w:rFonts w:ascii="Georgia;serif" w:hAnsi="Georgia;serif"/>
                <w:color w:val="000000"/>
                <w:sz w:val="20"/>
              </w:rPr>
              <w:t>CHF 4,900 thousand</w:t>
            </w:r>
          </w:p>
        </w:tc>
      </w:tr>
      <w:tr>
        <w:trPr/>
        <w:tc>
          <w:tcPr>
            <w:tcW w:w="10205" w:type="dxa"/>
            <w:gridSpan w:val="2"/>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80" w:after="56"/>
              <w:jc w:val="left"/>
              <w:rPr>
                <w:rFonts w:ascii="Arial" w:hAnsi="Arial"/>
                <w:b/>
                <w:color w:val="000000"/>
                <w:sz w:val="20"/>
              </w:rPr>
            </w:pPr>
            <w:r>
              <w:rPr>
                <w:rFonts w:ascii="Arial" w:hAnsi="Arial"/>
                <w:b/>
                <w:color w:val="000000"/>
                <w:sz w:val="20"/>
              </w:rPr>
              <w:t>Benchmark applied</w:t>
            </w:r>
          </w:p>
        </w:tc>
        <w:tc>
          <w:tcPr>
            <w:tcW w:w="7896" w:type="dxa"/>
            <w:tcBorders>
              <w:bottom w:val="single" w:sz="6" w:space="0" w:color="000000"/>
              <w:right w:val="single" w:sz="6" w:space="0" w:color="000000"/>
            </w:tcBorders>
            <w:tcMar>
              <w:top w:w="0" w:type="dxa"/>
              <w:left w:w="0" w:type="dxa"/>
              <w:right w:w="108" w:type="dxa"/>
            </w:tcMar>
            <w:vAlign w:val="center"/>
          </w:tcPr>
          <w:p>
            <w:pPr>
              <w:pStyle w:val="TableContents"/>
              <w:bidi w:val="0"/>
              <w:spacing w:before="80" w:after="56"/>
              <w:jc w:val="left"/>
              <w:rPr>
                <w:rFonts w:ascii="Georgia;serif" w:hAnsi="Georgia;serif"/>
                <w:color w:val="000000"/>
                <w:sz w:val="20"/>
              </w:rPr>
            </w:pPr>
            <w:r>
              <w:rPr>
                <w:rFonts w:ascii="Georgia;serif" w:hAnsi="Georgia;serif"/>
                <w:color w:val="000000"/>
                <w:sz w:val="20"/>
              </w:rPr>
              <w:t>Loss before tax</w:t>
            </w:r>
          </w:p>
        </w:tc>
      </w:tr>
      <w:tr>
        <w:trPr/>
        <w:tc>
          <w:tcPr>
            <w:tcW w:w="10205" w:type="dxa"/>
            <w:gridSpan w:val="2"/>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80" w:after="56"/>
              <w:jc w:val="left"/>
              <w:rPr>
                <w:rFonts w:ascii="Times New Roman" w:hAnsi="Times New Roman"/>
                <w:sz w:val="20"/>
              </w:rPr>
            </w:pPr>
            <w:r>
              <w:rPr>
                <w:rFonts w:ascii="Arial" w:hAnsi="Arial"/>
                <w:b/>
                <w:color w:val="000000"/>
                <w:sz w:val="20"/>
              </w:rPr>
              <w:t>Rationale for the materiality benchmark applied</w:t>
            </w:r>
            <w:r>
              <w:rPr>
                <w:rFonts w:ascii="Times New Roman" w:hAnsi="Times New Roman"/>
                <w:color w:val="000000"/>
                <w:sz w:val="20"/>
              </w:rPr>
              <w:t xml:space="preserve"> </w:t>
            </w:r>
          </w:p>
        </w:tc>
        <w:tc>
          <w:tcPr>
            <w:tcW w:w="7896" w:type="dxa"/>
            <w:tcBorders>
              <w:bottom w:val="single" w:sz="6" w:space="0" w:color="000000"/>
              <w:right w:val="single" w:sz="6" w:space="0" w:color="000000"/>
            </w:tcBorders>
            <w:tcMar>
              <w:top w:w="0" w:type="dxa"/>
              <w:left w:w="0" w:type="dxa"/>
              <w:right w:w="108" w:type="dxa"/>
            </w:tcMar>
            <w:vAlign w:val="center"/>
          </w:tcPr>
          <w:p>
            <w:pPr>
              <w:pStyle w:val="TableContents"/>
              <w:bidi w:val="0"/>
              <w:spacing w:before="80" w:after="56"/>
              <w:jc w:val="left"/>
              <w:rPr>
                <w:rFonts w:ascii="Georgia;serif" w:hAnsi="Georgia;serif"/>
                <w:color w:val="000000"/>
                <w:sz w:val="20"/>
              </w:rPr>
            </w:pPr>
            <w:r>
              <w:rPr>
                <w:rFonts w:ascii="Georgia;serif" w:hAnsi="Georgia;serif"/>
                <w:color w:val="000000"/>
                <w:sz w:val="20"/>
              </w:rPr>
              <w:t>We chose loss before tax as the benchmark, to be aligned with the common practice in the U.S. for clinical stage life science companies. In addition, in our view, the applied benchmark is aligned with investors and Audit Committee expectations.</w:t>
            </w:r>
          </w:p>
        </w:tc>
      </w:tr>
      <w:tr>
        <w:trPr/>
        <w:tc>
          <w:tcPr>
            <w:tcW w:w="10205" w:type="dxa"/>
            <w:gridSpan w:val="2"/>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283"/>
              <w:jc w:val="left"/>
              <w:rPr>
                <w:sz w:val="4"/>
                <w:szCs w:val="4"/>
              </w:rPr>
            </w:pPr>
            <w:r>
              <w:rPr>
                <w:sz w:val="4"/>
                <w:szCs w:val="4"/>
              </w:rPr>
            </w:r>
          </w:p>
        </w:tc>
      </w:tr>
      <w:tr>
        <w:trPr/>
        <w:tc>
          <w:tcPr>
            <w:tcW w:w="59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Report of the statutory auditor to the General Meeting of Oculis Holding AG, Zug</w:t>
            </w:r>
          </w:p>
        </w:tc>
      </w:tr>
    </w:tbl>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Georgia;serif" w:hAnsi="Georgia;serif"/>
          <w:color w:val="000000"/>
          <w:sz w:val="20"/>
        </w:rPr>
      </w:pPr>
      <w:r>
        <w:rPr>
          <w:rFonts w:ascii="Georgia;serif" w:hAnsi="Georgia;serif"/>
          <w:color w:val="000000"/>
          <w:sz w:val="20"/>
        </w:rPr>
        <w:t>We agreed with the Audit Committee that we would report to them misstatements above CHF 490 thousand identified during our audit as well as any misstatements below that amount which, in our view, warranted reporting for qualitative reasons.</w:t>
      </w:r>
    </w:p>
    <w:p>
      <w:pPr>
        <w:pStyle w:val="TextBody"/>
        <w:bidi w:val="0"/>
        <w:spacing w:before="200" w:after="200"/>
        <w:jc w:val="left"/>
        <w:rPr>
          <w:rFonts w:ascii="Arial" w:hAnsi="Arial"/>
          <w:b/>
          <w:color w:val="000000"/>
          <w:sz w:val="20"/>
        </w:rPr>
      </w:pPr>
      <w:r>
        <w:rPr>
          <w:rFonts w:ascii="Arial" w:hAnsi="Arial"/>
          <w:b/>
          <w:color w:val="000000"/>
          <w:sz w:val="20"/>
        </w:rPr>
        <w:t>Audit scope</w:t>
      </w:r>
    </w:p>
    <w:p>
      <w:pPr>
        <w:pStyle w:val="TextBody"/>
        <w:bidi w:val="0"/>
        <w:spacing w:before="0" w:after="200"/>
        <w:jc w:val="left"/>
        <w:rPr>
          <w:rFonts w:ascii="Georgia;serif" w:hAnsi="Georgia;serif"/>
          <w:color w:val="000000"/>
          <w:sz w:val="20"/>
        </w:rPr>
      </w:pPr>
      <w:r>
        <w:rPr>
          <w:rFonts w:ascii="Georgia;serif" w:hAnsi="Georgia;serif"/>
          <w:color w:val="000000"/>
          <w:sz w:val="20"/>
        </w:rPr>
        <w:t>We designed our audit by determining materiality and assessing the risks of material misstatement in the consolidated financial statements. In particular, we considered where subjective judgements were made; for example, in respect of significant accounting estimates that involved making assumptions and considering future events that are inherently uncertain. As in all of our audits, we also addressed the risk of management override of internal controls, including among other matters consideration of whether there was evidence of bias that represented a risk of material misstatement due to fraud.</w:t>
      </w:r>
    </w:p>
    <w:p>
      <w:pPr>
        <w:pStyle w:val="TextBody"/>
        <w:bidi w:val="0"/>
        <w:spacing w:before="0" w:after="200"/>
        <w:jc w:val="left"/>
        <w:rPr>
          <w:rFonts w:ascii="Georgia;serif" w:hAnsi="Georgia;serif"/>
          <w:color w:val="000000"/>
          <w:sz w:val="20"/>
        </w:rPr>
      </w:pPr>
      <w:r>
        <w:rPr>
          <w:rFonts w:ascii="Georgia;serif" w:hAnsi="Georgia;serif"/>
          <w:color w:val="000000"/>
          <w:sz w:val="20"/>
        </w:rPr>
        <w:t>We tailored the scope of our audit in order to perform sufficient work to enable us to provide an opinion on the consolidated financial statements as a whole, taking into account the structure of the Group, the accounting processes and controls, and the industry in which the Group operates.</w:t>
      </w:r>
    </w:p>
    <w:p>
      <w:pPr>
        <w:pStyle w:val="TextBody"/>
        <w:bidi w:val="0"/>
        <w:spacing w:before="200" w:after="200"/>
        <w:jc w:val="left"/>
        <w:rPr>
          <w:rFonts w:ascii="Arial" w:hAnsi="Arial"/>
          <w:b/>
          <w:color w:val="000000"/>
          <w:sz w:val="20"/>
        </w:rPr>
      </w:pPr>
      <w:r>
        <w:rPr>
          <w:rFonts w:ascii="Arial" w:hAnsi="Arial"/>
          <w:b/>
          <w:color w:val="000000"/>
          <w:sz w:val="20"/>
        </w:rPr>
        <w:t>Key audit matters</w:t>
      </w:r>
    </w:p>
    <w:p>
      <w:pPr>
        <w:pStyle w:val="TextBody"/>
        <w:bidi w:val="0"/>
        <w:spacing w:before="0" w:after="370"/>
        <w:jc w:val="left"/>
        <w:rPr>
          <w:rFonts w:ascii="Georgia;serif" w:hAnsi="Georgia;serif"/>
          <w:color w:val="000000"/>
          <w:sz w:val="20"/>
        </w:rPr>
      </w:pPr>
      <w:r>
        <w:rPr>
          <w:rFonts w:ascii="Georgia;serif" w:hAnsi="Georgia;serif"/>
          <w:color w:val="000000"/>
          <w:sz w:val="20"/>
        </w:rPr>
        <w:t>Key audit matters are those matters that, in our professional judgement, were of most significance in our audit of the consolidated financial statements of the current period. These matters were addressed in the context of our audit of the consolidated financial statements as a whole, and in forming our opinion thereon, and we do not provide a separate opinion on these matters.</w:t>
      </w:r>
    </w:p>
    <w:p>
      <w:pPr>
        <w:pStyle w:val="TextBody"/>
        <w:bidi w:val="0"/>
        <w:spacing w:before="0" w:after="60"/>
        <w:jc w:val="left"/>
        <w:rPr>
          <w:rFonts w:ascii="Arial" w:hAnsi="Arial"/>
          <w:b/>
          <w:color w:val="000000"/>
          <w:sz w:val="20"/>
        </w:rPr>
      </w:pPr>
      <w:r>
        <w:rPr>
          <w:rFonts w:ascii="Arial" w:hAnsi="Arial"/>
          <w:b/>
          <w:color w:val="000000"/>
          <w:sz w:val="20"/>
        </w:rPr>
        <w:t>Research and development expenses and accruals related to product development related expenses</w:t>
      </w:r>
    </w:p>
    <w:tbl>
      <w:tblPr>
        <w:tblW w:w="10205" w:type="dxa"/>
        <w:jc w:val="left"/>
        <w:tblInd w:w="0" w:type="dxa"/>
        <w:tblLayout w:type="fixed"/>
        <w:tblCellMar>
          <w:top w:w="28" w:type="dxa"/>
          <w:left w:w="28" w:type="dxa"/>
          <w:bottom w:w="28" w:type="dxa"/>
          <w:right w:w="28" w:type="dxa"/>
        </w:tblCellMar>
      </w:tblPr>
      <w:tblGrid>
        <w:gridCol w:w="5334"/>
        <w:gridCol w:w="4871"/>
      </w:tblGrid>
      <w:tr>
        <w:trPr/>
        <w:tc>
          <w:tcPr>
            <w:tcW w:w="5334" w:type="dxa"/>
            <w:tcBorders/>
            <w:vAlign w:val="center"/>
          </w:tcPr>
          <w:p>
            <w:pPr>
              <w:pStyle w:val="TableContents"/>
              <w:bidi w:val="0"/>
              <w:spacing w:before="0" w:after="283"/>
              <w:jc w:val="left"/>
              <w:rPr>
                <w:sz w:val="4"/>
                <w:szCs w:val="4"/>
              </w:rPr>
            </w:pPr>
            <w:r>
              <w:rPr>
                <w:sz w:val="4"/>
                <w:szCs w:val="4"/>
              </w:rPr>
            </w:r>
          </w:p>
        </w:tc>
        <w:tc>
          <w:tcPr>
            <w:tcW w:w="4871"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vAlign w:val="center"/>
          </w:tcPr>
          <w:p>
            <w:pPr>
              <w:pStyle w:val="TableContents"/>
              <w:bidi w:val="0"/>
              <w:spacing w:before="0" w:after="283"/>
              <w:jc w:val="left"/>
              <w:rPr>
                <w:sz w:val="4"/>
                <w:szCs w:val="4"/>
              </w:rPr>
            </w:pPr>
            <w:r>
              <w:rPr>
                <w:sz w:val="4"/>
                <w:szCs w:val="4"/>
              </w:rPr>
            </w:r>
          </w:p>
        </w:tc>
      </w:tr>
      <w:tr>
        <w:trPr/>
        <w:tc>
          <w:tcPr>
            <w:tcW w:w="5334"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80" w:after="36"/>
              <w:jc w:val="left"/>
              <w:rPr>
                <w:rFonts w:ascii="Arial" w:hAnsi="Arial"/>
                <w:b/>
                <w:color w:val="000000"/>
                <w:sz w:val="20"/>
              </w:rPr>
            </w:pPr>
            <w:r>
              <w:rPr>
                <w:rFonts w:ascii="Arial" w:hAnsi="Arial"/>
                <w:b/>
                <w:color w:val="000000"/>
                <w:sz w:val="20"/>
              </w:rPr>
              <w:t>Key audit matter</w:t>
            </w:r>
          </w:p>
        </w:tc>
        <w:tc>
          <w:tcPr>
            <w:tcW w:w="4871" w:type="dxa"/>
            <w:tcBorders>
              <w:bottom w:val="single" w:sz="6" w:space="0" w:color="000000"/>
              <w:right w:val="single" w:sz="6" w:space="0" w:color="000000"/>
            </w:tcBorders>
            <w:tcMar>
              <w:top w:w="0" w:type="dxa"/>
              <w:left w:w="0" w:type="dxa"/>
              <w:right w:w="108" w:type="dxa"/>
            </w:tcMar>
            <w:vAlign w:val="center"/>
          </w:tcPr>
          <w:p>
            <w:pPr>
              <w:pStyle w:val="TableContents"/>
              <w:bidi w:val="0"/>
              <w:spacing w:before="80" w:after="36"/>
              <w:jc w:val="left"/>
              <w:rPr>
                <w:rFonts w:ascii="Arial" w:hAnsi="Arial"/>
                <w:b/>
                <w:color w:val="000000"/>
                <w:sz w:val="20"/>
              </w:rPr>
            </w:pPr>
            <w:r>
              <w:rPr>
                <w:rFonts w:ascii="Arial" w:hAnsi="Arial"/>
                <w:b/>
                <w:color w:val="000000"/>
                <w:sz w:val="20"/>
              </w:rPr>
              <w:t>How our audit addressed the key audit matter</w:t>
            </w:r>
          </w:p>
        </w:tc>
      </w:tr>
      <w:tr>
        <w:trPr/>
        <w:tc>
          <w:tcPr>
            <w:tcW w:w="10205" w:type="dxa"/>
            <w:gridSpan w:val="2"/>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0" w:after="283"/>
              <w:jc w:val="left"/>
              <w:rPr>
                <w:sz w:val="4"/>
                <w:szCs w:val="4"/>
              </w:rPr>
            </w:pPr>
            <w:r>
              <w:rPr>
                <w:sz w:val="4"/>
                <w:szCs w:val="4"/>
              </w:rPr>
            </w:r>
          </w:p>
        </w:tc>
      </w:tr>
      <w:tr>
        <w:trPr/>
        <w:tc>
          <w:tcPr>
            <w:tcW w:w="5334"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80" w:after="283"/>
              <w:jc w:val="left"/>
              <w:rPr>
                <w:rFonts w:ascii="Times New Roman" w:hAnsi="Times New Roman"/>
                <w:sz w:val="20"/>
              </w:rPr>
            </w:pPr>
            <w:r>
              <w:rPr>
                <w:rFonts w:ascii="Georgia;serif" w:hAnsi="Georgia;serif"/>
                <w:color w:val="000000"/>
                <w:sz w:val="20"/>
              </w:rPr>
              <w:t>As described in Notes 3(M), 7.(B) and 16 to the consolidated financial statements, research expenditures are recognized in expense in the year in which they are incurred. Research and development expenses consist mainly of personnel expenses (payroll and related expenses and share-based compensation expense), external service providers and other operating expenses. Research and development expenses for the year ended December 31, 2025 were CHF 57.1 million, the majority of which related to external service providers. As disclosed by management, the Company conducts product research and development programs through third party vendors that include contract research organizations “CROs” and clinical research sites. The Company records accruals for estimated costs incurred or prepayments depending on the stage of completion of the product development and clinical research. Within accrued expenses, total accrued product development</w:t>
            </w:r>
            <w:r>
              <w:rPr>
                <w:rFonts w:ascii="Times New Roman" w:hAnsi="Times New Roman"/>
                <w:color w:val="000000"/>
                <w:sz w:val="20"/>
              </w:rPr>
              <w:t xml:space="preserve"> </w:t>
            </w:r>
          </w:p>
        </w:tc>
        <w:tc>
          <w:tcPr>
            <w:tcW w:w="4871" w:type="dxa"/>
            <w:tcBorders>
              <w:bottom w:val="single" w:sz="6" w:space="0" w:color="000000"/>
              <w:right w:val="single" w:sz="6" w:space="0" w:color="000000"/>
            </w:tcBorders>
            <w:tcMar>
              <w:top w:w="0" w:type="dxa"/>
              <w:left w:w="0" w:type="dxa"/>
              <w:right w:w="108" w:type="dxa"/>
            </w:tcMar>
            <w:vAlign w:val="center"/>
          </w:tcPr>
          <w:p>
            <w:pPr>
              <w:pStyle w:val="TableContents"/>
              <w:bidi w:val="0"/>
              <w:spacing w:before="80" w:after="20"/>
              <w:jc w:val="left"/>
              <w:rPr>
                <w:rFonts w:ascii="Georgia;serif" w:hAnsi="Georgia;serif"/>
                <w:color w:val="000000"/>
                <w:sz w:val="20"/>
              </w:rPr>
            </w:pPr>
            <w:r>
              <w:rPr>
                <w:rFonts w:ascii="Georgia;serif" w:hAnsi="Georgia;serif"/>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research and development expenses process. These procedures also included, among others, (i) testing accuracy and completeness of the report prepared by management to calculate the clinical accruals by obtaining and inspecting source documents, such as contracts, purchase orders and invoices, (ii) testing, on a sample basis, the completeness and accuracy of costs incurred for services that have been performed and for which the Company has been invoiced by comparing amounts to CRO contracts and invoices, and (iii) testing, on a sample basis, classification of research and development expenses.</w:t>
            </w:r>
          </w:p>
        </w:tc>
      </w:tr>
    </w:tbl>
    <w:p>
      <w:pPr>
        <w:pStyle w:val="TextBody"/>
        <w:bidi w:val="0"/>
        <w:jc w:val="center"/>
        <w:rPr/>
      </w:pPr>
      <w:r>
        <w:rPr/>
        <w:t> </w:t>
      </w:r>
    </w:p>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283"/>
              <w:jc w:val="left"/>
              <w:rPr>
                <w:sz w:val="4"/>
                <w:szCs w:val="4"/>
              </w:rPr>
            </w:pPr>
            <w:r>
              <w:rPr>
                <w:sz w:val="4"/>
                <w:szCs w:val="4"/>
              </w:rPr>
            </w:r>
          </w:p>
        </w:tc>
      </w:tr>
      <w:tr>
        <w:trPr/>
        <w:tc>
          <w:tcPr>
            <w:tcW w:w="59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Report of the statutory auditor to the General Meeting of Oculis Holding AG, Zug</w:t>
            </w:r>
          </w:p>
        </w:tc>
      </w:tr>
    </w:tbl>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14" w:type="dxa"/>
            <w:tcBorders>
              <w:top w:val="single" w:sz="6" w:space="0" w:color="000000"/>
              <w:left w:val="single" w:sz="6" w:space="0" w:color="000000"/>
              <w:bottom w:val="single" w:sz="6" w:space="0" w:color="000000"/>
              <w:right w:val="single" w:sz="6" w:space="0" w:color="000000"/>
            </w:tcBorders>
            <w:tcMar>
              <w:left w:w="108" w:type="dxa"/>
              <w:right w:w="108" w:type="dxa"/>
            </w:tcMar>
            <w:vAlign w:val="center"/>
          </w:tcPr>
          <w:p>
            <w:pPr>
              <w:pStyle w:val="TableContents"/>
              <w:bidi w:val="0"/>
              <w:spacing w:before="0" w:after="20"/>
              <w:jc w:val="left"/>
              <w:rPr>
                <w:rFonts w:ascii="Times New Roman" w:hAnsi="Times New Roman"/>
                <w:sz w:val="20"/>
              </w:rPr>
            </w:pPr>
            <w:r>
              <w:rPr>
                <w:rFonts w:ascii="Georgia;serif" w:hAnsi="Georgia;serif"/>
                <w:color w:val="000000"/>
                <w:sz w:val="20"/>
              </w:rPr>
              <w:t>related expenses as of December 31, 2025 amounted to CHF 13.2 million.</w:t>
            </w:r>
            <w:r>
              <w:rPr>
                <w:rFonts w:ascii="Times New Roman" w:hAnsi="Times New Roman"/>
                <w:color w:val="000000"/>
                <w:sz w:val="20"/>
              </w:rPr>
              <w:t xml:space="preserve"> </w:t>
            </w:r>
          </w:p>
          <w:p>
            <w:pPr>
              <w:pStyle w:val="TableContents"/>
              <w:bidi w:val="0"/>
              <w:spacing w:before="60" w:after="20"/>
              <w:jc w:val="left"/>
              <w:rPr>
                <w:rFonts w:ascii="Georgia;serif" w:hAnsi="Georgia;serif"/>
                <w:color w:val="000000"/>
                <w:sz w:val="20"/>
              </w:rPr>
            </w:pPr>
            <w:r>
              <w:rPr>
                <w:rFonts w:ascii="Georgia;serif" w:hAnsi="Georgia;serif"/>
                <w:color w:val="000000"/>
                <w:sz w:val="20"/>
              </w:rPr>
              <w:t>The principal considerations for our determination that performing procedures relating to research and development expenses and accruals related to product development related expenses is a key audit matter are a high degree of auditor effort in performing procedures and evaluating audit evidence related to the Company’s research and development expenses and accruals.</w:t>
            </w:r>
          </w:p>
        </w:tc>
        <w:tc>
          <w:tcPr>
            <w:tcW w:w="191" w:type="dxa"/>
            <w:tcBorders>
              <w:top w:val="single" w:sz="6" w:space="0" w:color="000000"/>
              <w:bottom w:val="single" w:sz="6" w:space="0" w:color="000000"/>
              <w:right w:val="single" w:sz="6" w:space="0" w:color="000000"/>
            </w:tcBorders>
            <w:tcMar>
              <w:left w:w="0" w:type="dxa"/>
              <w:right w:w="108" w:type="dxa"/>
            </w:tcMar>
            <w:vAlign w:val="center"/>
          </w:tcPr>
          <w:p>
            <w:pPr>
              <w:pStyle w:val="TableContents"/>
              <w:bidi w:val="0"/>
              <w:spacing w:before="80" w:after="20"/>
              <w:jc w:val="left"/>
              <w:rPr/>
            </w:pPr>
            <w:r>
              <w:rPr/>
              <w:t> </w:t>
            </w:r>
          </w:p>
        </w:tc>
      </w:tr>
      <w:tr>
        <w:trPr/>
        <w:tc>
          <w:tcPr>
            <w:tcW w:w="10205" w:type="dxa"/>
            <w:gridSpan w:val="2"/>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left"/>
        <w:rPr>
          <w:rFonts w:ascii="Arial" w:hAnsi="Arial"/>
          <w:b/>
          <w:color w:val="000000"/>
          <w:sz w:val="20"/>
        </w:rPr>
      </w:pPr>
      <w:r>
        <w:rPr>
          <w:rFonts w:ascii="Arial" w:hAnsi="Arial"/>
          <w:b/>
          <w:color w:val="000000"/>
          <w:sz w:val="20"/>
        </w:rPr>
        <w:t>Other information</w:t>
      </w:r>
    </w:p>
    <w:p>
      <w:pPr>
        <w:pStyle w:val="TextBody"/>
        <w:bidi w:val="0"/>
        <w:spacing w:before="0" w:after="200"/>
        <w:jc w:val="left"/>
        <w:rPr>
          <w:rFonts w:ascii="Georgia;serif" w:hAnsi="Georgia;serif"/>
          <w:color w:val="000000"/>
          <w:sz w:val="20"/>
        </w:rPr>
      </w:pPr>
      <w:r>
        <w:rPr>
          <w:rFonts w:ascii="Georgia;serif" w:hAnsi="Georgia;serif"/>
          <w:color w:val="000000"/>
          <w:sz w:val="20"/>
        </w:rPr>
        <w:t>The Board of Directors is responsible for the other information. The other information comprises the information included in the annual report, which has partially been made available to us with the 6-K and 20-F filings, (but does not include the financial statements and the consolidated financial statements and our auditor’s reports thereon), which we obtained prior to the date of this auditor’s report, and the full annual report, which is expected to be made available to us after that date.</w:t>
      </w:r>
    </w:p>
    <w:p>
      <w:pPr>
        <w:pStyle w:val="TextBody"/>
        <w:bidi w:val="0"/>
        <w:spacing w:before="0" w:after="200"/>
        <w:jc w:val="left"/>
        <w:rPr>
          <w:rFonts w:ascii="Georgia;serif" w:hAnsi="Georgia;serif"/>
          <w:color w:val="000000"/>
          <w:sz w:val="20"/>
        </w:rPr>
      </w:pPr>
      <w:r>
        <w:rPr>
          <w:rFonts w:ascii="Georgia;serif" w:hAnsi="Georgia;serif"/>
          <w:color w:val="000000"/>
          <w:sz w:val="20"/>
        </w:rPr>
        <w:t>Our opinion on the consolidated financial statements does not cover the other information and we do not express any form of assurance conclusion thereon.</w:t>
      </w:r>
    </w:p>
    <w:p>
      <w:pPr>
        <w:pStyle w:val="TextBody"/>
        <w:bidi w:val="0"/>
        <w:spacing w:before="0" w:after="200"/>
        <w:jc w:val="left"/>
        <w:rPr>
          <w:rFonts w:ascii="Georgia;serif" w:hAnsi="Georgia;serif"/>
          <w:color w:val="000000"/>
          <w:sz w:val="20"/>
        </w:rPr>
      </w:pPr>
      <w:r>
        <w:rPr>
          <w:rFonts w:ascii="Georgia;serif" w:hAnsi="Georgia;serif"/>
          <w:color w:val="000000"/>
          <w:sz w:val="20"/>
        </w:rPr>
        <w:t>In connection with our audit of the consolidated financial statements, our responsibility is to read the other information and, in doing so, consider whether the other information is materially inconsistent with the consolidated financial statements or our knowledge obtained in the audit or otherwise appears to be materially misstated.</w:t>
      </w:r>
    </w:p>
    <w:p>
      <w:pPr>
        <w:pStyle w:val="TextBody"/>
        <w:bidi w:val="0"/>
        <w:spacing w:before="0" w:after="200"/>
        <w:jc w:val="left"/>
        <w:rPr>
          <w:rFonts w:ascii="Georgia;serif" w:hAnsi="Georgia;serif"/>
          <w:color w:val="000000"/>
          <w:sz w:val="20"/>
        </w:rPr>
      </w:pPr>
      <w:r>
        <w:rPr>
          <w:rFonts w:ascii="Georgia;serif" w:hAnsi="Georgia;serif"/>
          <w:color w:val="000000"/>
          <w:sz w:val="20"/>
        </w:rPr>
        <w:t>If, based on the work we have performed, we conclude that there is a material misstatement of this other information, we are required to report that fact. We have nothing to report in this regard.</w:t>
      </w:r>
    </w:p>
    <w:p>
      <w:pPr>
        <w:pStyle w:val="TextBody"/>
        <w:bidi w:val="0"/>
        <w:spacing w:before="200" w:after="200"/>
        <w:jc w:val="left"/>
        <w:rPr>
          <w:rFonts w:ascii="Arial" w:hAnsi="Arial"/>
          <w:b/>
          <w:color w:val="000000"/>
          <w:sz w:val="20"/>
        </w:rPr>
      </w:pPr>
      <w:r>
        <w:rPr>
          <w:rFonts w:ascii="Arial" w:hAnsi="Arial"/>
          <w:b/>
          <w:color w:val="000000"/>
          <w:sz w:val="20"/>
        </w:rPr>
        <w:t>Board of Directors’ responsibilities for the consolidated financial statements</w:t>
      </w:r>
    </w:p>
    <w:p>
      <w:pPr>
        <w:pStyle w:val="TextBody"/>
        <w:bidi w:val="0"/>
        <w:spacing w:before="0" w:after="200"/>
        <w:jc w:val="left"/>
        <w:rPr>
          <w:rFonts w:ascii="Georgia;serif" w:hAnsi="Georgia;serif"/>
          <w:color w:val="000000"/>
          <w:sz w:val="20"/>
        </w:rPr>
      </w:pPr>
      <w:r>
        <w:rPr>
          <w:rFonts w:ascii="Georgia;serif" w:hAnsi="Georgia;serif"/>
          <w:color w:val="000000"/>
          <w:sz w:val="20"/>
        </w:rPr>
        <w:t>The Board of Directors is responsible for the preparation of consolidated financial statements, that give a true and fair view in accordance with IFRS Accounting Standards and the provisions of Swiss law, and for such internal control as the Board of Directors determines is necessary to enable the preparation of consolidated financial statements that are free from material misstatement, whether due to fraud or error.</w:t>
      </w:r>
    </w:p>
    <w:p>
      <w:pPr>
        <w:pStyle w:val="TextBody"/>
        <w:bidi w:val="0"/>
        <w:spacing w:before="0" w:after="200"/>
        <w:jc w:val="left"/>
        <w:rPr>
          <w:rFonts w:ascii="Georgia;serif" w:hAnsi="Georgia;serif"/>
          <w:color w:val="000000"/>
          <w:sz w:val="20"/>
        </w:rPr>
      </w:pPr>
      <w:r>
        <w:rPr>
          <w:rFonts w:ascii="Georgia;serif" w:hAnsi="Georgia;serif"/>
          <w:color w:val="000000"/>
          <w:sz w:val="20"/>
        </w:rPr>
        <w:t>In preparing the consolidated financial statements, the Board of Directors is responsible for assessing the Group’s ability to continue as a going concern, disclosing, as applicable, matters related to going concern and using the going concern basis of accounting unless the Board of Directors either intends to liquidate the Group or to cease operations, or has no realistic alternative but to do so.</w:t>
      </w:r>
    </w:p>
    <w:p>
      <w:pPr>
        <w:pStyle w:val="TextBody"/>
        <w:bidi w:val="0"/>
        <w:spacing w:before="200" w:after="200"/>
        <w:jc w:val="left"/>
        <w:rPr>
          <w:rFonts w:ascii="Arial" w:hAnsi="Arial"/>
          <w:b/>
          <w:color w:val="000000"/>
          <w:sz w:val="20"/>
        </w:rPr>
      </w:pPr>
      <w:r>
        <w:rPr>
          <w:rFonts w:ascii="Arial" w:hAnsi="Arial"/>
          <w:b/>
          <w:color w:val="000000"/>
          <w:sz w:val="20"/>
        </w:rPr>
        <w:t>Auditor’s responsibilities for the audit of the consolidated financial statements</w:t>
      </w:r>
    </w:p>
    <w:p>
      <w:pPr>
        <w:pStyle w:val="TextBody"/>
        <w:bidi w:val="0"/>
        <w:spacing w:before="0" w:after="200"/>
        <w:jc w:val="left"/>
        <w:rPr>
          <w:rFonts w:ascii="Times New Roman" w:hAnsi="Times New Roman"/>
          <w:sz w:val="20"/>
        </w:rPr>
      </w:pPr>
      <w:r>
        <w:rPr>
          <w:rFonts w:ascii="Georgia;serif" w:hAnsi="Georgia;serif"/>
          <w:color w:val="000000"/>
          <w:sz w:val="20"/>
        </w:rPr>
        <w:t>Our objectives are to obtain reasonable assurance about whether the consolidated financial statements as a whole are free from material misstatement, whether due to fraud or error, and to issue an auditor’s report that</w:t>
      </w:r>
      <w:r>
        <w:rPr>
          <w:rFonts w:ascii="Times New Roman" w:hAnsi="Times New Roman"/>
          <w:color w:val="000000"/>
          <w:sz w:val="20"/>
        </w:rPr>
        <w:t xml:space="preserve"> </w:t>
      </w:r>
    </w:p>
    <w:p>
      <w:pPr>
        <w:pStyle w:val="TextBody"/>
        <w:bidi w:val="0"/>
        <w:jc w:val="center"/>
        <w:rPr/>
      </w:pPr>
      <w:r>
        <w:rPr/>
        <w:t> </w:t>
      </w:r>
    </w:p>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283"/>
              <w:jc w:val="left"/>
              <w:rPr>
                <w:sz w:val="4"/>
                <w:szCs w:val="4"/>
              </w:rPr>
            </w:pPr>
            <w:r>
              <w:rPr>
                <w:sz w:val="4"/>
                <w:szCs w:val="4"/>
              </w:rPr>
            </w:r>
          </w:p>
        </w:tc>
      </w:tr>
      <w:tr>
        <w:trPr/>
        <w:tc>
          <w:tcPr>
            <w:tcW w:w="59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Report of the statutory auditor to the General Meeting of Oculis Holding AG, Zug</w:t>
            </w:r>
          </w:p>
        </w:tc>
      </w:tr>
    </w:tbl>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Georgia;serif" w:hAnsi="Georgia;serif"/>
          <w:color w:val="000000"/>
          <w:sz w:val="20"/>
        </w:rPr>
      </w:pPr>
      <w:r>
        <w:rPr>
          <w:rFonts w:ascii="Georgia;serif" w:hAnsi="Georgia;serif"/>
          <w:color w:val="000000"/>
          <w:sz w:val="20"/>
        </w:rPr>
        <w:t>includes our opinion. Reasonable assurance is a high level of assurance, but is not a guarantee that an audit conducted in accordance with Swiss law, ISA and SA-CH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w:t>
      </w:r>
    </w:p>
    <w:p>
      <w:pPr>
        <w:pStyle w:val="TextBody"/>
        <w:bidi w:val="0"/>
        <w:spacing w:before="0" w:after="200"/>
        <w:jc w:val="left"/>
        <w:rPr>
          <w:rFonts w:ascii="Georgia;serif" w:hAnsi="Georgia;serif"/>
          <w:color w:val="000000"/>
          <w:sz w:val="20"/>
        </w:rPr>
      </w:pPr>
      <w:r>
        <w:rPr>
          <w:rFonts w:ascii="Georgia;serif" w:hAnsi="Georgia;serif"/>
          <w:color w:val="000000"/>
          <w:sz w:val="20"/>
        </w:rPr>
        <w:t>As part of an audit in accordance with Swiss law, ISA and SA-CH, we exercise professional judgement and maintain professional scepticism throughout the audit. We also:</w:t>
      </w:r>
    </w:p>
    <w:p>
      <w:pPr>
        <w:pStyle w:val="TextBody"/>
        <w:bidi w:val="0"/>
        <w:spacing w:before="0" w:after="120"/>
        <w:jc w:val="left"/>
        <w:rPr>
          <w:color w:val="000000"/>
        </w:rPr>
      </w:pPr>
      <w:r>
        <w:rPr>
          <w:color w:val="000000"/>
        </w:rPr>
        <w:t>•</w:t>
      </w:r>
    </w:p>
    <w:p>
      <w:pPr>
        <w:pStyle w:val="TextBody"/>
        <w:bidi w:val="0"/>
        <w:spacing w:before="0" w:after="120"/>
        <w:jc w:val="left"/>
        <w:rPr>
          <w:rFonts w:ascii="Georgia;serif" w:hAnsi="Georgia;serif"/>
          <w:color w:val="000000"/>
          <w:sz w:val="20"/>
        </w:rPr>
      </w:pPr>
      <w:r>
        <w:rPr>
          <w:rFonts w:ascii="Georgia;serif" w:hAnsi="Georgia;serif"/>
          <w:color w:val="000000"/>
          <w:sz w:val="20"/>
        </w:rPr>
        <w:t>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pStyle w:val="TextBody"/>
        <w:bidi w:val="0"/>
        <w:spacing w:before="0" w:after="120"/>
        <w:jc w:val="left"/>
        <w:rPr>
          <w:color w:val="000000"/>
        </w:rPr>
      </w:pPr>
      <w:r>
        <w:rPr>
          <w:color w:val="000000"/>
        </w:rPr>
        <w:t>•</w:t>
      </w:r>
    </w:p>
    <w:p>
      <w:pPr>
        <w:pStyle w:val="TextBody"/>
        <w:bidi w:val="0"/>
        <w:spacing w:before="0" w:after="120"/>
        <w:jc w:val="left"/>
        <w:rPr>
          <w:rFonts w:ascii="Georgia;serif" w:hAnsi="Georgia;serif"/>
          <w:color w:val="000000"/>
          <w:sz w:val="20"/>
        </w:rPr>
      </w:pPr>
      <w:r>
        <w:rPr>
          <w:rFonts w:ascii="Georgia;serif" w:hAnsi="Georgia;serif"/>
          <w:color w:val="000000"/>
          <w:sz w:val="20"/>
        </w:rPr>
        <w:t>Obtain an understanding of internal control relevant to the audit in order to design audit procedures that are appropriate in the circumstances, but not for the purpose of expressing an opinion on the effectiveness of the Group’s internal control.</w:t>
      </w:r>
    </w:p>
    <w:p>
      <w:pPr>
        <w:pStyle w:val="TextBody"/>
        <w:bidi w:val="0"/>
        <w:spacing w:before="0" w:after="120"/>
        <w:jc w:val="left"/>
        <w:rPr>
          <w:color w:val="000000"/>
        </w:rPr>
      </w:pPr>
      <w:r>
        <w:rPr>
          <w:color w:val="000000"/>
        </w:rPr>
        <w:t>•</w:t>
      </w:r>
    </w:p>
    <w:p>
      <w:pPr>
        <w:pStyle w:val="TextBody"/>
        <w:bidi w:val="0"/>
        <w:spacing w:before="0" w:after="120"/>
        <w:jc w:val="left"/>
        <w:rPr>
          <w:rFonts w:ascii="Georgia;serif" w:hAnsi="Georgia;serif"/>
          <w:color w:val="000000"/>
          <w:sz w:val="20"/>
        </w:rPr>
      </w:pPr>
      <w:r>
        <w:rPr>
          <w:rFonts w:ascii="Georgia;serif" w:hAnsi="Georgia;serif"/>
          <w:color w:val="000000"/>
          <w:sz w:val="20"/>
        </w:rPr>
        <w:t>Evaluate the appropriateness of accounting policies used and the reasonableness of accounting estimates and related disclosures made.</w:t>
      </w:r>
    </w:p>
    <w:p>
      <w:pPr>
        <w:pStyle w:val="TextBody"/>
        <w:bidi w:val="0"/>
        <w:spacing w:before="0" w:after="120"/>
        <w:jc w:val="left"/>
        <w:rPr>
          <w:color w:val="000000"/>
        </w:rPr>
      </w:pPr>
      <w:r>
        <w:rPr>
          <w:color w:val="000000"/>
        </w:rPr>
        <w:t>•</w:t>
      </w:r>
    </w:p>
    <w:p>
      <w:pPr>
        <w:pStyle w:val="TextBody"/>
        <w:bidi w:val="0"/>
        <w:spacing w:before="0" w:after="120"/>
        <w:jc w:val="left"/>
        <w:rPr>
          <w:rFonts w:ascii="Georgia;serif" w:hAnsi="Georgia;serif"/>
          <w:color w:val="000000"/>
          <w:sz w:val="20"/>
        </w:rPr>
      </w:pPr>
      <w:r>
        <w:rPr>
          <w:rFonts w:ascii="Georgia;serif" w:hAnsi="Georgia;serif"/>
          <w:color w:val="000000"/>
          <w:sz w:val="20"/>
        </w:rPr>
        <w:t>Conclude on the appropriateness of the Board of Directors’ use of the going concern basis of accounting and, based on the audit evidence obtained, whether a material uncertainty exists related to events or conditions that may cast significant doubt on the Group’s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Group to cease to continue as a going concern.</w:t>
      </w:r>
    </w:p>
    <w:p>
      <w:pPr>
        <w:pStyle w:val="TextBody"/>
        <w:bidi w:val="0"/>
        <w:spacing w:before="0" w:after="120"/>
        <w:jc w:val="left"/>
        <w:rPr>
          <w:color w:val="000000"/>
        </w:rPr>
      </w:pPr>
      <w:r>
        <w:rPr>
          <w:color w:val="000000"/>
        </w:rPr>
        <w:t>•</w:t>
      </w:r>
    </w:p>
    <w:p>
      <w:pPr>
        <w:pStyle w:val="TextBody"/>
        <w:bidi w:val="0"/>
        <w:spacing w:before="0" w:after="120"/>
        <w:jc w:val="left"/>
        <w:rPr>
          <w:rFonts w:ascii="Georgia;serif" w:hAnsi="Georgia;serif"/>
          <w:color w:val="000000"/>
          <w:sz w:val="20"/>
        </w:rPr>
      </w:pPr>
      <w:r>
        <w:rPr>
          <w:rFonts w:ascii="Georgia;serif" w:hAnsi="Georgia;serif"/>
          <w:color w:val="000000"/>
          <w:sz w:val="20"/>
        </w:rPr>
        <w:t>Evaluate the overall presentation, structure and content of the consolidated financial statements, including the disclosures, and whether the consolidated financial statements represent the underlying transactions and events in a manner that achieves fair presentation.</w:t>
      </w:r>
    </w:p>
    <w:p>
      <w:pPr>
        <w:pStyle w:val="TextBody"/>
        <w:bidi w:val="0"/>
        <w:spacing w:before="0" w:after="120"/>
        <w:jc w:val="left"/>
        <w:rPr>
          <w:color w:val="000000"/>
        </w:rPr>
      </w:pPr>
      <w:r>
        <w:rPr>
          <w:color w:val="000000"/>
        </w:rPr>
        <w:t>•</w:t>
      </w:r>
    </w:p>
    <w:p>
      <w:pPr>
        <w:pStyle w:val="TextBody"/>
        <w:bidi w:val="0"/>
        <w:spacing w:before="0" w:after="120"/>
        <w:jc w:val="left"/>
        <w:rPr>
          <w:rFonts w:ascii="Georgia;serif" w:hAnsi="Georgia;serif"/>
          <w:color w:val="000000"/>
          <w:sz w:val="20"/>
        </w:rPr>
      </w:pPr>
      <w:r>
        <w:rPr>
          <w:rFonts w:ascii="Georgia;serif" w:hAnsi="Georgia;serif"/>
          <w:color w:val="000000"/>
          <w:sz w:val="20"/>
        </w:rPr>
        <w:t>Plan and perform the group audit to obtain sufficient appropriate audit evidence regarding the financial information of the entities or business units within the Group as a basis for forming an opinion on the consolidated financial statements. We are responsible for the direction, supervision and review of the audit work performed for purposes of the group audit. We remain solely responsible for our audit opinion.</w:t>
      </w:r>
    </w:p>
    <w:p>
      <w:pPr>
        <w:pStyle w:val="TextBody"/>
        <w:bidi w:val="0"/>
        <w:spacing w:before="120" w:after="200"/>
        <w:jc w:val="left"/>
        <w:rPr>
          <w:rFonts w:ascii="Georgia;serif" w:hAnsi="Georgia;serif"/>
          <w:color w:val="000000"/>
          <w:sz w:val="20"/>
        </w:rPr>
      </w:pPr>
      <w:r>
        <w:rPr>
          <w:rFonts w:ascii="Georgia;serif" w:hAnsi="Georgia;serif"/>
          <w:color w:val="000000"/>
          <w:sz w:val="20"/>
        </w:rPr>
        <w:t>We communicate with the Board of Directors or its relevant committee regarding, among other matters, the planned scope and timing of the audit and significant audit findings, including any significant deficiencies in internal control that we identify during our audit.</w:t>
      </w:r>
    </w:p>
    <w:p>
      <w:pPr>
        <w:pStyle w:val="TextBody"/>
        <w:bidi w:val="0"/>
        <w:spacing w:before="0" w:after="200"/>
        <w:jc w:val="left"/>
        <w:rPr>
          <w:rFonts w:ascii="Georgia;serif" w:hAnsi="Georgia;serif"/>
          <w:color w:val="000000"/>
          <w:sz w:val="20"/>
        </w:rPr>
      </w:pPr>
      <w:r>
        <w:rPr>
          <w:rFonts w:ascii="Georgia;serif" w:hAnsi="Georgia;serif"/>
          <w:color w:val="000000"/>
          <w:sz w:val="20"/>
        </w:rPr>
        <w:t>We also provide the Board of Directors or its relevant committee with a statement that we have complied with relevant ethical requirements regarding independence, and communicate with them regarding all relationships and other matters that may reasonably be thought to bear on our independence, and where applicable, actions taken to eliminate threats or safeguards applied.</w:t>
      </w:r>
    </w:p>
    <w:p>
      <w:pPr>
        <w:pStyle w:val="TextBody"/>
        <w:bidi w:val="0"/>
        <w:spacing w:before="0" w:after="200"/>
        <w:jc w:val="left"/>
        <w:rPr>
          <w:rFonts w:ascii="Times New Roman" w:hAnsi="Times New Roman"/>
          <w:sz w:val="20"/>
        </w:rPr>
      </w:pPr>
      <w:r>
        <w:rPr>
          <w:rFonts w:ascii="Georgia;serif" w:hAnsi="Georgia;serif"/>
          <w:color w:val="000000"/>
          <w:sz w:val="20"/>
        </w:rPr>
        <w:t>From the matters communicated with the Board of Directors or its relevant committee, we determine those matters that were of most significance in the audit of the consolidated financial statements of the current period</w:t>
      </w:r>
      <w:r>
        <w:rPr>
          <w:rFonts w:ascii="Times New Roman" w:hAnsi="Times New Roman"/>
          <w:color w:val="000000"/>
          <w:sz w:val="20"/>
        </w:rPr>
        <w:t xml:space="preserve"> </w:t>
      </w:r>
    </w:p>
    <w:p>
      <w:pPr>
        <w:pStyle w:val="TextBody"/>
        <w:bidi w:val="0"/>
        <w:jc w:val="center"/>
        <w:rPr/>
      </w:pPr>
      <w:r>
        <w:rPr/>
        <w:t> </w:t>
      </w:r>
    </w:p>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283"/>
              <w:jc w:val="left"/>
              <w:rPr>
                <w:sz w:val="4"/>
                <w:szCs w:val="4"/>
              </w:rPr>
            </w:pPr>
            <w:r>
              <w:rPr>
                <w:sz w:val="4"/>
                <w:szCs w:val="4"/>
              </w:rPr>
            </w:r>
          </w:p>
        </w:tc>
      </w:tr>
      <w:tr>
        <w:trPr/>
        <w:tc>
          <w:tcPr>
            <w:tcW w:w="59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Report of the statutory auditor to the General Meeting of Oculis Holding AG, Zug</w:t>
            </w:r>
          </w:p>
        </w:tc>
      </w:tr>
    </w:tbl>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Georgia;serif" w:hAnsi="Georgia;serif"/>
          <w:color w:val="000000"/>
          <w:sz w:val="20"/>
        </w:rPr>
      </w:pPr>
      <w:r>
        <w:rPr>
          <w:rFonts w:ascii="Georgia;serif" w:hAnsi="Georgia;serif"/>
          <w:color w:val="000000"/>
          <w:sz w:val="20"/>
        </w:rPr>
        <w:t>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pStyle w:val="TextBody"/>
        <w:bidi w:val="0"/>
        <w:spacing w:before="200" w:after="200"/>
        <w:jc w:val="left"/>
        <w:rPr>
          <w:rFonts w:ascii="Arial" w:hAnsi="Arial"/>
          <w:b/>
          <w:color w:val="000000"/>
          <w:sz w:val="24"/>
        </w:rPr>
      </w:pPr>
      <w:r>
        <w:rPr>
          <w:rFonts w:ascii="Arial" w:hAnsi="Arial"/>
          <w:b/>
          <w:color w:val="000000"/>
          <w:sz w:val="24"/>
        </w:rPr>
        <w:t>Report on other legal and regulatory requirements</w:t>
      </w:r>
    </w:p>
    <w:p>
      <w:pPr>
        <w:pStyle w:val="TextBody"/>
        <w:bidi w:val="0"/>
        <w:spacing w:before="0" w:after="200"/>
        <w:jc w:val="left"/>
        <w:rPr>
          <w:rFonts w:ascii="Georgia;serif" w:hAnsi="Georgia;serif"/>
          <w:color w:val="000000"/>
          <w:sz w:val="20"/>
        </w:rPr>
      </w:pPr>
      <w:r>
        <w:rPr>
          <w:rFonts w:ascii="Georgia;serif" w:hAnsi="Georgia;serif"/>
          <w:color w:val="000000"/>
          <w:sz w:val="20"/>
        </w:rPr>
        <w:t>In accordance with article 728a para. 1 item 3 CO and PS-CH 890, we confirm the existence of an internal control system that has been designed, pursuant to the instructions of the Board of Directors, for the preparation of the consolidated financial statements.</w:t>
      </w:r>
    </w:p>
    <w:p>
      <w:pPr>
        <w:pStyle w:val="TextBody"/>
        <w:bidi w:val="0"/>
        <w:spacing w:before="0" w:after="200"/>
        <w:jc w:val="left"/>
        <w:rPr>
          <w:rFonts w:ascii="Georgia;serif" w:hAnsi="Georgia;serif"/>
          <w:color w:val="000000"/>
          <w:sz w:val="20"/>
        </w:rPr>
      </w:pPr>
      <w:r>
        <w:rPr>
          <w:rFonts w:ascii="Georgia;serif" w:hAnsi="Georgia;serif"/>
          <w:color w:val="000000"/>
          <w:sz w:val="20"/>
        </w:rPr>
        <w:t>We recommend that the consolidated financial statements submitted to you be approved.</w:t>
      </w:r>
    </w:p>
    <w:p>
      <w:pPr>
        <w:pStyle w:val="TextBody"/>
        <w:bidi w:val="0"/>
        <w:spacing w:before="0" w:after="200"/>
        <w:jc w:val="left"/>
        <w:rPr>
          <w:rFonts w:ascii="Georgia;serif" w:hAnsi="Georgia;serif"/>
          <w:color w:val="000000"/>
          <w:sz w:val="20"/>
        </w:rPr>
      </w:pPr>
      <w:r>
        <w:rPr>
          <w:rFonts w:ascii="Georgia;serif" w:hAnsi="Georgia;serif"/>
          <w:color w:val="000000"/>
          <w:sz w:val="20"/>
        </w:rPr>
        <w:t>PricewaterhouseCoopers SA</w:t>
      </w:r>
    </w:p>
    <w:tbl>
      <w:tblPr>
        <w:tblW w:w="3887" w:type="dxa"/>
        <w:jc w:val="left"/>
        <w:tblInd w:w="0" w:type="dxa"/>
        <w:tblLayout w:type="fixed"/>
        <w:tblCellMar>
          <w:top w:w="28" w:type="dxa"/>
          <w:left w:w="28" w:type="dxa"/>
          <w:bottom w:w="28" w:type="dxa"/>
          <w:right w:w="28" w:type="dxa"/>
        </w:tblCellMar>
      </w:tblPr>
      <w:tblGrid>
        <w:gridCol w:w="1936"/>
        <w:gridCol w:w="1951"/>
      </w:tblGrid>
      <w:tr>
        <w:trPr/>
        <w:tc>
          <w:tcPr>
            <w:tcW w:w="193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1936" w:type="dxa"/>
            <w:tcBorders>
              <w:top w:val="single" w:sz="6" w:space="0" w:color="000000"/>
              <w:left w:val="single" w:sz="6" w:space="0" w:color="000000"/>
              <w:bottom w:val="single" w:sz="6" w:space="0" w:color="000000"/>
              <w:right w:val="single" w:sz="6" w:space="0" w:color="000000"/>
            </w:tcBorders>
            <w:tcMar>
              <w:left w:w="108" w:type="dxa"/>
              <w:right w:w="108" w:type="dxa"/>
            </w:tcMar>
            <w:vAlign w:val="center"/>
          </w:tcPr>
          <w:p>
            <w:pPr>
              <w:pStyle w:val="TableContents"/>
              <w:bidi w:val="0"/>
              <w:spacing w:before="0" w:after="283"/>
              <w:jc w:val="left"/>
              <w:rPr>
                <w:rFonts w:ascii="Georgia;serif" w:hAnsi="Georgia;serif"/>
                <w:color w:val="000000"/>
                <w:sz w:val="20"/>
              </w:rPr>
            </w:pPr>
            <w:r>
              <w:rPr>
                <w:rFonts w:ascii="Georgia;serif" w:hAnsi="Georgia;serif"/>
                <w:color w:val="000000"/>
                <w:sz w:val="20"/>
              </w:rPr>
              <w:t>/s/Alex Fuhrer</w:t>
            </w:r>
          </w:p>
        </w:tc>
        <w:tc>
          <w:tcPr>
            <w:tcW w:w="1951" w:type="dxa"/>
            <w:tcBorders>
              <w:top w:val="single" w:sz="6" w:space="0" w:color="000000"/>
              <w:bottom w:val="single" w:sz="6" w:space="0" w:color="000000"/>
              <w:right w:val="single" w:sz="6" w:space="0" w:color="000000"/>
            </w:tcBorders>
            <w:tcMar>
              <w:left w:w="0" w:type="dxa"/>
              <w:right w:w="108" w:type="dxa"/>
            </w:tcMar>
            <w:vAlign w:val="center"/>
          </w:tcPr>
          <w:p>
            <w:pPr>
              <w:pStyle w:val="TableContents"/>
              <w:bidi w:val="0"/>
              <w:spacing w:before="0" w:after="283"/>
              <w:jc w:val="left"/>
              <w:rPr>
                <w:rFonts w:ascii="Georgia;serif" w:hAnsi="Georgia;serif"/>
                <w:color w:val="000000"/>
                <w:sz w:val="20"/>
              </w:rPr>
            </w:pPr>
            <w:r>
              <w:rPr>
                <w:rFonts w:ascii="Georgia;serif" w:hAnsi="Georgia;serif"/>
                <w:color w:val="000000"/>
                <w:sz w:val="20"/>
              </w:rPr>
              <w:t>/s/ Violina Eremciuc</w:t>
            </w:r>
          </w:p>
        </w:tc>
      </w:tr>
      <w:tr>
        <w:trPr/>
        <w:tc>
          <w:tcPr>
            <w:tcW w:w="1936"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0" w:after="283"/>
              <w:jc w:val="left"/>
              <w:rPr>
                <w:rFonts w:ascii="Georgia;serif" w:hAnsi="Georgia;serif"/>
                <w:color w:val="000000"/>
                <w:sz w:val="20"/>
              </w:rPr>
            </w:pPr>
            <w:r>
              <w:rPr>
                <w:rFonts w:ascii="Georgia;serif" w:hAnsi="Georgia;serif"/>
                <w:color w:val="000000"/>
                <w:sz w:val="20"/>
              </w:rPr>
              <w:t>Licensed audit expert</w:t>
            </w:r>
          </w:p>
        </w:tc>
        <w:tc>
          <w:tcPr>
            <w:tcW w:w="1951" w:type="dxa"/>
            <w:tcBorders>
              <w:bottom w:val="single" w:sz="6" w:space="0" w:color="000000"/>
              <w:right w:val="single" w:sz="6"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r>
        <w:trPr/>
        <w:tc>
          <w:tcPr>
            <w:tcW w:w="1936"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0" w:after="283"/>
              <w:jc w:val="left"/>
              <w:rPr>
                <w:rFonts w:ascii="Georgia;serif" w:hAnsi="Georgia;serif"/>
                <w:color w:val="000000"/>
                <w:sz w:val="20"/>
              </w:rPr>
            </w:pPr>
            <w:r>
              <w:rPr>
                <w:rFonts w:ascii="Georgia;serif" w:hAnsi="Georgia;serif"/>
                <w:color w:val="000000"/>
                <w:sz w:val="20"/>
              </w:rPr>
              <w:t>Auditor in charge</w:t>
            </w:r>
          </w:p>
        </w:tc>
        <w:tc>
          <w:tcPr>
            <w:tcW w:w="1951" w:type="dxa"/>
            <w:tcBorders>
              <w:bottom w:val="single" w:sz="6" w:space="0" w:color="000000"/>
              <w:right w:val="single" w:sz="6" w:space="0" w:color="000000"/>
            </w:tcBorders>
            <w:tcMar>
              <w:top w:w="0" w:type="dxa"/>
              <w:left w:w="0" w:type="dxa"/>
              <w:right w:w="10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rFonts w:ascii="Georgia;serif" w:hAnsi="Georgia;serif"/>
          <w:color w:val="000000"/>
          <w:sz w:val="20"/>
        </w:rPr>
      </w:pPr>
      <w:r>
        <w:rPr>
          <w:rFonts w:ascii="Georgia;serif" w:hAnsi="Georgia;serif"/>
          <w:color w:val="000000"/>
          <w:sz w:val="20"/>
        </w:rPr>
        <w:t>Lausanne, March 4, 2026</w:t>
      </w:r>
    </w:p>
    <w:p>
      <w:pPr>
        <w:pStyle w:val="TextBody"/>
        <w:bidi w:val="0"/>
        <w:jc w:val="center"/>
        <w:rPr/>
      </w:pPr>
      <w:r>
        <w:rPr/>
        <w:t> </w:t>
      </w:r>
    </w:p>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283"/>
              <w:jc w:val="left"/>
              <w:rPr>
                <w:sz w:val="4"/>
                <w:szCs w:val="4"/>
              </w:rPr>
            </w:pPr>
            <w:r>
              <w:rPr>
                <w:sz w:val="4"/>
                <w:szCs w:val="4"/>
              </w:rPr>
            </w:r>
          </w:p>
        </w:tc>
      </w:tr>
      <w:tr>
        <w:trPr/>
        <w:tc>
          <w:tcPr>
            <w:tcW w:w="59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Report of the statutory auditor to the General Meeting of Oculis Holding AG, Zug</w:t>
            </w:r>
          </w:p>
        </w:tc>
      </w:tr>
    </w:tbl>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statements_financial_position"/>
      <w:bookmarkEnd w:id="8"/>
      <w:r>
        <w:rPr>
          <w:rFonts w:ascii="Times New Roman" w:hAnsi="Times New Roman"/>
          <w:b/>
          <w:color w:val="000000"/>
          <w:sz w:val="20"/>
        </w:rPr>
        <w:t>Oculis Holding AG</w:t>
      </w:r>
    </w:p>
    <w:p>
      <w:pPr>
        <w:pStyle w:val="TextBody"/>
        <w:bidi w:val="0"/>
        <w:jc w:val="left"/>
        <w:rPr>
          <w:rFonts w:ascii="Times New Roman" w:hAnsi="Times New Roman"/>
          <w:sz w:val="20"/>
        </w:rPr>
      </w:pPr>
      <w:r>
        <w:rPr>
          <w:rFonts w:ascii="Times New Roman" w:hAnsi="Times New Roman"/>
          <w:b/>
          <w:color w:val="000000"/>
          <w:sz w:val="20"/>
        </w:rPr>
        <w:t>Consolidated Statements of Financial Position</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(in CHF thousands)</w:t>
      </w:r>
    </w:p>
    <w:p>
      <w:pPr>
        <w:pStyle w:val="TextBody"/>
        <w:bidi w:val="0"/>
        <w:jc w:val="left"/>
        <w:rPr/>
      </w:pPr>
      <w:r>
        <w:rPr/>
        <w:t> </w:t>
      </w:r>
    </w:p>
    <w:tbl>
      <w:tblPr>
        <w:tblW w:w="8407" w:type="dxa"/>
        <w:jc w:val="left"/>
        <w:tblInd w:w="0" w:type="dxa"/>
        <w:tblLayout w:type="fixed"/>
        <w:tblCellMar>
          <w:top w:w="28" w:type="dxa"/>
          <w:left w:w="28" w:type="dxa"/>
          <w:bottom w:w="28" w:type="dxa"/>
          <w:right w:w="28" w:type="dxa"/>
        </w:tblCellMar>
      </w:tblPr>
      <w:tblGrid>
        <w:gridCol w:w="3946"/>
        <w:gridCol w:w="146"/>
        <w:gridCol w:w="466"/>
        <w:gridCol w:w="146"/>
        <w:gridCol w:w="258"/>
        <w:gridCol w:w="1332"/>
        <w:gridCol w:w="166"/>
        <w:gridCol w:w="146"/>
        <w:gridCol w:w="258"/>
        <w:gridCol w:w="1332"/>
        <w:gridCol w:w="2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3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17,074</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3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15,456</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218,889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104,897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120,353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344,946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Reserve for share-based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Actuarial loss on post-employment benefit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Cumulative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196,070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73,383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Defined benefit pension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3,146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2,735</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expenses and other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44,235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46,970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120,353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form an integral part of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statement_loss"/>
      <w:bookmarkEnd w:id="9"/>
      <w:r>
        <w:rPr>
          <w:rFonts w:ascii="Times New Roman" w:hAnsi="Times New Roman"/>
          <w:b/>
          <w:color w:val="000000"/>
          <w:sz w:val="20"/>
        </w:rPr>
        <w:t>Oculis Holding AG</w:t>
      </w:r>
    </w:p>
    <w:p>
      <w:pPr>
        <w:pStyle w:val="TextBody"/>
        <w:bidi w:val="0"/>
        <w:jc w:val="both"/>
        <w:rPr>
          <w:rFonts w:ascii="Times New Roman" w:hAnsi="Times New Roman"/>
          <w:b/>
          <w:color w:val="000000"/>
          <w:sz w:val="20"/>
        </w:rPr>
      </w:pPr>
      <w:r>
        <w:rPr>
          <w:rFonts w:ascii="Times New Roman" w:hAnsi="Times New Roman"/>
          <w:b/>
          <w:color w:val="000000"/>
          <w:sz w:val="20"/>
        </w:rPr>
        <w:t>Consolidated Statements of Loss</w:t>
      </w:r>
    </w:p>
    <w:p>
      <w:pPr>
        <w:pStyle w:val="TextBody"/>
        <w:bidi w:val="0"/>
        <w:jc w:val="both"/>
        <w:rPr>
          <w:rFonts w:ascii="Times New Roman" w:hAnsi="Times New Roman"/>
          <w:sz w:val="20"/>
        </w:rPr>
      </w:pPr>
      <w:r>
        <w:rPr>
          <w:rFonts w:ascii="Times New Roman" w:hAnsi="Times New Roman"/>
          <w:i/>
          <w:color w:val="000000"/>
          <w:sz w:val="20"/>
        </w:rPr>
        <w:t>(in CHF thousands, except loss per share data)</w:t>
      </w:r>
      <w:r>
        <w:rPr>
          <w:rFonts w:ascii="Times New Roman" w:hAnsi="Times New Roman"/>
          <w:color w:val="000000"/>
          <w:sz w:val="20"/>
        </w:rPr>
        <w:t xml:space="preserve"> </w:t>
      </w:r>
    </w:p>
    <w:p>
      <w:pPr>
        <w:pStyle w:val="TextBody"/>
        <w:bidi w:val="0"/>
        <w:jc w:val="both"/>
        <w:rPr/>
      </w:pPr>
      <w:r>
        <w:rPr/>
        <w:t> </w:t>
      </w:r>
    </w:p>
    <w:tbl>
      <w:tblPr>
        <w:tblW w:w="8125" w:type="dxa"/>
        <w:jc w:val="left"/>
        <w:tblInd w:w="0" w:type="dxa"/>
        <w:tblLayout w:type="fixed"/>
        <w:tblCellMar>
          <w:top w:w="28" w:type="dxa"/>
          <w:left w:w="28" w:type="dxa"/>
          <w:bottom w:w="28" w:type="dxa"/>
          <w:right w:w="28" w:type="dxa"/>
        </w:tblCellMar>
      </w:tblPr>
      <w:tblGrid>
        <w:gridCol w:w="3721"/>
        <w:gridCol w:w="146"/>
        <w:gridCol w:w="856"/>
        <w:gridCol w:w="146"/>
        <w:gridCol w:w="146"/>
        <w:gridCol w:w="661"/>
        <w:gridCol w:w="166"/>
        <w:gridCol w:w="146"/>
        <w:gridCol w:w="146"/>
        <w:gridCol w:w="661"/>
        <w:gridCol w:w="166"/>
        <w:gridCol w:w="146"/>
        <w:gridCol w:w="661"/>
        <w:gridCol w:w="166"/>
        <w:gridCol w:w="1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(A) /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Merger and listing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 on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(C) /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exchange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Finance result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(17,471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(12,733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(7,981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tax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(98,957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(85,777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 loss attributable to equity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form an integral part of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0" w:name="statemetnt_comprehensive_loss"/>
      <w:bookmarkEnd w:id="10"/>
      <w:r>
        <w:rPr>
          <w:rFonts w:ascii="Times New Roman" w:hAnsi="Times New Roman"/>
          <w:b/>
          <w:color w:val="000000"/>
          <w:sz w:val="20"/>
        </w:rPr>
        <w:t>Oculis Holding AG</w:t>
      </w:r>
    </w:p>
    <w:p>
      <w:pPr>
        <w:pStyle w:val="TextBody"/>
        <w:bidi w:val="0"/>
        <w:jc w:val="both"/>
        <w:rPr>
          <w:rFonts w:ascii="Times New Roman" w:hAnsi="Times New Roman"/>
          <w:sz w:val="20"/>
        </w:rPr>
      </w:pPr>
      <w:r>
        <w:rPr>
          <w:rFonts w:ascii="Times New Roman" w:hAnsi="Times New Roman"/>
          <w:b/>
          <w:color w:val="000000"/>
          <w:sz w:val="20"/>
        </w:rPr>
        <w:t>Consolidated Statements of Comprehensive Loss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i/>
          <w:color w:val="000000"/>
          <w:sz w:val="20"/>
        </w:rPr>
        <w:t>(in CHF thousands)</w:t>
      </w:r>
      <w:r>
        <w:rPr>
          <w:rFonts w:ascii="Times New Roman" w:hAnsi="Times New Roman"/>
          <w:color w:val="000000"/>
          <w:sz w:val="20"/>
        </w:rPr>
        <w:t xml:space="preserve"> </w:t>
      </w:r>
    </w:p>
    <w:p>
      <w:pPr>
        <w:pStyle w:val="TextBody"/>
        <w:bidi w:val="0"/>
        <w:jc w:val="left"/>
        <w:rPr/>
      </w:pPr>
      <w:r>
        <w:rPr/>
        <w:t> </w:t>
      </w:r>
    </w:p>
    <w:tbl>
      <w:tblPr>
        <w:tblW w:w="8009" w:type="dxa"/>
        <w:jc w:val="left"/>
        <w:tblInd w:w="0" w:type="dxa"/>
        <w:tblLayout w:type="fixed"/>
        <w:tblCellMar>
          <w:top w:w="28" w:type="dxa"/>
          <w:left w:w="28" w:type="dxa"/>
          <w:bottom w:w="28" w:type="dxa"/>
          <w:right w:w="28" w:type="dxa"/>
        </w:tblCellMar>
      </w:tblPr>
      <w:tblGrid>
        <w:gridCol w:w="4066"/>
        <w:gridCol w:w="541"/>
        <w:gridCol w:w="146"/>
        <w:gridCol w:w="146"/>
        <w:gridCol w:w="146"/>
        <w:gridCol w:w="661"/>
        <w:gridCol w:w="166"/>
        <w:gridCol w:w="146"/>
        <w:gridCol w:w="146"/>
        <w:gridCol w:w="661"/>
        <w:gridCol w:w="166"/>
        <w:gridCol w:w="146"/>
        <w:gridCol w:w="661"/>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top w:val="single" w:sz="4" w:space="0" w:color="FFFFFF"/>
              <w:left w:val="single" w:sz="4" w:space="0" w:color="FFFFFF"/>
              <w:bottom w:val="single" w:sz="4" w:space="0" w:color="FFFFFF"/>
              <w:right w:val="single" w:sz="4" w:space="0" w:color="FFFFFF"/>
            </w:tcBorders>
            <w:shd w:fill="FFFFFF" w:val="clear"/>
            <w:vAlign w:val="center"/>
          </w:tcPr>
          <w:p>
            <w:pPr>
              <w:pStyle w:val="TableContents"/>
              <w:bidi w:val="0"/>
              <w:spacing w:before="0" w:after="283"/>
              <w:jc w:val="center"/>
              <w:rPr/>
            </w:pPr>
            <w:r>
              <w:rPr/>
              <w:t> </w:t>
            </w:r>
          </w:p>
        </w:tc>
        <w:tc>
          <w:tcPr>
            <w:tcW w:w="541" w:type="dxa"/>
            <w:tcBorders>
              <w:top w:val="single" w:sz="4" w:space="0" w:color="FFFFFF"/>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FFFFFF"/>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9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center"/>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for the period</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(88,802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 (loss)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66"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that will not be reclassified to Statements of Loss:</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FFFFFF"/>
              <w:right w:val="single" w:sz="4" w:space="0" w:color="FFFFFF"/>
            </w:tcBorders>
            <w:shd w:fill="CFF0FC" w:val="clear"/>
            <w:tcMar>
              <w:top w:w="0" w:type="dxa"/>
              <w:left w:w="0" w:type="dxa"/>
            </w:tcMar>
            <w:vAlign w:val="center"/>
          </w:tcPr>
          <w:p>
            <w:pPr>
              <w:pStyle w:val="TableContents"/>
              <w:bidi w:val="0"/>
              <w:spacing w:before="0" w:after="283"/>
              <w:jc w:val="right"/>
              <w:rPr/>
            </w:pPr>
            <w:r>
              <w:rPr/>
              <w:t> </w:t>
            </w:r>
          </w:p>
        </w:tc>
      </w:tr>
      <w:tr>
        <w:trPr/>
        <w:tc>
          <w:tcPr>
            <w:tcW w:w="4066"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Actuarial gain (loss) of defined benefit plans</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6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6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w:t>
            </w:r>
          </w:p>
        </w:tc>
        <w:tc>
          <w:tcPr>
            <w:tcW w:w="21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6"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that may be reclassified subsequently to loss:</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FFFFFF"/>
              <w:right w:val="single" w:sz="4" w:space="0" w:color="FFFFFF"/>
            </w:tcBorders>
            <w:shd w:fill="CFF0FC" w:val="clear"/>
            <w:tcMar>
              <w:top w:w="0" w:type="dxa"/>
              <w:left w:w="0" w:type="dxa"/>
            </w:tcMar>
            <w:vAlign w:val="center"/>
          </w:tcPr>
          <w:p>
            <w:pPr>
              <w:pStyle w:val="TableContents"/>
              <w:bidi w:val="0"/>
              <w:spacing w:before="0" w:after="283"/>
              <w:jc w:val="right"/>
              <w:rPr/>
            </w:pPr>
            <w:r>
              <w:rPr/>
              <w:t> </w:t>
            </w:r>
          </w:p>
        </w:tc>
      </w:tr>
      <w:tr>
        <w:trPr/>
        <w:tc>
          <w:tcPr>
            <w:tcW w:w="4066"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differences</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6"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differences recycling</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left w:val="single" w:sz="4" w:space="0" w:color="FFFFFF"/>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 (loss) for the period</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4066" w:type="dxa"/>
            <w:tcBorders>
              <w:left w:val="single" w:sz="4" w:space="0" w:color="FFFFFF"/>
              <w:right w:val="single" w:sz="4" w:space="0" w:color="FFFFFF"/>
            </w:tcBorders>
            <w:shd w:fill="FFFFFF" w:val="clear"/>
            <w:tcMar>
              <w:top w:w="0" w:type="dxa"/>
              <w:bottom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loss for the period</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(98,567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(86,882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(89,637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form an integral part of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statement_change_equity"/>
      <w:bookmarkEnd w:id="11"/>
      <w:r>
        <w:rPr>
          <w:rFonts w:ascii="Times New Roman" w:hAnsi="Times New Roman"/>
          <w:b/>
          <w:color w:val="000000"/>
          <w:sz w:val="20"/>
        </w:rPr>
        <w:t>Oculis Holding AG</w:t>
      </w:r>
    </w:p>
    <w:p>
      <w:pPr>
        <w:pStyle w:val="TextBody"/>
        <w:bidi w:val="0"/>
        <w:jc w:val="left"/>
        <w:rPr>
          <w:rFonts w:ascii="Times New Roman" w:hAnsi="Times New Roman"/>
          <w:b/>
          <w:color w:val="000000"/>
          <w:sz w:val="20"/>
        </w:rPr>
      </w:pPr>
      <w:r>
        <w:rPr>
          <w:rFonts w:ascii="Times New Roman" w:hAnsi="Times New Roman"/>
          <w:b/>
          <w:color w:val="000000"/>
          <w:sz w:val="20"/>
        </w:rPr>
        <w:t>Consolidated Statements of Changes in Equity</w:t>
      </w:r>
    </w:p>
    <w:p>
      <w:pPr>
        <w:pStyle w:val="TextBody"/>
        <w:bidi w:val="0"/>
        <w:jc w:val="left"/>
        <w:rPr>
          <w:rFonts w:ascii="Times New Roman" w:hAnsi="Times New Roman"/>
          <w:sz w:val="20"/>
        </w:rPr>
      </w:pPr>
      <w:r>
        <w:rPr>
          <w:rFonts w:ascii="Times New Roman" w:hAnsi="Times New Roman"/>
          <w:i/>
          <w:color w:val="000000"/>
          <w:sz w:val="18"/>
        </w:rPr>
        <w:t>(in CHF thousands, except share numbers)</w:t>
      </w:r>
      <w:r>
        <w:rPr>
          <w:rFonts w:ascii="Times New Roman" w:hAnsi="Times New Roman"/>
          <w:color w:val="000000"/>
          <w:sz w:val="20"/>
        </w:rPr>
        <w:t xml:space="preserve"> </w:t>
      </w:r>
    </w:p>
    <w:tbl>
      <w:tblPr>
        <w:tblW w:w="15281" w:type="dxa"/>
        <w:jc w:val="left"/>
        <w:tblInd w:w="0" w:type="dxa"/>
        <w:tblLayout w:type="fixed"/>
        <w:tblCellMar>
          <w:top w:w="28" w:type="dxa"/>
          <w:left w:w="28" w:type="dxa"/>
          <w:bottom w:w="28" w:type="dxa"/>
          <w:right w:w="28" w:type="dxa"/>
        </w:tblCellMar>
      </w:tblPr>
      <w:tblGrid>
        <w:gridCol w:w="961"/>
        <w:gridCol w:w="146"/>
        <w:gridCol w:w="361"/>
        <w:gridCol w:w="146"/>
        <w:gridCol w:w="631"/>
        <w:gridCol w:w="151"/>
        <w:gridCol w:w="146"/>
        <w:gridCol w:w="157"/>
        <w:gridCol w:w="294"/>
        <w:gridCol w:w="151"/>
        <w:gridCol w:w="146"/>
        <w:gridCol w:w="146"/>
        <w:gridCol w:w="541"/>
        <w:gridCol w:w="151"/>
        <w:gridCol w:w="146"/>
        <w:gridCol w:w="239"/>
        <w:gridCol w:w="347"/>
        <w:gridCol w:w="151"/>
        <w:gridCol w:w="146"/>
        <w:gridCol w:w="146"/>
        <w:gridCol w:w="146"/>
        <w:gridCol w:w="646"/>
        <w:gridCol w:w="146"/>
        <w:gridCol w:w="146"/>
        <w:gridCol w:w="152"/>
        <w:gridCol w:w="299"/>
        <w:gridCol w:w="146"/>
        <w:gridCol w:w="146"/>
        <w:gridCol w:w="146"/>
        <w:gridCol w:w="631"/>
        <w:gridCol w:w="151"/>
        <w:gridCol w:w="146"/>
        <w:gridCol w:w="205"/>
        <w:gridCol w:w="381"/>
        <w:gridCol w:w="151"/>
        <w:gridCol w:w="146"/>
        <w:gridCol w:w="146"/>
        <w:gridCol w:w="496"/>
        <w:gridCol w:w="151"/>
        <w:gridCol w:w="146"/>
        <w:gridCol w:w="180"/>
        <w:gridCol w:w="541"/>
        <w:gridCol w:w="151"/>
        <w:gridCol w:w="146"/>
        <w:gridCol w:w="181"/>
        <w:gridCol w:w="525"/>
        <w:gridCol w:w="151"/>
        <w:gridCol w:w="146"/>
        <w:gridCol w:w="259"/>
        <w:gridCol w:w="747"/>
        <w:gridCol w:w="151"/>
        <w:gridCol w:w="146"/>
        <w:gridCol w:w="169"/>
        <w:gridCol w:w="627"/>
        <w:gridCol w:w="151"/>
        <w:gridCol w:w="146"/>
        <w:gridCol w:w="146"/>
        <w:gridCol w:w="496"/>
        <w:gridCol w:w="196"/>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Legacy share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Legacy treasury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Note</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 capital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 premium</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Reserve for share-based payment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Cumulative translation adjustment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Actuarial gain (loss) on post-employment benefit obligations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losses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3,894,722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(114,323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10,742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2,771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(264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(110,978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(97,991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(88,802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(88,802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Actuarial loss on post-employment benefit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differences recycling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4,978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comprehensive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(808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(88,802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(89,637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Legacy Oculis ordinary shares and treasury shares into Oculis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(3,894,722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114,323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3,780,399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Legacy Oculis long-term financial debt into Oculis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16,496,603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124,637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ordinary shares to PIPE investors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7,118,891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66,983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ordinary shares under CLA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ordinary shares to EBAC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3,370,480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Transaction costs related to the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Proceeds from sale of shares in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3,654,234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38,179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Transaction costs related to the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option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shares in connection with warrant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36,649,705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288,162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6,379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(1,072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(199,780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93,728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36,649,705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288,162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6,379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(327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(199,780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93,728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(85,777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(85,777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Actuarial loss on post-employment benefit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comprehensive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(1,161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(85,777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(86,882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ordinary shares related to registered direct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53,541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Transaction costs related to registered direct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shares to be held as 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Vesting of earnout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1,422,723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Warrants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options exercised and RSUs vested/released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310,941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44,662,402</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446</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(1,000,000</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344,946</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16,062</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(271</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(2,233</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2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(285,557</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73,383</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44,662,402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(1,000,000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344,946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16,062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(2,233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(285,557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73,383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(98,957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(98,957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Actuarial gain on post-employment benefit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comprehensive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(209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(98,957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(98,567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ordinary shares related to underwritten offerings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7,635,801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2,796,297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178,755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178,859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Transaction costs related to the issuance of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Vesting of earnout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1,422,723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shares to be held as treasury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Warrants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1,929,467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options exercised and RSUs vested/released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537,748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58,688,141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(703,703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551,731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30,387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(480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(1,634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(384,514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196,070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The accompanying notes form an integral part of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statement_cash_flow"/>
      <w:bookmarkEnd w:id="12"/>
      <w:r>
        <w:rPr>
          <w:rFonts w:ascii="Times New Roman" w:hAnsi="Times New Roman"/>
          <w:b/>
          <w:color w:val="000000"/>
          <w:sz w:val="20"/>
        </w:rPr>
        <w:t>Oculis Holding AG</w:t>
      </w:r>
    </w:p>
    <w:p>
      <w:pPr>
        <w:pStyle w:val="TextBody"/>
        <w:bidi w:val="0"/>
        <w:jc w:val="left"/>
        <w:rPr>
          <w:rFonts w:ascii="Times New Roman" w:hAnsi="Times New Roman"/>
          <w:sz w:val="20"/>
        </w:rPr>
      </w:pPr>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20"/>
        </w:rPr>
        <w:t>(in CHF thousands)</w:t>
      </w:r>
      <w:r>
        <w:rPr>
          <w:rFonts w:ascii="Times New Roman" w:hAnsi="Times New Roman"/>
          <w:color w:val="000000"/>
          <w:sz w:val="20"/>
        </w:rPr>
        <w:t xml:space="preserve"> </w:t>
      </w:r>
    </w:p>
    <w:tbl>
      <w:tblPr>
        <w:tblW w:w="9196" w:type="dxa"/>
        <w:jc w:val="left"/>
        <w:tblInd w:w="0" w:type="dxa"/>
        <w:tblLayout w:type="fixed"/>
        <w:tblCellMar>
          <w:top w:w="28" w:type="dxa"/>
          <w:left w:w="28" w:type="dxa"/>
          <w:bottom w:w="28" w:type="dxa"/>
          <w:right w:w="28" w:type="dxa"/>
        </w:tblCellMar>
      </w:tblPr>
      <w:tblGrid>
        <w:gridCol w:w="4741"/>
        <w:gridCol w:w="146"/>
        <w:gridCol w:w="781"/>
        <w:gridCol w:w="146"/>
        <w:gridCol w:w="146"/>
        <w:gridCol w:w="691"/>
        <w:gridCol w:w="166"/>
        <w:gridCol w:w="146"/>
        <w:gridCol w:w="154"/>
        <w:gridCol w:w="701"/>
        <w:gridCol w:w="166"/>
        <w:gridCol w:w="146"/>
        <w:gridCol w:w="149"/>
        <w:gridCol w:w="706"/>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2024 </w:t>
              <w:br/>
              <w:t>(as recast)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2023 </w:t>
              <w:br/>
              <w:t>(as recast)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before tax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(99,143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(88,695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Financial result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Depreciation of property and equipment and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Interest expense on Series B and C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 / 7.(C)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Post-employment (benefits)/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Fair value adjustment on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Merger and listing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Working capital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De/(Increase) in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De/(Increase) in accrued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De/(Increase) in other operating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(De)/Increase in payables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(De)/Increase in long-term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(paid)/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cash outflow for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(55,037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for 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for short-term financial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for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cash outflow for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(60,934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(16,083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(52,973</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 of shares in public offerings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 costs related to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exercises of warrants,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Principal payment of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the shares issued to PIPE investors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the shares issued to CLA investors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EBAC non-redeemed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 costs related to the business combination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cash inflow for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186,918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129,626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59,680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21,616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foreign exchange rate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cash and cash equivalents variation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59,680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21,616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non-cash investing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acquisition recorded in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 recorded in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non-cash financing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 costs recorded in accrued expenses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form an integral part of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3" w:name="footnotes"/>
      <w:bookmarkEnd w:id="13"/>
      <w:r>
        <w:rPr>
          <w:rFonts w:ascii="Times New Roman" w:hAnsi="Times New Roman"/>
          <w:b/>
          <w:color w:val="000000"/>
          <w:sz w:val="20"/>
        </w:rPr>
        <w:t>Oculis Holding AG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aps/>
          <w:color w:val="000000"/>
          <w:sz w:val="20"/>
        </w:rPr>
        <w:t>Notes to the consolidated financial statements</w:t>
      </w:r>
      <w:r>
        <w:rPr>
          <w:rFonts w:ascii="Times New Roman" w:hAnsi="Times New Roman"/>
          <w:caps/>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(All amounts presented in CHF thousands, except share numbers, unless otherwise noted)</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w:t>
      </w:r>
    </w:p>
    <w:p>
      <w:pPr>
        <w:pStyle w:val="TextBody"/>
        <w:bidi w:val="0"/>
        <w:jc w:val="both"/>
        <w:rPr>
          <w:rFonts w:ascii="Times New Roman" w:hAnsi="Times New Roman"/>
          <w:b/>
          <w:color w:val="000000"/>
          <w:sz w:val="20"/>
        </w:rPr>
      </w:pPr>
      <w:r>
        <w:rPr>
          <w:rFonts w:ascii="Times New Roman" w:hAnsi="Times New Roman"/>
          <w:b/>
          <w:color w:val="000000"/>
          <w:sz w:val="20"/>
        </w:rPr>
        <w:t>CORPORATE INFORMATION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Oculis Holding AG (“</w:t>
      </w:r>
      <w:r>
        <w:rPr>
          <w:rFonts w:ascii="Times New Roman" w:hAnsi="Times New Roman"/>
          <w:i/>
          <w:color w:val="000000"/>
          <w:sz w:val="20"/>
        </w:rPr>
        <w:t>Oculis”</w:t>
      </w:r>
      <w:r>
        <w:rPr>
          <w:rFonts w:ascii="Times New Roman" w:hAnsi="Times New Roman"/>
          <w:color w:val="000000"/>
          <w:sz w:val="20"/>
        </w:rPr>
        <w:t xml:space="preserve"> or the “</w:t>
      </w:r>
      <w:r>
        <w:rPr>
          <w:rFonts w:ascii="Times New Roman" w:hAnsi="Times New Roman"/>
          <w:i/>
          <w:color w:val="000000"/>
          <w:sz w:val="20"/>
        </w:rPr>
        <w:t>Company”</w:t>
      </w:r>
      <w:r>
        <w:rPr>
          <w:rFonts w:ascii="Times New Roman" w:hAnsi="Times New Roman"/>
          <w:color w:val="000000"/>
          <w:sz w:val="20"/>
        </w:rPr>
        <w:t>) is a stock corporation (“</w:t>
      </w:r>
      <w:r>
        <w:rPr>
          <w:rFonts w:ascii="Times New Roman" w:hAnsi="Times New Roman"/>
          <w:i/>
          <w:color w:val="000000"/>
          <w:sz w:val="20"/>
        </w:rPr>
        <w:t>Aktiengesellschaft”</w:t>
      </w:r>
      <w:r>
        <w:rPr>
          <w:rFonts w:ascii="Times New Roman" w:hAnsi="Times New Roman"/>
          <w:color w:val="000000"/>
          <w:sz w:val="20"/>
        </w:rPr>
        <w:t>) with its registered office at Bahnhofstrasse 20, CH-6300, Zug, Switzerland. It was incorporated under the laws of Switzerland on October 31, 2022.</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Company controls seven wholly-owned subsidiaries: Oculis Operations Sàrl (“</w:t>
      </w:r>
      <w:r>
        <w:rPr>
          <w:rFonts w:ascii="Times New Roman" w:hAnsi="Times New Roman"/>
          <w:i/>
          <w:color w:val="000000"/>
          <w:sz w:val="20"/>
        </w:rPr>
        <w:t>Oculis Operations”</w:t>
      </w:r>
      <w:r>
        <w:rPr>
          <w:rFonts w:ascii="Times New Roman" w:hAnsi="Times New Roman"/>
          <w:color w:val="000000"/>
          <w:sz w:val="20"/>
        </w:rPr>
        <w:t>) with its registered office in Lausanne, Switzerland, which was incorporated in Zug, Switzerland on December 27, 2022, Oculis ehf (“</w:t>
      </w:r>
      <w:r>
        <w:rPr>
          <w:rFonts w:ascii="Times New Roman" w:hAnsi="Times New Roman"/>
          <w:i/>
          <w:color w:val="000000"/>
          <w:sz w:val="20"/>
        </w:rPr>
        <w:t>Oculis Iceland”)</w:t>
      </w:r>
      <w:r>
        <w:rPr>
          <w:rFonts w:ascii="Times New Roman" w:hAnsi="Times New Roman"/>
          <w:color w:val="000000"/>
          <w:sz w:val="20"/>
        </w:rPr>
        <w:t>, which was incorporated in Reykjavik, Iceland on October 28, 2003, Oculis France Sàrl (“</w:t>
      </w:r>
      <w:r>
        <w:rPr>
          <w:rFonts w:ascii="Times New Roman" w:hAnsi="Times New Roman"/>
          <w:i/>
          <w:color w:val="000000"/>
          <w:sz w:val="20"/>
        </w:rPr>
        <w:t>Oculis France”</w:t>
      </w:r>
      <w:r>
        <w:rPr>
          <w:rFonts w:ascii="Times New Roman" w:hAnsi="Times New Roman"/>
          <w:color w:val="000000"/>
          <w:sz w:val="20"/>
        </w:rPr>
        <w:t>) which was incorporated in Paris, France on March 27, 2020, Oculis US, Inc. with its registered office in Newton MA, USA, which was incorporated in Delaware, USA, on May 26, 2020, Oculis HK, Limited (“</w:t>
      </w:r>
      <w:r>
        <w:rPr>
          <w:rFonts w:ascii="Times New Roman" w:hAnsi="Times New Roman"/>
          <w:i/>
          <w:color w:val="000000"/>
          <w:sz w:val="20"/>
        </w:rPr>
        <w:t>Oculis HK”</w:t>
      </w:r>
      <w:r>
        <w:rPr>
          <w:rFonts w:ascii="Times New Roman" w:hAnsi="Times New Roman"/>
          <w:color w:val="000000"/>
          <w:sz w:val="20"/>
        </w:rPr>
        <w:t>) which was incorporated in Hong Kong, China on June 1, 2021, Neurocol IP Sàrl (“</w:t>
      </w:r>
      <w:r>
        <w:rPr>
          <w:rFonts w:ascii="Times New Roman" w:hAnsi="Times New Roman"/>
          <w:i/>
          <w:color w:val="000000"/>
          <w:sz w:val="20"/>
        </w:rPr>
        <w:t>Neurocol IP”</w:t>
      </w:r>
      <w:r>
        <w:rPr>
          <w:rFonts w:ascii="Times New Roman" w:hAnsi="Times New Roman"/>
          <w:color w:val="000000"/>
          <w:sz w:val="20"/>
        </w:rPr>
        <w:t>), which was incorporated in Lausanne, Switzerland on December 4, 2025, and Neurocol Operations Sàrl (“</w:t>
      </w:r>
      <w:r>
        <w:rPr>
          <w:rFonts w:ascii="Times New Roman" w:hAnsi="Times New Roman"/>
          <w:i/>
          <w:color w:val="000000"/>
          <w:sz w:val="20"/>
        </w:rPr>
        <w:t>Neurocol Operations”</w:t>
      </w:r>
      <w:r>
        <w:rPr>
          <w:rFonts w:ascii="Times New Roman" w:hAnsi="Times New Roman"/>
          <w:color w:val="000000"/>
          <w:sz w:val="20"/>
        </w:rPr>
        <w:t>), which was incorporated in Lausanne, Switzerland on December 4, 2025. The Company and its wholly-owned subsidiaries form the Oculis Group (the “</w:t>
      </w:r>
      <w:r>
        <w:rPr>
          <w:rFonts w:ascii="Times New Roman" w:hAnsi="Times New Roman"/>
          <w:i/>
          <w:color w:val="000000"/>
          <w:sz w:val="20"/>
        </w:rPr>
        <w:t>Group”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Oculis is a global late clinical-stage biopharmaceutical company with substantial expertise in therapeutics for the treatment of ophthalmic and neuro-ophthalmic diseases. Oculis is engaged in developing innovative drug candidates with the potential to address significant unmet medical needs for many eye-related and neuro-ophthalmic conditions. The Company’s mission is to save sight and improve eye care for patients worldwide and it intends to become a global leader in ophthalmic and neuro-ophthalmic therapeutics to realize this mission.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consolidated financial statements of Oculis as of and for the year ended December 31, 2025, were approved and authorized for issue by the Company’s Board of Directors on March 4, 2026.</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2.</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BASIS OF PREPARATION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Group’s accounts are prepared on a going concern basis. To date, the Group has financed its cash requirements primarily from share issuances, as well as government research and development grants. The November and February 2025 offerings, as well as prior financing transactions raised funding to secure business continuity as explained under Note 5. The Board of Directors believes that the Group has the ability to meet its financial obligations for at least the next 12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is a late clinical stage company and is exposed to all the risks inherent to establishing a business,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preclinical and clinical development; (iv) successfully obtain regulatory approval and commercialize its products; and (v) attract and retain key personnel. The Company’s success is subject to its ability to raise capital to support its current and future operations. To date, the Company has financed its cash requirements primarily through the sale of its preferred and ordinary shares and issuance of shares from warrants exercises. The Company will continue to evaluate additional funding through public or private financings, debt financing or collaboration agreements. The Company cannot be certain that additional funding will be available on acceptable terms, or at all. If the Company is unable to raise additional capital when required or on acceptable terms, it may have to (i) significantly delay, scale back or discontinue the development of one or more of its product candidates; (ii) seek collaborators for product candidates at an earlier stage than otherwise would be desirable and on terms that are less favorable than might otherwise be available; or (iii) relinquish or otherwise dispose of rights to product candidates that the Company would otherwise seek to develop itself, on unfavorable terms.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Statement of compliance </w:t>
      </w:r>
    </w:p>
    <w:p>
      <w:pPr>
        <w:pStyle w:val="TextBody"/>
        <w:bidi w:val="0"/>
        <w:spacing w:before="200" w:after="283"/>
        <w:jc w:val="both"/>
        <w:rPr>
          <w:rFonts w:ascii="Times New Roman" w:hAnsi="Times New Roman"/>
          <w:sz w:val="20"/>
        </w:rPr>
      </w:pPr>
      <w:r>
        <w:rPr>
          <w:rFonts w:ascii="Times New Roman" w:hAnsi="Times New Roman"/>
          <w:color w:val="000000"/>
          <w:sz w:val="20"/>
        </w:rPr>
        <w:t>The consolidated financial statements of Oculis are prepared in accordance with IFRS Accounting Standards (“</w:t>
      </w:r>
      <w:r>
        <w:rPr>
          <w:rFonts w:ascii="Times New Roman" w:hAnsi="Times New Roman"/>
          <w:i/>
          <w:color w:val="000000"/>
          <w:sz w:val="20"/>
        </w:rPr>
        <w:t>IFRS”</w:t>
      </w:r>
      <w:r>
        <w:rPr>
          <w:rFonts w:ascii="Times New Roman" w:hAnsi="Times New Roman"/>
          <w:color w:val="000000"/>
          <w:sz w:val="20"/>
        </w:rPr>
        <w:t>) as issued by the International Accounting Standards Board (“</w:t>
      </w:r>
      <w:r>
        <w:rPr>
          <w:rFonts w:ascii="Times New Roman" w:hAnsi="Times New Roman"/>
          <w:i/>
          <w:color w:val="000000"/>
          <w:sz w:val="20"/>
        </w:rPr>
        <w:t>IASB</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Basis of 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policies set out below are consistently applied to all the years presented. The consolidated financial statements have been prepared under the historical cost convention, unless stated otherwise in the accounting policies in Note 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totals are calculated with the original unit amounts, which could lead to rounding differences. These differences in thousands of units are not changed in order to keep the accuracy of the original data.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Functional currency</w:t>
      </w:r>
    </w:p>
    <w:p>
      <w:pPr>
        <w:pStyle w:val="TextBody"/>
        <w:bidi w:val="0"/>
        <w:spacing w:before="200" w:after="283"/>
        <w:jc w:val="both"/>
        <w:rPr>
          <w:rFonts w:ascii="Times New Roman" w:hAnsi="Times New Roman"/>
          <w:sz w:val="20"/>
        </w:rPr>
      </w:pPr>
      <w:r>
        <w:rPr>
          <w:rFonts w:ascii="Times New Roman" w:hAnsi="Times New Roman"/>
          <w:color w:val="000000"/>
          <w:sz w:val="20"/>
        </w:rPr>
        <w:t>The consolidated financial statements of the Group are expressed in Swiss Francs (“</w:t>
      </w:r>
      <w:r>
        <w:rPr>
          <w:rFonts w:ascii="Times New Roman" w:hAnsi="Times New Roman"/>
          <w:i/>
          <w:color w:val="000000"/>
          <w:sz w:val="20"/>
        </w:rPr>
        <w:t>CHF”</w:t>
      </w:r>
      <w:r>
        <w:rPr>
          <w:rFonts w:ascii="Times New Roman" w:hAnsi="Times New Roman"/>
          <w:color w:val="000000"/>
          <w:sz w:val="20"/>
        </w:rPr>
        <w:t>), which is the Company’s functional and the Group’s presentation currency. The functional currency of the Company’s subsidiaries is the local currency except for Oculis Iceland whose functional currency is CHF.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Assets and liabilities of foreign operations are translated into CHF at the rate of exchange prevailing at the reporting date and their statements of profit or loss are translated at average monthly exchange rates. The exchange differences arising on translation for consolidation are recognized in other comprehensive income.</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3.</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SUMMARY OF MATERIAL ACCOUNTING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principal accounting policies adopted in the preparation of these financial statements are set out below. The policies set out below are consistently applied to all the years presented, unless otherwise stated.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Current vs. non-current classification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presents assets and liabilities on the balance sheet based on current/non-current classification. The Company classifies all amounts to be realized or settled within 12 months after the reporting period to be current and all other amounts to be non-current. Liabilities are classified as non-current if the Company has the unconditional right to defer settlement for at least 12 months after the reporting period.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Foreign currency transactions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Foreign currency transactions are translated into the functional currency, CHF, using prevailing exchange rates at the dates of the transactions. Monetary assets and liabilities denominated in foreign currencies are translated into CHF at rates of exchange prevailing at reporting date. Any gains or losses from these translations are included in the statements of loss in the period in which they arise.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Group accounting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seven wholly owned subsidiaries, including Oculis Operations, Oculis Iceland, Oculis France, Oculis U.S., Oculis HK, Neurocol IP and Neurocol Operations. The Company’s consolidated financial statements present the aggregate of the eight Group entities, after elimination of intra-group transactions, balances, investments and capital.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managed and operated as one business. A single management team that reports to the Chief Executive Officer comprehensively manages the entire business and accordingly, has one reporting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locations in five countries: Switzerland, Iceland, France, U.S. and Hong Kong. An analysis of non-current assets by geographic region is presented in Note 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leases are accounted for by recognizing a right-of-use asset and a lease liability except for leases of low value assets and leases with a duration of 12 months or less.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Lease liabilities are measured at the present value of the expected contractual payments due to the lessor over the lease term, with the discount rate determined by reference to the rate inherent in the lease unless this is not readily determinable, in which case the Group’s incremental borrowing rate on commencement date of the lease is used. Variable lease payments are only included in the measurement of the lease liability if they depend on an index or rate and remain unchanged throughout the lease term. Other variable lease payments are expensed.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initial recognition, the carrying value of the lease liability also includes amounts expected to be payable under any residual value guarantee, and the exercise price of any purchase option granted in favor of the group if it is reasonably certain to assess that option. Right-of-use assets are initially measured at the amount of the lease liability, reduced for any lease incentives received, and increased for lease payments made at or before commencement of the lease and initial direct costs incurred.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Subsequent to the initial measurement, lease liabilities increase as a result of interest charged at a constant rate on the balance outstanding and are reduced for lease payments made. Right-of-use assets are depreciated on a straight-line basis over the remaining expected term of the lease or over the remaining economic life of the asset if this is judged to be shorter than the lease term.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the Company revises its estimate of the term of any lease, it adjusts the carrying amount of the lease liability to reflect the expected payments over the revised term, which are discounted using a revised discount rate. The carrying value of lease liabilities is similarly revised if the variable future lease payments dependent on a rate or index is revised. In both cases, an equivalent adjustment is made to the carrying value of the right-of-use asset, with the revised carrying amount being amortized over the remaining lease term. If the carrying amount of the right-of-use asset is adjusted to zero, any further reduction is recognized in profit or loss.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w:t>
      </w:r>
    </w:p>
    <w:p>
      <w:pPr>
        <w:pStyle w:val="TextBody"/>
        <w:bidi w:val="0"/>
        <w:spacing w:before="200" w:after="283"/>
        <w:jc w:val="both"/>
        <w:rPr/>
      </w:pPr>
      <w:r>
        <w:rPr>
          <w:rFonts w:ascii="Times New Roman" w:hAnsi="Times New Roman"/>
          <w:b/>
          <w:color w:val="000000"/>
          <w:sz w:val="20"/>
        </w:rPr>
        <w:t>Grant income</w:t>
      </w:r>
      <w:r>
        <w:rPr>
          <w:color w:val="000000"/>
        </w:rPr>
        <w:t xml:space="preserve"> </w:t>
      </w:r>
      <w:r>
        <w:rPr>
          <w:rFonts w:ascii="Times New Roman" w:hAnsi="Times New Roman"/>
          <w:b/>
          <w:color w:val="000000"/>
          <w:sz w:val="20"/>
        </w:rPr>
        <w:t>recognition</w:t>
      </w:r>
      <w:r>
        <w:rPr>
          <w:color w:val="00000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Grant income is recognized where there is reasonable assurance that the grant will be received and all attaching conditions will be complied with, and in the year when the related expenses are incurred.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Taxes reported in the consolidated statements of loss include current and deferred taxes on profit. Taxes on income are accrued in the same periods as the revenues and expenses to which they relate.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Deferred tax is the tax attributable to the temporary differences that appear when taxation authorities recognize and measure assets and liabilities with rules that differ from those of the consolidated accounts. Deferred income tax is calculated using the liability method and determined using tax rates and laws that have been enacted or substantively enacted by the balance sheet date and are expected to apply when the related deferred income tax asset is realized, or the deferred income tax liability is settled. Any changes to the tax rates are recognized in the consolidated statements of loss unless related to items directly recognized in equity or other comprehensive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Deferred income tax is recognized on temporary differences arising between the tax bases of assets and liabilities and their carrying amounts in the consolidated financial statements. Deferred income tax assets are recognized only to the extent that it is probable that future taxable profit will be available against which the temporary differences or the unused tax losses can be utilized. Deferred income tax assets from tax credit carry forwards are recognized to the extent that the national tax authority confirms the eligibility of such a claim and that the realization of the related tax benefit through future taxable profits is probable. 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same taxable entity or different taxable entities where there is an intention to settle the balances on a net basis.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Loss per share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presents basic loss per share for each period in the financial statements. The loss per share is calculated by dividing the loss of the period by the weighted average number of shares outstanding during the period. Diluted earnings per share, applicable in case of positive result, reflect the potential dilution that could occur if dilutive securities such as warrants or share options were exercised into common shares.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Cash and cash equivalents and short-term financial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considers all highly liquid investments with an original maturity of less than 3 months at the date of purchase to be cash equivalents. Cash and cash equivalents are recorded at cost, which approximates fair value.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Short-term financial assets consist of fixed term bank deposits with original maturities between three and six months. Short-term financial assets are held in order to collect contractual cash flows made of payments of principal and interests.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Short-term financial assets are measured at amortized cost, which approximates fair value, and are subsequently measured using the effective interest method. This method allocates interest income over the relevant period by applying the effective interest rate to the carrying amount of the asset. Gains and losses are recognized in the consolidated statements of loss when the asset is derecognized, modified or impaired.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(J)</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measures certain financial assets and liabilities at fair value on a recurring basis, including warrants. Fair value is the price the Company would receive to sell an asset or pay to transfer a liability in an orderly transaction with a market participant at the measurement date. The Company uses a three-level hierarchy that prioritizes fair value measurements based on the types of inputs used,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unadjusted quoted prices in active markets for identical assets or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either directly or indirectly, quoted prices for similar assets or liabilities in active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unobservable inputs for the asset or liability to the extent that observable inputs are not available in situations in which there is little, if any, market activity for the asset or liability at the measurement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There was no change in the valuation techniques applied to financial instruments during all periods presented. There were no transfers between levels 1, 2 or 3 for recurring fair value measurements during the year. The Group recognizes transfers into and out of fair value hierarchy levels at the end of the reporting period</w:t>
      </w:r>
      <w:r>
        <w:rPr>
          <w:rFonts w:ascii="Times New Roman" w:hAnsi="Times New Roman"/>
          <w:color w:val="000000"/>
          <w:sz w:val="18"/>
        </w:rPr>
        <w: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property and equipment are shown at cost, less subsequent depreciation and impairment. Cost includes expenditures that are directly attributable to the acquisition of the items. Subsequent costs are included in the asset’s carrying amount or recognized as a separate asset, as appropriate, only when it is probable that future economic benefits associated with the item will flow to the Group and the cost of the item can be measured reliably.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Depreciation is calculated on a straight-line basis over the useful life, according to the following schedule: </w:t>
      </w:r>
    </w:p>
    <w:p>
      <w:pPr>
        <w:pStyle w:val="TextBody"/>
        <w:bidi w:val="0"/>
        <w:jc w:val="both"/>
        <w:rPr/>
      </w:pPr>
      <w:r>
        <w:rPr/>
        <w:t> </w:t>
      </w:r>
    </w:p>
    <w:tbl>
      <w:tblPr>
        <w:tblW w:w="4367" w:type="dxa"/>
        <w:jc w:val="left"/>
        <w:tblInd w:w="0" w:type="dxa"/>
        <w:tblLayout w:type="fixed"/>
        <w:tblCellMar>
          <w:top w:w="28" w:type="dxa"/>
          <w:left w:w="28" w:type="dxa"/>
          <w:bottom w:w="28" w:type="dxa"/>
          <w:right w:w="28" w:type="dxa"/>
        </w:tblCellMar>
      </w:tblPr>
      <w:tblGrid>
        <w:gridCol w:w="2656"/>
        <w:gridCol w:w="1711"/>
      </w:tblGrid>
      <w:tr>
        <w:trPr/>
        <w:tc>
          <w:tcPr>
            <w:tcW w:w="265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Category</w:t>
            </w:r>
          </w:p>
        </w:tc>
        <w:tc>
          <w:tcPr>
            <w:tcW w:w="17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Useful life in years</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5 - 7</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fixtures and fittings</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and hardware</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2 - 3</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assets’ residual values and useful lives are reviewed, and adjusted if appropriate, at each balance sheet date. An asset’s carrying amount is impaired immediately to its recoverable amount if the asset’s carrying amount is greater than its estimated recoverable amount. Gains and losses on disposal or retirement of tangible fixed assets are determined by comparing the net proceeds received with the carrying amounts and are included in the consolidated statements of loss.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Warrant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recognizes the warrant instruments as liabilities at fair value and adjusts the instruments to fair value at each reporting period (refer to Note 17). Any change in fair value is recognized in the Company’s consolidated statements of loss. Warrants are classified as short-term liabilities as the Company cannot defer the settlement beyond 12 months.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Amended BlackRock Warrant, as defined in Note 5, issued in conjunction with the Amended Loan Agreement is classified as a liability since its exercise price is fixed in USD, which is not the functional currency of the Company and therefore it does not meet the requirements to be classified as equity under IFRS. An instrument that will be settled in the Company’s own equity shares is an equity instrument only if the issuer has to deliver a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fixed number of its own shares for a fixed amount (fixed for fixed requirement, IAS 32.16). The fair value of the BlackRock Warrant is determined using the Black-Scholes option-pricing model. This valuation model as well as parameters used such as expected volatility and expected term are partially based on management’s estimates. The expected volatility is estimated using historical stock volatilities of comparable peer public companies within the Company’s industry. The expected term represents the period that the warrant is expected to be outstanding. The BlackRock Warrant is included in Level 3 of the fair value hierarchy. Refer to Note 17 </w:t>
      </w:r>
      <w:r>
        <w:rPr>
          <w:rFonts w:ascii="Times New Roman" w:hAnsi="Times New Roman"/>
          <w:i/>
          <w:color w:val="000000"/>
          <w:sz w:val="20"/>
        </w:rPr>
        <w:t>- Warrant Liabilities.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fair value of the BCA Public Warrants, as defined in Note 5, traded in active markets is based on the quoted market prices at the end of the reporting period for such warrants. For the BCA Private Warrants, which have identical terms to the BCA Public Warrants, the Company determined that the fair value of each BCA Private Warrant is equivalent to that of each BCA Public Warrant. BCA Public Warrants are included in Level 1 and BCA Private Warrants in Level 2 of the fair value hierarchy. Refer to Note 17 - </w:t>
      </w:r>
      <w:r>
        <w:rPr>
          <w:rFonts w:ascii="Times New Roman" w:hAnsi="Times New Roman"/>
          <w:i/>
          <w:color w:val="000000"/>
          <w:sz w:val="20"/>
        </w:rPr>
        <w:t>Warrant Liabilities</w:t>
      </w:r>
      <w:r>
        <w:rPr>
          <w:rFonts w:ascii="Times New Roman" w:hAnsi="Times New Roman"/>
          <w:color w:val="000000"/>
          <w:sz w:val="20"/>
        </w:rPr>
        <w: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Intangible assets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Research and development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expenditures are recognized in expense in the year in which they are incurred. Internal development expenditures are capitalized only if they meet the recognition criteria of IAS 38 “Intangible Assets.” Given the inherent regulatory and other uncertainties, these criteria are generally not met before obtaining approval from the relevant regulatory authority. As a result, development expenditures are typically recognized as expenses in the consolidated statements of loss. However, when capitalization criteria are satisfied, development costs are recorded as intangible assets and amortized on a straight-line basis over their estimated useful lives. Amortization of capitalized licenses begins upon receipt of market approval. The Company records accruals for estimated costs incurred or prepayments depending on the stage of completion of the product development and clinical research.</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 xml:space="preserve">Licenses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Acquired licenses and related development milestones are capitalized as intangible assets at historical cost and amortized over their estimated useful lives. The amortization period is determined based on the expected pattern of consumption of future economic benefits and begins only after the necessary regulatory and marketing approvals have been obtained. Capitalized licenses are assessed for impairment annually in the last quarter of each financial period or earlier if indicators of impairment arise. Amortization expense related to capitalized licenses is recognized within research and development expenses.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Impairment of licenses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Impairment losses on capitalized licenses are recognized within research and development expenses.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Impairment of non-financial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Assets that are subject to amortization are reviewed for impairment whenever events or changes in circumstances indicate that the carrying amount of the asset may not be recoverable. An impairment loss is recognized for the amount by which the asset’s carrying amount exceeds its recoverable amount. The recoverable amount is the higher of the asset’s fair value less costs of disposal and value-in-use. </w:t>
      </w:r>
    </w:p>
    <w:p>
      <w:pPr>
        <w:pStyle w:val="TextBody"/>
        <w:bidi w:val="0"/>
        <w:spacing w:before="200" w:after="283"/>
        <w:jc w:val="both"/>
        <w:rPr>
          <w:rFonts w:ascii="Times New Roman" w:hAnsi="Times New Roman"/>
          <w:sz w:val="20"/>
        </w:rPr>
      </w:pPr>
      <w:r>
        <w:rPr>
          <w:rFonts w:ascii="Times New Roman" w:hAnsi="Times New Roman"/>
          <w:color w:val="000000"/>
          <w:sz w:val="20"/>
        </w:rPr>
        <w:t>For the purpose of impairment testing, assets are grouped together into the smallest group of assets that generate cash inflows from continuing use that are largely independent of the cash flows of other assets (“</w:t>
      </w:r>
      <w:r>
        <w:rPr>
          <w:rFonts w:ascii="Times New Roman" w:hAnsi="Times New Roman"/>
          <w:i/>
          <w:color w:val="000000"/>
          <w:sz w:val="20"/>
        </w:rPr>
        <w:t>cash-generating units</w:t>
      </w:r>
      <w:r>
        <w:rPr>
          <w:rFonts w:ascii="Times New Roman" w:hAnsi="Times New Roman"/>
          <w:color w:val="000000"/>
          <w:sz w:val="20"/>
        </w:rPr>
        <w:t>”). Impairment losses are recognized in the consolidated statements of loss. Prior impairments of non-financial assets are reviewed for possible reversal of the impairment at each reporting date.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Financial instruments</w:t>
      </w:r>
    </w:p>
    <w:p>
      <w:pPr>
        <w:pStyle w:val="TextBody"/>
        <w:bidi w:val="0"/>
        <w:spacing w:before="200" w:after="283"/>
        <w:jc w:val="both"/>
        <w:rPr>
          <w:rFonts w:ascii="Times New Roman" w:hAnsi="Times New Roman"/>
          <w:sz w:val="20"/>
        </w:rPr>
      </w:pPr>
      <w:r>
        <w:rPr>
          <w:rFonts w:ascii="Times New Roman" w:hAnsi="Times New Roman"/>
          <w:color w:val="000000"/>
          <w:sz w:val="20"/>
        </w:rPr>
        <w:t>The principal financial instruments used by the Company are as follows</w:t>
      </w:r>
      <w:r>
        <w:rPr>
          <w:rFonts w:ascii="Arial" w:hAnsi="Arial"/>
          <w:color w:val="000000"/>
          <w:sz w:val="20"/>
        </w:rPr>
        <w:t>:</w:t>
      </w:r>
    </w:p>
    <w:p>
      <w:pPr>
        <w:pStyle w:val="TextBody"/>
        <w:bidi w:val="0"/>
        <w:jc w:val="both"/>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and cash equivalents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Short-term financial assets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current assets, excluding prepaid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income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Trade payables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expenses and other payables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Lease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Warrant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financial instruments are carried at amortized cost, except warrant liabilities which are adjusted to fair value at period end.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their short-term nature, the carrying value of cash and cash equivalents, short-term financial assets, other current assets, excluding prepaid expenses, accrued income, lease liabilities, trade payables, accrued expenses and other payables approximates their fair value. For details of the fair value hierarchy and valuation techniques, refer to Note 20.</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and cash equivalents include cash on hand and highly liquid investments with original maturities of three months or less. These investments are readily convertible to known amounts of cash.</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Short-term financial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Short-term financial assets consist of fixed term bank deposits with original maturities between three and six months. Short-term financial assets are held in order to collect contractual cash flows made of payments of principal and interests.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Other current assets, excluding prepaid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carrying amount of other receivables/current assets is reduced through the use of an allowance account, and the amount of the loss is recognized in the consolidated statements of loss. Subsequent recoveries of amounts previously written off are credited to the consolidated statements of loss.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Accrued income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Grant income reflects reimbursement of research and development expenses and income from certain research projects managed by Icelandic governmental institutions. Certain expenses qualify for incentives from the Icelandic government in the form of tax credits or cash reimbursements.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 xml:space="preserve">Trade payables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Trade payables are amounts due to third parties in the ordinary course of business. Trade payables are non-interest bearing and are normally settled on 45-day terms.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Accrued expenses and other payables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expenses and other payables are amounts provided for / due to third parties in the ordinary course of business. Accrued expenses and other payables are non-interest bearing.</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(g)</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Lease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Lease liabilities are measured at the present value of the expected contractual payments due to the lessor over the lease term, with the discount rate determined by reference to the rate inherent in the lease unless this is not readily determinable, in which case the Group’s incremental borrowing rate on commencement date of the lease is used.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Employee benefits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Pension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operates a defined benefit pension plan for its Swiss-based employees, which is held in a multi-employer fund. The pension plan is funded by payments from employees and from the Company. The Company’s contributions to the defined benefit pension plan are charged to the consolidated statements of loss in the year to which they relate.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liability recognized in the balance sheet in respect of defined benefit pension plan is the present value of the defined benefit obligation at the balance sheet date less the fair value of plan assets and the possible effect of the asset ceiling, together with adjustments for unrecognized past-service costs. The defined benefit obligation is calculated annually by independent actuaries using the projected unit credit method.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When the Company has a surplus in the defined benefit pension plan, it measures the net defined benefit asset at the lower of the surplus in the defined benefit pension plan, or the </w:t>
      </w:r>
      <w:r>
        <w:rPr>
          <w:rFonts w:ascii="Times New Roman" w:hAnsi="Times New Roman"/>
          <w:sz w:val="20"/>
        </w:rPr>
        <w:t>asset ceiling</w:t>
      </w:r>
      <w:r>
        <w:rPr>
          <w:rFonts w:ascii="Times New Roman" w:hAnsi="Times New Roman"/>
          <w:color w:val="000000"/>
          <w:sz w:val="20"/>
        </w:rPr>
        <w:t xml:space="preserve"> (being the present value of any economic benefits available in the form of refunds from the plan or reductions in future contributions to the plan), determined using the discount </w:t>
      </w:r>
      <w:r>
        <w:rPr>
          <w:rFonts w:ascii="Times New Roman" w:hAnsi="Times New Roman"/>
          <w:sz w:val="20"/>
        </w:rPr>
        <w:t>rate</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does not expect any refunds or contribution reductions in case of a surplus in the defined benefit pension plan calculated per IAS 19, therefore no assets would be recognized in the Consolidated Statements of Financial Position.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present value of the defined benefit obligation is determined by discounting the estimated future cash outflows using interest rates of high-quality corporate bonds that are denominated in the currency in which the benefits will be paid, and that have terms to maturity approximating to the terms of the related pension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Actuarial gains and losses arising from experience adjustments and changes in actuarial assumptions are charged or credited to equity in other comprehensive income in the period in which they arise.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Past-service costs are recognized immediately in income, unless the changes to the pension plan are conditional on the employees remaining in service for a specified period of time (the vesting period). In this case, the past-service costs are amortized on a straight-line basis over the vesting period.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Employee participation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operates an equity-settled, share-based compensation plan, under which the entity receives services from employees as consideration for equity instruments (e.g. options) of the Company. The fair value of the awards granted in exchange of the employee services received is recognized as an expense.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Non-market vesting conditions are included in assumptions about the number of options that are expected to vest. The total expense is recognized over the vesting period, which is the period over which all of the specified vesting conditions are to be satisfied. At the end of each reporting period, the entity revises its estimates of the number of options that are expected to vest based on the non-market vesting conditions. It recognizes the impact of the revision to original estimates, if any, in the consolidated statements of loss, with a corresponding adjustment to equity. When options are exercised, the Company issues new shares. The proceeds received net of any directly attributable transaction costs are credited to share capital (nominal value) and share premium when the options are exercised.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(Q)</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Earnout consideration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recognized the earnout consideration under the BCA as a share-based contingent consideration within the scope of IFRS 2, and therefore equity classified as the earnout consideration ultimately settles in ordinary shares. The Company determined that the fair value of the earnout shares is accounted for as a component of the deemed cost of the listing services upon consummation of the Business Combination. The fair value of total consideration transferred was included in the calculation of the IFRS 2 share listing service expense and will not be subsequently adjusted regardless of whether the price target is achieved or not. The earnout options granted to employees were determined to be compensation for the dilution to their previously held Legacy Oculis equity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instruments. No subsequent compensation charge has been recognized under IFRS 2 because no additional fair value has been granted as a result of the earnout options.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Capitalization of transaction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capitalizes transaction costs incurred in connection with its ATM program within other current assets in the Company’s consolidated balance sheet because those costs are directly attributable to new equity issuances and management estimates that a future financing is probably of occurring. If and when the Company completes a transaction, capitalized transaction costs will be offset against the proceeds and will be recorded as a reduction of share premium within the Company’s consolidated balance sheet. If the Company determines that it is not highly probable that a transaction will be completed, the Company will write-off capitalized transaction costs incurred during that respective quarter in the consolidated statement of loss.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Transaction costs incurred in connection with underwritten offerings are recorded as a reduction of share premium within the Company’s balance sheet during the period in which the transaction closes.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Presentation of interest in the statement of cash flows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Effective January 1, 2025, the Company revised its accounting policy regarding the classification of interest paid and interest received in the statement of cash flows. Interest paid was reclassified from “net cash flows used in operating activities” to “net cash flows used in financing activities,” and interest received was reclassified from “net cash flows used in operating activities” to “net cash flows used in investing activities.” The Company assessed the change in accounting policy under IAS 8, in accordance with the guidance regarding a voluntary change in accounting policy.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reclassification of interest paid was elected to provide a more cohesive presentation of payments related to the Company’s office leases. Prior to the change in accounting policy, interest paid on lease liabilities was classified as operating cash flows, while payments of the principal portion of lease liabilities were classified as financing cash flows. The change aligns the interest paid with the associated financial liability giving rise to the interest.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the Company reclassified interest received to investing activities, as the majority of interest received relates to interest earned on cash and cash equivalents and short-term investments. The Company believes the updated classification better reflects the nature and source of the cash inflows.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applied the change in accounting policy retrospectively and has recast prior periods’ comparative information within the statement of cash flows to ensure consistency and comparability with the current period presentation. As part of the retrospective application, net cash outflow from operating activities for the year ended December 31, 2024 increased by CHF 1.4 million, net cash outflow from investing activities decreased by CHF 1.5 million, and net cash flow inflow from financing activities decreased by CHF 54 thousand. As part of the retrospective application, net cash used in operating activities for the year ended December 31, 2023 increased by CHF 1.2 million, net cash flow used in investing activities decreased by CHF 1.2 million, and net cash flow inflow from financing activities decreased by CHF 46 thousand.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New accounting standards, interpretations and amendments adopted by the Company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There are no new IFRS Accounting Standards, amendments to standards or interpretations that are mandatory for the financial year beginning on January 1, 2025 that have a material impact to the Company. In April 2024, the IASB issued IFRS 18, </w:t>
      </w:r>
      <w:r>
        <w:rPr>
          <w:rFonts w:ascii="Times New Roman" w:hAnsi="Times New Roman"/>
          <w:i/>
          <w:color w:val="000000"/>
          <w:sz w:val="20"/>
        </w:rPr>
        <w:t>Presentation and Disclosure in Financial Statements</w:t>
      </w:r>
      <w:r>
        <w:rPr>
          <w:rFonts w:ascii="Times New Roman" w:hAnsi="Times New Roman"/>
          <w:color w:val="000000"/>
          <w:sz w:val="20"/>
        </w:rPr>
        <w:t>, which provides requirements for the presentation and disclosure of information in general purpose financial statements. The standard is effective for periods beginning on or after January 1, 2027. The Company is in the process of evaluating whether IFRS 18 will have a material effect on the consolidated financial statements. New standards, amendments to standards and interpretations that are not yet effective, which have been deemed by the Company as currently not relevant, are not listed here.</w:t>
      </w:r>
    </w:p>
    <w:p>
      <w:pPr>
        <w:pStyle w:val="TextBody"/>
        <w:bidi w:val="0"/>
        <w:jc w:val="both"/>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4.</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CRITICAL ACCOUNTING ESTIMATES AND JUDGMENTS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Group’s principal accounting policies are set out in Note 3 of the Group’s consolidated financial statements and conform to IFRS Accounting Standards. Significant judgments and estimates are used in the preparation of the consolidated financial statements which, to the extent that actual outcomes and results may differ from these assumptions and estimates, could affect the accounting in the areas described in this section.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Impairment of licenses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Group assesses whether there are any indicators of impairment for all licenses at each reporting date, which refers exclusively to the licenses of two specific product candidates: Licaminlimab (OCS-02) and Privosegtor (OCS-05). Given the stage and advancement of Oculis’ development activities and the importance of both products in Oculis’ portfolio, the impairment test is performed first on the basis of a fair value model for the entire Company using a market approach, and second on the basis of the continued development feasibility of the relevant product candidate. Refer to Note 9.</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Deferred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Deferred income tax assets are recognized for all unused tax losses and deductible temporary differences, including those related to intangible assets, only to the extent that it is probable that taxable profits will be available against which the losses and temporary differences can be utilized. Judgment is required from management to determine the amount of tax asset that can be recognized, based on forecasts and tax planning strategies. Refer to Note 7 (D).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Pension benefits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present value of the pension obligations depends on several factors that are determined on an actuarial basis using a number of assumptions. The assumptions used in determining the net cost or income for pensions include the discount rate. Any changes in these assumptions will impact the carrying amount of pension obligations. The independent actuary of the Group uses statistic-based assumptions covering future withdrawals of participants from the plan and estimates on life expectancy. The actuarial assumptions used may differ materially from actual results due to changes in market and economic conditions, higher or lower withdrawal rates or longer or shorter life spans of participants. These differences could have a significant impact on the amount of pension income or expenses recognized in future periods.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Group determines the appropriate discount rate at the end of each year. This is the interest rate used to determine the present value of estimated future cash outflows expected to be required to settle the pension obligations. In determining the appropriate discount rate, the Group considers the interest rates of high-quality corporate bonds that are denominated in the currency in which the benefits will be paid, and that have terms to maturity approximating the terms of the related pension liability. Other key assumptions for pension obligations are based in part on current market conditions. Refer to Note 12.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Stock options granted are valued using the Black-Scholes option-pricing model (see Note 13). This valuation model as well as inputs such as expected volatility and expected term of the stock options are partially based on management’s estimates. The expected volatility is estimated using historical stock volatilities of comparable peer public companies within the Company’s industry. The expected term represents the period that share-based awards are expected to be outstanding. The Company classifies its share-based payments as equity-classified awards as they are settled in ordinary shares. The Company measures equity-classified awards at their grant date fair value using a Black-Scholes option pricing model and does not subsequently remeasure them. Compensation costs related to equity-classified awards are equal to the fair value of the award at the date of grant amortized over the vesting period of the award using the graded method. If awards are granted with performance conditions, the Company evaluates the probability of achievement. Expense is only recorded for awards with vesting criteria linked to performance conditions that are deemed probable of achievement. The Company reclassifies a portion of vested awards to reserve for share-based payment as the awards vest. The proceeds received net of any directly attributable transaction costs are credited to share capital (nominal value) and share premium when the options are exercised.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Accounting for the Business Combination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relation to the 2023 Business Combination, the following critical estimates and judgments were made: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Determining the accounting acquirer in the Business Combination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Despite EBAC being the legal acquirer, Legacy Oculis was determined to be the accounting acquirer for financial reporting purposes. This determination is primarily based on the fact that subsequent to the Business Combination, i) the shareholders of Legacy Oculis have a majority of the voting interest in the combined company; ii) Legacy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Oculis’ operations comprise all of the ongoing operations of the combined company; and iii) Legacy Oculis’ management comprise all of the senior management of the combined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Business Combination accounted for within the scope of IFRS 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EBAC was a Special Purpose Acquisition Company and therefore does not meet the definition of a business under IFRS 3 as it has no operations and the related BCA cannot be treated as a business combination. The Business Combination was accounted for as a continuation of Legacy Oculis financial statements with a deemed issuance of shares by the Company accompanied by a recapitalization of the Company’s equity. The excess of fair value of the shares deemed issued by the Company over EBAC’s identifiable net assets has been recorded as share-based payment expense in accordance with IFRS 2 and represents a public listing service received by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Capitalized transaction costs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Legacy Oculis and EBAC incurred costs such as legal, accounting, auditing, printer fees and other professional fees directly related to the Business Combination (“</w:t>
      </w:r>
      <w:r>
        <w:rPr>
          <w:rFonts w:ascii="Times New Roman" w:hAnsi="Times New Roman"/>
          <w:i/>
          <w:color w:val="000000"/>
          <w:sz w:val="20"/>
        </w:rPr>
        <w:t>Transaction Costs</w:t>
      </w:r>
      <w:r>
        <w:rPr>
          <w:rFonts w:ascii="Times New Roman" w:hAnsi="Times New Roman"/>
          <w:color w:val="000000"/>
          <w:sz w:val="20"/>
        </w:rPr>
        <w:t>”). Transaction costs directly associated with equity issuance qualify for capitalization and are accounted for as a deduction of share premium. To capture costs associated with the new equity, the Company allocated capitalizable transaction costs to the various transaction components (equity issuance and listing) at the percentages of 38.0% and 62.0% for new shares and old shares, respectively.</w:t>
      </w:r>
    </w:p>
    <w:p>
      <w:pPr>
        <w:pStyle w:val="TextBody"/>
        <w:bidi w:val="0"/>
        <w:jc w:val="both"/>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5.</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FINANCING ACTIVITIES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Business combination with European Biotech Acquisition Corp. (“</w:t>
      </w:r>
      <w:r>
        <w:rPr>
          <w:rFonts w:ascii="Times New Roman" w:hAnsi="Times New Roman"/>
          <w:b/>
          <w:i/>
          <w:color w:val="000000"/>
          <w:sz w:val="20"/>
        </w:rPr>
        <w:t>EBAC</w:t>
      </w:r>
      <w:r>
        <w:rPr>
          <w:rFonts w:ascii="Times New Roman" w:hAnsi="Times New Roman"/>
          <w:color w:val="000000"/>
          <w:sz w:val="20"/>
        </w:rPr>
        <w:t>”</w:t>
      </w:r>
      <w:r>
        <w:rPr>
          <w:rFonts w:ascii="Times New Roman" w:hAnsi="Times New Roman"/>
          <w:b/>
          <w:color w:val="000000"/>
          <w:sz w:val="20"/>
        </w:rPr>
        <w:t>)</w:t>
      </w:r>
    </w:p>
    <w:p>
      <w:pPr>
        <w:pStyle w:val="TextBody"/>
        <w:bidi w:val="0"/>
        <w:spacing w:before="180" w:after="283"/>
        <w:jc w:val="both"/>
        <w:rPr>
          <w:rFonts w:ascii="Times New Roman" w:hAnsi="Times New Roman"/>
          <w:sz w:val="20"/>
        </w:rPr>
      </w:pPr>
      <w:r>
        <w:rPr>
          <w:rFonts w:ascii="Times New Roman" w:hAnsi="Times New Roman"/>
          <w:color w:val="000000"/>
          <w:sz w:val="20"/>
        </w:rPr>
        <w:t>On March 2, 2023, the Company consummated the Business Combination pursuant to the Business Combination Agreement (“</w:t>
      </w:r>
      <w:r>
        <w:rPr>
          <w:rFonts w:ascii="Times New Roman" w:hAnsi="Times New Roman"/>
          <w:i/>
          <w:color w:val="000000"/>
          <w:sz w:val="20"/>
        </w:rPr>
        <w:t>BCA</w:t>
      </w:r>
      <w:r>
        <w:rPr>
          <w:rFonts w:ascii="Times New Roman" w:hAnsi="Times New Roman"/>
          <w:color w:val="000000"/>
          <w:sz w:val="20"/>
        </w:rPr>
        <w:t>”) between Legacy Oculis and EBAC dated as of October 17, 2022. The Company received gross proceeds of CHF 97.6 million or $103.7 million, comprising CHF 12.0 million or $12.8 million of cash held in EBAC’s trust account and CHF 85.6 million or $90.9 million from private placement (the “</w:t>
      </w:r>
      <w:r>
        <w:rPr>
          <w:rFonts w:ascii="Times New Roman" w:hAnsi="Times New Roman"/>
          <w:i/>
          <w:color w:val="000000"/>
          <w:sz w:val="20"/>
        </w:rPr>
        <w:t>PIPE Financing</w:t>
      </w:r>
      <w:r>
        <w:rPr>
          <w:rFonts w:ascii="Times New Roman" w:hAnsi="Times New Roman"/>
          <w:color w:val="000000"/>
          <w:sz w:val="20"/>
        </w:rPr>
        <w:t>”) investments and conversion of notes issued by Legacy Oculis under convertible loan agreements (“</w:t>
      </w:r>
      <w:r>
        <w:rPr>
          <w:rFonts w:ascii="Times New Roman" w:hAnsi="Times New Roman"/>
          <w:i/>
          <w:color w:val="000000"/>
          <w:sz w:val="20"/>
        </w:rPr>
        <w:t>CLA</w:t>
      </w:r>
      <w:r>
        <w:rPr>
          <w:rFonts w:ascii="Times New Roman" w:hAnsi="Times New Roman"/>
          <w:color w:val="000000"/>
          <w:sz w:val="20"/>
        </w:rPr>
        <w:t>”) into Oculis’ ordinary shares. As a result of the transaction, each issued and outstanding EBAC public warrant (“</w:t>
      </w:r>
      <w:r>
        <w:rPr>
          <w:rFonts w:ascii="Times New Roman" w:hAnsi="Times New Roman"/>
          <w:i/>
          <w:color w:val="000000"/>
          <w:sz w:val="20"/>
        </w:rPr>
        <w:t>BCA Public Warrants</w:t>
      </w:r>
      <w:r>
        <w:rPr>
          <w:rFonts w:ascii="Times New Roman" w:hAnsi="Times New Roman"/>
          <w:color w:val="000000"/>
          <w:sz w:val="20"/>
        </w:rPr>
        <w:t>”) and EBAC private placement warrant (“</w:t>
      </w:r>
      <w:r>
        <w:rPr>
          <w:rFonts w:ascii="Times New Roman" w:hAnsi="Times New Roman"/>
          <w:i/>
          <w:color w:val="000000"/>
          <w:sz w:val="20"/>
        </w:rPr>
        <w:t>BCA Private Warrants</w:t>
      </w:r>
      <w:r>
        <w:rPr>
          <w:rFonts w:ascii="Times New Roman" w:hAnsi="Times New Roman"/>
          <w:color w:val="000000"/>
          <w:sz w:val="20"/>
        </w:rPr>
        <w:t>”) ceased to be a warrant with respect to EBAC ordinary shares and were assumed by Oculis as warrants with respect to ordinary shares on substantially the same terms (“</w:t>
      </w:r>
      <w:r>
        <w:rPr>
          <w:rFonts w:ascii="Times New Roman" w:hAnsi="Times New Roman"/>
          <w:i/>
          <w:color w:val="000000"/>
          <w:sz w:val="20"/>
        </w:rPr>
        <w:t>BCA Warrants</w:t>
      </w:r>
      <w:r>
        <w:rPr>
          <w:rFonts w:ascii="Times New Roman" w:hAnsi="Times New Roman"/>
          <w:color w:val="000000"/>
          <w:sz w:val="20"/>
        </w:rPr>
        <w:t>”). In connection with the Business Combination, Oculis was listed on the United States Nasdaq Global Market with the ticker symbol “OCS” for its ordinary shares and “OCSAW” for its public warrants.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During the third quarter of 2023, the Company gave effect in its financial statements to the dissolution of Merger Sub 2, a legal entity formed under the terms of the BCA. As a result, the cumulative translation adjustments related to Merger Sub 2 previously reported as equity and recognized in other comprehensive income, were reclassified from equity to the Consolidated Statement of Loss for the year ended December 31, 2023. The resulting foreign exchange impact of such reclassification amounted to CHF 5.0 million for the year ended December 31, 2023.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Merger and listing expense</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The Business Combination was accounted for as a capital re-organization in the first quarter of 2023 within the scope of IFRS 2 </w:t>
      </w:r>
      <w:r>
        <w:rPr>
          <w:rFonts w:ascii="Times New Roman" w:hAnsi="Times New Roman"/>
          <w:i/>
          <w:color w:val="000000"/>
          <w:sz w:val="20"/>
        </w:rPr>
        <w:t xml:space="preserve">Share-based Payment, </w:t>
      </w:r>
      <w:r>
        <w:rPr>
          <w:rFonts w:ascii="Times New Roman" w:hAnsi="Times New Roman"/>
          <w:color w:val="000000"/>
          <w:sz w:val="20"/>
        </w:rPr>
        <w:t xml:space="preserve">as EBAC did not meet the definition of a business in accordance with IFRS 3 </w:t>
      </w:r>
      <w:r>
        <w:rPr>
          <w:rFonts w:ascii="Times New Roman" w:hAnsi="Times New Roman"/>
          <w:i/>
          <w:color w:val="000000"/>
          <w:sz w:val="20"/>
        </w:rPr>
        <w:t>Business Combinations</w:t>
      </w:r>
      <w:r>
        <w:rPr>
          <w:rFonts w:ascii="Times New Roman" w:hAnsi="Times New Roman"/>
          <w:color w:val="000000"/>
          <w:sz w:val="20"/>
        </w:rPr>
        <w:t xml:space="preserve">. Any excess of the fair value of the Company’s shares issued over the fair value of EBAC’s identifiable net assets acquired represented compensation for the service of a stock exchange listing. This expense was incurred in the first quarter of 2023 and amounted to CHF 34.9 million, which was expensed to the statement of loss as operating expenses, “Merger and listing expense.”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Earnout consideration</w:t>
      </w:r>
    </w:p>
    <w:p>
      <w:pPr>
        <w:pStyle w:val="TextBody"/>
        <w:bidi w:val="0"/>
        <w:spacing w:before="180" w:after="283"/>
        <w:jc w:val="both"/>
        <w:rPr>
          <w:rFonts w:ascii="Times New Roman" w:hAnsi="Times New Roman"/>
          <w:sz w:val="20"/>
        </w:rPr>
      </w:pPr>
      <w:r>
        <w:rPr>
          <w:rFonts w:ascii="Times New Roman" w:hAnsi="Times New Roman"/>
          <w:color w:val="000000"/>
          <w:sz w:val="20"/>
        </w:rPr>
        <w:t>As a result of the BCA, Legacy Oculis preferred, ordinary and option holders (collectively “</w:t>
      </w:r>
      <w:r>
        <w:rPr>
          <w:rFonts w:ascii="Times New Roman" w:hAnsi="Times New Roman"/>
          <w:i/>
          <w:color w:val="000000"/>
          <w:sz w:val="20"/>
        </w:rPr>
        <w:t>equity holders</w:t>
      </w:r>
      <w:r>
        <w:rPr>
          <w:rFonts w:ascii="Times New Roman" w:hAnsi="Times New Roman"/>
          <w:color w:val="000000"/>
          <w:sz w:val="20"/>
        </w:rPr>
        <w:t xml:space="preserve">”) received consideration in the form of 3,793,995 earnout shares and 369,737 earnout options with an exercise price of CHF 0.01.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color w:val="000000"/>
          <w:sz w:val="20"/>
        </w:rPr>
        <w:t>The earnout consideration is subject to forfeiture in the event of a failure to achieve the price targets during the earnout period defined as follows: (i) 1,500,000, (ii) 1,500,000 and (iii) 1,000,000 earned based on the achievement of post acquisition-closing volume weighted average share price targets of Oculis of $15.00, $20.00 and $25.00, respectively, in each case, for any 20 trading days within any consecutive 30 trading day period commencing after the acquisition closing date and ending on or prior to March 2, 2028 (the “E</w:t>
      </w:r>
      <w:r>
        <w:rPr>
          <w:rFonts w:ascii="Times New Roman" w:hAnsi="Times New Roman"/>
          <w:i/>
          <w:color w:val="000000"/>
          <w:sz w:val="20"/>
        </w:rPr>
        <w:t>arnout Period</w:t>
      </w:r>
      <w:r>
        <w:rPr>
          <w:rFonts w:ascii="Times New Roman" w:hAnsi="Times New Roman"/>
          <w:color w:val="000000"/>
          <w:sz w:val="20"/>
        </w:rPr>
        <w:t>”). A given share price target described above will also be deemed to be achieved if the Company enters into a change of control transaction, as defined in the BCA, during the Earnout Period. The price targets of $15.00, $20.00 and $25.00 were met in November 2024, February 2025 and February 2026, respectively resulting in an aggregate of 2,845,446 earnout shares vested and 159,453 earnout options outstanding and exercisable as of December 31, 2025, and an additional 948,549 earnout shares vested and 55,487 earnout options becoming exercisable in February 2026.</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Registered Direct Offering and Nasdaq Iceland Main Market listing</w:t>
      </w:r>
    </w:p>
    <w:p>
      <w:pPr>
        <w:pStyle w:val="TextBody"/>
        <w:bidi w:val="0"/>
        <w:spacing w:before="180" w:after="283"/>
        <w:jc w:val="both"/>
        <w:rPr>
          <w:rFonts w:ascii="Times New Roman" w:hAnsi="Times New Roman"/>
          <w:sz w:val="20"/>
        </w:rPr>
      </w:pPr>
      <w:r>
        <w:rPr>
          <w:rFonts w:ascii="Times New Roman" w:hAnsi="Times New Roman"/>
          <w:color w:val="000000"/>
          <w:sz w:val="20"/>
        </w:rPr>
        <w:t>On April 22, 2024, the Company closed its registered direct offering with gross proceeds of CHF 53.5 million or $58.8 million through the issuance and sale of 5,000,000 of our ordinary shares, at a purchase price of CHF 10.70 or $11.75 per share to investors (the “</w:t>
      </w:r>
      <w:r>
        <w:rPr>
          <w:rFonts w:ascii="Times New Roman" w:hAnsi="Times New Roman"/>
          <w:i/>
          <w:color w:val="000000"/>
          <w:sz w:val="20"/>
        </w:rPr>
        <w:t>Registered Direct Offering</w:t>
      </w:r>
      <w:r>
        <w:rPr>
          <w:rFonts w:ascii="Times New Roman" w:hAnsi="Times New Roman"/>
          <w:color w:val="000000"/>
          <w:sz w:val="20"/>
        </w:rPr>
        <w:t>”), and commenced trading of its ordinary shares on the Nasdaq Iceland Main Market under the ticker symbol “OCS” on April 23, 2024. In connection with the Registered Direct Offering and Nasdaq Iceland Main Market listing, the Company incurred CHF 2.5 million of transaction related costs during the year ended December 31, 2024, of which CHF 1.9 million were recorded as a reduction of share premium in equity.</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Loan facility</w:t>
      </w:r>
    </w:p>
    <w:p>
      <w:pPr>
        <w:pStyle w:val="TextBody"/>
        <w:bidi w:val="0"/>
        <w:spacing w:before="180" w:after="283"/>
        <w:jc w:val="both"/>
        <w:rPr>
          <w:rFonts w:ascii="Times New Roman" w:hAnsi="Times New Roman"/>
          <w:sz w:val="20"/>
        </w:rPr>
      </w:pPr>
      <w:r>
        <w:rPr>
          <w:rFonts w:ascii="Times New Roman" w:hAnsi="Times New Roman"/>
          <w:color w:val="000000"/>
          <w:sz w:val="20"/>
        </w:rPr>
        <w:t>In May 2024, the Company and Kreos Capital VII (UK) Limited, which are funds and accounts managed by BlackRock, Inc. (the “</w:t>
      </w:r>
      <w:r>
        <w:rPr>
          <w:rFonts w:ascii="Times New Roman" w:hAnsi="Times New Roman"/>
          <w:i/>
          <w:color w:val="000000"/>
          <w:sz w:val="20"/>
        </w:rPr>
        <w:t>Lender”</w:t>
      </w:r>
      <w:r>
        <w:rPr>
          <w:rFonts w:ascii="Times New Roman" w:hAnsi="Times New Roman"/>
          <w:color w:val="000000"/>
          <w:sz w:val="20"/>
        </w:rPr>
        <w:t>), entered into a loan facility of up to CHF 50.0 million in borrowing capacity (which may be increased to up to CHF 65.0 million) and a related warrant agreement for up to 361,011 of the Company’s ordinary shares at a price per ordinary share equal to $12.17. On July 31, 2025, the Company entered into an amended and restated agreement for its existing loan facility (the “</w:t>
      </w:r>
      <w:r>
        <w:rPr>
          <w:rFonts w:ascii="Times New Roman" w:hAnsi="Times New Roman"/>
          <w:i/>
          <w:color w:val="000000"/>
          <w:sz w:val="20"/>
        </w:rPr>
        <w:t>Amended Loan Agreement”</w:t>
      </w:r>
      <w:r>
        <w:rPr>
          <w:rFonts w:ascii="Times New Roman" w:hAnsi="Times New Roman"/>
          <w:color w:val="000000"/>
          <w:sz w:val="20"/>
        </w:rPr>
        <w:t>) with the Lender. The Amended Loan Agreement replaces the prior loan agreement between the Company and the Lender dated May 29, 2024, with an upsized structure to provide the EUR equivalent of up to CHF 75.0 million in borrowing capacity (which may be increased to up to CHF 100.0 million) (the “</w:t>
      </w:r>
      <w:r>
        <w:rPr>
          <w:rFonts w:ascii="Times New Roman" w:hAnsi="Times New Roman"/>
          <w:i/>
          <w:color w:val="000000"/>
          <w:sz w:val="20"/>
        </w:rPr>
        <w:t>Loan”</w:t>
      </w:r>
      <w:r>
        <w:rPr>
          <w:rFonts w:ascii="Times New Roman" w:hAnsi="Times New Roman"/>
          <w:color w:val="000000"/>
          <w:sz w:val="20"/>
        </w:rPr>
        <w:t>), comprising tranches 1, 2 and 3, in the amounts of the EUR equivalents of CHF 25.0 million each, as well as an additional loan of the EUR equivalent of up to CHF 25.0 million, which may be made available by the Lender to the Company if mutually agreed in writing by the Lender and the Company. No amounts were drawn under the Amended Loan Agreement during the year ended December 31, 2025.</w:t>
      </w:r>
    </w:p>
    <w:p>
      <w:pPr>
        <w:pStyle w:val="TextBody"/>
        <w:bidi w:val="0"/>
        <w:spacing w:before="180" w:after="160"/>
        <w:jc w:val="both"/>
        <w:rPr>
          <w:rFonts w:ascii="Times New Roman" w:hAnsi="Times New Roman"/>
          <w:color w:val="000000"/>
          <w:sz w:val="20"/>
        </w:rPr>
      </w:pPr>
      <w:r>
        <w:rPr>
          <w:rFonts w:ascii="Times New Roman" w:hAnsi="Times New Roman"/>
          <w:color w:val="000000"/>
          <w:sz w:val="20"/>
        </w:rPr>
        <w:t xml:space="preserve">Loan 1 will be available for drawdown from closing until November 15, 2026, which period may be shortened upon the occurrence of a development milestone. Loans 2 and 3 will be available for drawdown prior to November 15, 2026 and December 31, 2026, respectively, in each case subject to satisfaction of certain pre-specified conditions. The availability of any funds under a drawdown of Loans 1, Loan 2 or Loan 3 is conditional upon, together with other conditions, the Company having a debt-to-market cap ratio (where debt includes the amount of all amounts drawn down to date and the proposed drawdown) equal to or less than 15% at the time of each draw down. Pursuant to the Amended Loan Agreement, the Company is subject to a non-utilization fee of 0.75% per annum of any undrawn amount under tranches 1 and 2. Additionally, to the extent Loan 1 has not been drawn prior to its expiry date, an additional one-time fee of the EUR equivalent of CHF 2.6 million shall be payable, subject to certain conditions. </w:t>
      </w:r>
    </w:p>
    <w:p>
      <w:pPr>
        <w:pStyle w:val="TextBody"/>
        <w:bidi w:val="0"/>
        <w:spacing w:before="20" w:after="283"/>
        <w:jc w:val="both"/>
        <w:rPr>
          <w:rFonts w:ascii="Times New Roman" w:hAnsi="Times New Roman"/>
          <w:sz w:val="20"/>
        </w:rPr>
      </w:pPr>
      <w:r>
        <w:rPr>
          <w:rFonts w:ascii="Times New Roman" w:hAnsi="Times New Roman"/>
          <w:color w:val="000000"/>
          <w:sz w:val="20"/>
        </w:rPr>
        <w:t>As additional consideration for the Loan, Kreos Capital VII Aggregator SCSp, an affiliate of the Lender (the “</w:t>
      </w:r>
      <w:r>
        <w:rPr>
          <w:rFonts w:ascii="Times New Roman" w:hAnsi="Times New Roman"/>
          <w:i/>
          <w:color w:val="000000"/>
          <w:sz w:val="20"/>
        </w:rPr>
        <w:t>Holder”</w:t>
      </w:r>
      <w:r>
        <w:rPr>
          <w:rFonts w:ascii="Times New Roman" w:hAnsi="Times New Roman"/>
          <w:color w:val="000000"/>
          <w:sz w:val="20"/>
        </w:rPr>
        <w:t>) and the Company entered into an amended warrant (the “</w:t>
      </w:r>
      <w:r>
        <w:rPr>
          <w:rFonts w:ascii="Times New Roman" w:hAnsi="Times New Roman"/>
          <w:i/>
          <w:color w:val="000000"/>
          <w:sz w:val="20"/>
        </w:rPr>
        <w:t>Amended BlackRock Warrant”</w:t>
      </w:r>
      <w:r>
        <w:rPr>
          <w:rFonts w:ascii="Times New Roman" w:hAnsi="Times New Roman"/>
          <w:color w:val="000000"/>
          <w:sz w:val="20"/>
        </w:rPr>
        <w:t xml:space="preserve">) to purchase up to 494,259 of the Company’s ordinary shares, subject to vesting, at a price per ordinary share equal to $12.17 (CHF 9.65) with respect to 361,011 shares from the prior warrant agreement, and $18.64 (CHF 14.78) with respect to the remaining 133,248 shares reflecting the upsized facility, subject to adjustment. The Amended BlackRock Warrant amends the prior warrant issued to Holder on May 29, 2024. As of the signing date, the Amended BlackRock Warrant is exercisable for 59,310 ordinary shares, of which 43,321 shares were previously granted. Following the drawdown of each of Loans 1, 2 and 3, the Amended BlackRock Warrant will become exercisable for additional amounts of ordinary shares ratably based on the amounts of Loans 1, 2 and 3 that are drawn. Each tranche of the Amended BlackRock Warrant in connection with Loans 1, 2 and 3, will be exercisable for a period of up to seven years from the date of vesting and the Amended BlackRock Warrant will terminate at the earliest of (i) December 31, 2033, (ii) such earlier date on which the Amended BlackRock Warrant is no longer exercisable for any warrant shares in accordance with its terms and (iii) the acceptance by the shareholders of the Company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of a third-party bona fide offer for all outstanding shares of the Company (subject to any prior exercise by the Holder, if applicable). The Amended BlackRock Warrant had not been exercised in part or in full as of December 31, 2025.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connection with this transaction, the Company incurred CHF 0.7 million and CHF 0.8 million of transaction related costs during the years ended December 31, 2025 and 2024, respectively, which were capitalized as a prepayment for liquidity services and recorded within other current assets.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At-the-Market Offering Program</w:t>
      </w:r>
    </w:p>
    <w:p>
      <w:pPr>
        <w:pStyle w:val="TextBody"/>
        <w:bidi w:val="0"/>
        <w:spacing w:before="200" w:after="283"/>
        <w:jc w:val="both"/>
        <w:rPr>
          <w:rFonts w:ascii="Times New Roman" w:hAnsi="Times New Roman"/>
          <w:sz w:val="20"/>
        </w:rPr>
      </w:pPr>
      <w:r>
        <w:rPr>
          <w:rFonts w:ascii="Times New Roman" w:hAnsi="Times New Roman"/>
          <w:color w:val="000000"/>
          <w:sz w:val="20"/>
        </w:rPr>
        <w:t>On May 8, 2024, the Company entered into a sales agreement with Leerink Partners, LLC (“</w:t>
      </w:r>
      <w:r>
        <w:rPr>
          <w:rFonts w:ascii="Times New Roman" w:hAnsi="Times New Roman"/>
          <w:i/>
          <w:color w:val="000000"/>
          <w:sz w:val="20"/>
        </w:rPr>
        <w:t>Leerink Partners</w:t>
      </w:r>
      <w:r>
        <w:rPr>
          <w:rFonts w:ascii="Times New Roman" w:hAnsi="Times New Roman"/>
          <w:color w:val="000000"/>
          <w:sz w:val="20"/>
        </w:rPr>
        <w:t>”) with respect to an at-the-market offering program (the “</w:t>
      </w:r>
      <w:r>
        <w:rPr>
          <w:rFonts w:ascii="Times New Roman" w:hAnsi="Times New Roman"/>
          <w:i/>
          <w:color w:val="000000"/>
          <w:sz w:val="20"/>
        </w:rPr>
        <w:t>ATM Offering Program</w:t>
      </w:r>
      <w:r>
        <w:rPr>
          <w:rFonts w:ascii="Times New Roman" w:hAnsi="Times New Roman"/>
          <w:color w:val="000000"/>
          <w:sz w:val="20"/>
        </w:rPr>
        <w:t xml:space="preserve">”) under which the Company may offer and sell, from time to time at its sole discretion, ordinary shares of the Company having an aggregate offering price of up to $100.0 million (CHF 79.3 million) through Leerink Partners as its sales agent. Any such sales, made through the sales agent, can be made by any method that is deemed an “at-the-market offering” as defined in Rule 415 promulgated under the Securities Act of 1933, as amended, or in other transactions pursuant to an effective shelf registration statement on Form F-3. The Company agreed to pay Leerink Partners a commission of up to 3.0% of the gross proceeds of any sales of ordinary shares sold pursuant to the sales agreement. Following the execution of the agreement, the Company issued 1,000,000 ordinary shares during the year ended December 31, 2024 and 2,500,000 ordinary shares during the year ended December 31, 2025 out of its existing capital band, each with a nominal value of CHF 0.01 to be held as treasury shares. In connection with this transaction the Company incurred approximately CHF 0.3 million of transaction related costs during the year ended December 31, 2024, which were capitalized within other current assets.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29, 2025, in conjunction with the November 2025 Offerings, the Company suspended the ATM Offering Program. The sales agreement with Leerink Partners remains in full force and effect. As of the date hereof, we have not sold any ordinary shares under the ATM Offering Program. Of the ordinary shares held as treasury shares, 2,796,297 were issued in connection with the November 2025 Offerings discussed below.</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Public Offerings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May 2023 Offering</w:t>
      </w:r>
    </w:p>
    <w:p>
      <w:pPr>
        <w:pStyle w:val="TextBody"/>
        <w:bidi w:val="0"/>
        <w:jc w:val="both"/>
        <w:rPr>
          <w:rFonts w:ascii="Times New Roman" w:hAnsi="Times New Roman"/>
          <w:color w:val="000000"/>
          <w:sz w:val="20"/>
        </w:rPr>
      </w:pPr>
      <w:r>
        <w:rPr>
          <w:rFonts w:ascii="Times New Roman" w:hAnsi="Times New Roman"/>
          <w:color w:val="000000"/>
          <w:sz w:val="20"/>
        </w:rPr>
        <w:t>On May 31, 2023, the Company entered into an underwriting agreement with BofA Securities Inc. and SVB Securities, LLC, as representatives of several underwriters, and on June 5 and June 13, 2023, the Company closed the issuance and sale in a public offering of an aggregate of 3,654,234 ordinary shares at a public offering price of CHF 10.45 or $11.50 per share, for total gross proceeds of CHF 38.2 million or $42.0 million before deducting underwriting discounts, commissions and offering expenses.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February 2025 Offering</w:t>
      </w:r>
    </w:p>
    <w:p>
      <w:pPr>
        <w:pStyle w:val="TextBody"/>
        <w:bidi w:val="0"/>
        <w:jc w:val="both"/>
        <w:rPr>
          <w:rFonts w:ascii="Times New Roman" w:hAnsi="Times New Roman"/>
          <w:color w:val="000000"/>
          <w:sz w:val="20"/>
        </w:rPr>
      </w:pPr>
      <w:r>
        <w:rPr>
          <w:rFonts w:ascii="Times New Roman" w:hAnsi="Times New Roman"/>
          <w:color w:val="000000"/>
          <w:sz w:val="20"/>
        </w:rPr>
        <w:t xml:space="preserve">In February 2025, the Company closed an underwritten follow-on offering of 5,000,000 ordinary shares, CHF 0.01 nominal value per share, at a price of $20.00 (CHF 18.05) per share, for total gross proceeds of $100.0 million (CHF 90.2 million). New shares were issued out of the Company’s existing capital band.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November 2025 Offerings</w:t>
      </w:r>
    </w:p>
    <w:p>
      <w:pPr>
        <w:pStyle w:val="TextBody"/>
        <w:bidi w:val="0"/>
        <w:jc w:val="both"/>
        <w:rPr>
          <w:rFonts w:ascii="Times New Roman" w:hAnsi="Times New Roman"/>
          <w:color w:val="000000"/>
          <w:sz w:val="20"/>
        </w:rPr>
      </w:pPr>
      <w:r>
        <w:rPr>
          <w:rFonts w:ascii="Times New Roman" w:hAnsi="Times New Roman"/>
          <w:color w:val="000000"/>
          <w:sz w:val="20"/>
        </w:rPr>
        <w:t>On November 3, 2025, the Company closed offerings of an aggregate of 5,432,098 ordinary shares, CHF 0.01 nominal value per share, at a price of $20.25 (CHF 16.33) per share for total gross proceeds of $110.0 million (CHF 88.7 million) before deducting underwriting discounts and commissions and offering expenses. The Company issued 2,635,801 shares out of the Company’s existing capital band and 2,796,297 shares previously held in treasury by the Company.</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6.</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SEGMENT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managed and operated as one business. A single management team that reports to the Chief Executive Officer comprehensively manages the entire business and accordingly, the Company has one reportable segment.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table below provides the carrying amount of certain non-current assets, by geographic area: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36"/>
        <w:gridCol w:w="146"/>
        <w:gridCol w:w="1324"/>
        <w:gridCol w:w="146"/>
        <w:gridCol w:w="1324"/>
        <w:gridCol w:w="146"/>
        <w:gridCol w:w="1324"/>
        <w:gridCol w:w="146"/>
        <w:gridCol w:w="1324"/>
        <w:gridCol w:w="146"/>
        <w:gridCol w:w="1324"/>
        <w:gridCol w:w="146"/>
        <w:gridCol w:w="1373"/>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Switzerland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December 31, 2024</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13,292</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385</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1,303</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13,989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14,191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16,289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14,980</w:t>
            </w:r>
          </w:p>
        </w:tc>
      </w:tr>
    </w:tbl>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w:t>
      </w:r>
    </w:p>
    <w:p>
      <w:pPr>
        <w:pStyle w:val="TextBody"/>
        <w:bidi w:val="0"/>
        <w:jc w:val="both"/>
        <w:rPr>
          <w:rFonts w:ascii="Times New Roman" w:hAnsi="Times New Roman"/>
          <w:b/>
          <w:color w:val="000000"/>
          <w:sz w:val="22"/>
        </w:rPr>
      </w:pPr>
      <w:r>
        <w:rPr>
          <w:rFonts w:ascii="Times New Roman" w:hAnsi="Times New Roman"/>
          <w:b/>
          <w:color w:val="000000"/>
          <w:sz w:val="22"/>
        </w:rPr>
        <w:t>INCOME AND EXPENSES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w:t>
      </w:r>
    </w:p>
    <w:p>
      <w:pPr>
        <w:pStyle w:val="TextBody"/>
        <w:bidi w:val="0"/>
        <w:jc w:val="both"/>
        <w:rPr>
          <w:rFonts w:ascii="Times New Roman" w:hAnsi="Times New Roman"/>
          <w:b/>
          <w:color w:val="000000"/>
          <w:sz w:val="20"/>
        </w:rPr>
      </w:pPr>
      <w:r>
        <w:rPr>
          <w:rFonts w:ascii="Times New Roman" w:hAnsi="Times New Roman"/>
          <w:b/>
          <w:color w:val="000000"/>
          <w:sz w:val="20"/>
        </w:rPr>
        <w:t>GRANT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Grant income reflects reimbursement of research and development expenses, and income from certain research projects managed by Icelandic governmental institutions. Certain expenses qualify for incentives from the Icelandic government in the form of tax credits or cash reimbursements. Icelandic government grant income for the year ended December 31, 2025, 2024 and 2023 was CHF 1.2 million, CHF 0.7 million and CHF 0.9 million, respectively. Refer to Note 11.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w:t>
      </w:r>
    </w:p>
    <w:p>
      <w:pPr>
        <w:pStyle w:val="TextBody"/>
        <w:bidi w:val="0"/>
        <w:jc w:val="both"/>
        <w:rPr/>
      </w:pPr>
      <w:r>
        <w:rPr>
          <w:rFonts w:ascii="Times New Roman" w:hAnsi="Times New Roman"/>
          <w:b/>
          <w:color w:val="000000"/>
          <w:sz w:val="20"/>
        </w:rPr>
        <w:t>OPERATING EXPENSES</w:t>
      </w:r>
      <w:r>
        <w:rPr>
          <w:color w:val="00000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tables below show the breakdown of the operating expenses by category:</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10"/>
        <w:gridCol w:w="146"/>
        <w:gridCol w:w="752"/>
        <w:gridCol w:w="182"/>
        <w:gridCol w:w="752"/>
        <w:gridCol w:w="182"/>
        <w:gridCol w:w="752"/>
        <w:gridCol w:w="146"/>
        <w:gridCol w:w="722"/>
        <w:gridCol w:w="175"/>
        <w:gridCol w:w="722"/>
        <w:gridCol w:w="175"/>
        <w:gridCol w:w="722"/>
        <w:gridCol w:w="175"/>
        <w:gridCol w:w="601"/>
        <w:gridCol w:w="146"/>
        <w:gridCol w:w="601"/>
        <w:gridCol w:w="146"/>
        <w:gridCol w:w="601"/>
        <w:gridCol w:w="297"/>
      </w:tblGrid>
      <w:tr>
        <w:trPr/>
        <w:tc>
          <w:tcPr>
            <w:tcW w:w="2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General and administrative expenses</w:t>
            </w:r>
          </w:p>
        </w:tc>
        <w:tc>
          <w:tcPr>
            <w:tcW w:w="23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operating expenses</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18,849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11,114</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14,997</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11,476</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7,029</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33,846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22,590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13,537</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Payroll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9,930</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8,998</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7,046</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4,753</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1,895</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3,607</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38,236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40,969</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10,789</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10,331</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10,458</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49,025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68,059</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External service providers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36,818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29,951</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2,958</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Merger and listing expense</w:t>
            </w:r>
            <w:r>
              <w:rPr>
                <w:rFonts w:ascii="Times New Roman" w:hAnsi="Times New Roman"/>
                <w:b/>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8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8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34,863</w:t>
            </w:r>
          </w:p>
        </w:tc>
        <w:tc>
          <w:tcPr>
            <w:tcW w:w="2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57,085</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52,083</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25,786</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21,807</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17,487</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82,871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73,890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81,597</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Merger and listing expense is presented separately from research and development or general and administrative expenses on the consolidated statements of loss. The item relates to the BCA and is non-recurring in nature, representing a share-based payment made in exchange for a listing service.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operating expenses increased CHF 9.0 million from December 31, 2024 to December 31, 2025. The increase was driven by a CHF 5.0 million increase in research and development expense and a CHF 4.0 million increase in general and administrative expense year over year.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research and development expenses was primarily due to advancements in our late-stage development portfolio, including Privosegtor development activities and the DIAMOND clinical program. The cost increases were partially offset by a decline in Licaminlimab development costs due to the completion of RELIEF Phase 2 trial in 2024 and commencement of PREDICT registrational trial in late 2025.</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B333D"/>
          <w:sz w:val="20"/>
        </w:rPr>
        <w:t>The increase in general and administrative costs was primarily driven by personnel costs, specifically</w:t>
      </w:r>
      <w:r>
        <w:rPr>
          <w:rFonts w:ascii="Times New Roman" w:hAnsi="Times New Roman"/>
          <w:color w:val="000000"/>
          <w:sz w:val="20"/>
        </w:rPr>
        <w:t xml:space="preserve"> share-based compensation expense due to increased headcount and increased grant value for awards granted during the year ended December 31, 2025.</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w:t>
      </w:r>
    </w:p>
    <w:p>
      <w:pPr>
        <w:pStyle w:val="TextBody"/>
        <w:bidi w:val="0"/>
        <w:jc w:val="both"/>
        <w:rPr>
          <w:rFonts w:ascii="Times New Roman" w:hAnsi="Times New Roman"/>
          <w:b/>
          <w:color w:val="000000"/>
          <w:sz w:val="20"/>
        </w:rPr>
      </w:pPr>
      <w:r>
        <w:rPr>
          <w:rFonts w:ascii="Times New Roman" w:hAnsi="Times New Roman"/>
          <w:b/>
          <w:color w:val="000000"/>
          <w:sz w:val="20"/>
        </w:rPr>
        <w:t>FINANCE RESULT</w:t>
      </w:r>
    </w:p>
    <w:p>
      <w:pPr>
        <w:pStyle w:val="TextBody"/>
        <w:bidi w:val="0"/>
        <w:jc w:val="both"/>
        <w:rPr/>
      </w:pPr>
      <w:r>
        <w:rPr/>
        <w:t> </w:t>
      </w:r>
    </w:p>
    <w:tbl>
      <w:tblPr>
        <w:tblW w:w="6433" w:type="dxa"/>
        <w:jc w:val="left"/>
        <w:tblInd w:w="0" w:type="dxa"/>
        <w:tblLayout w:type="fixed"/>
        <w:tblCellMar>
          <w:top w:w="28" w:type="dxa"/>
          <w:left w:w="28" w:type="dxa"/>
          <w:bottom w:w="28" w:type="dxa"/>
          <w:right w:w="28" w:type="dxa"/>
        </w:tblCellMar>
      </w:tblPr>
      <w:tblGrid>
        <w:gridCol w:w="3121"/>
        <w:gridCol w:w="146"/>
        <w:gridCol w:w="661"/>
        <w:gridCol w:w="166"/>
        <w:gridCol w:w="146"/>
        <w:gridCol w:w="146"/>
        <w:gridCol w:w="661"/>
        <w:gridCol w:w="166"/>
        <w:gridCol w:w="146"/>
        <w:gridCol w:w="146"/>
        <w:gridCol w:w="571"/>
        <w:gridCol w:w="166"/>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 on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exchange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Finance result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(17,471</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(12,733</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(7,981</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Finance income in all periods presented consists primarily of interest income earned from the Company’s short-term financial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primary finance expense in 2025 and 2024 is the amortization of transaction costs related to the Loan Agreement, entered into during the second quarter of 2024 and amended in the third quarter of 2025. Refer to Note 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had 2,045,596 shares of BCA Warrants and 59,310 ordinary shares of Blackrock Warrants outstanding at December 31, 2025. Warrants are adjusted to fair market value at each reporting date. Refer to Note 17 for further discussions of the fair value gain/(loss) on warrant liabilities.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year ended December 31, 2025, the foreign currency exchange loss is primarily related to overall weakening of the U.S. dollar against the Swiss Franc. During the year ended December 31, 2024, the foreign currency exchange gain is primarily related to overall strengthening of the U.S. dollar against the Swiss Franc.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Financial result as presented in the statements of cash flows is comprised of interest and the foreign exchange effect on cash and financial assets, net.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(D)</w:t>
      </w:r>
    </w:p>
    <w:p>
      <w:pPr>
        <w:pStyle w:val="TextBody"/>
        <w:bidi w:val="0"/>
        <w:jc w:val="both"/>
        <w:rPr>
          <w:rFonts w:ascii="Times New Roman" w:hAnsi="Times New Roman"/>
          <w:b/>
          <w:color w:val="000000"/>
          <w:sz w:val="20"/>
        </w:rPr>
      </w:pPr>
      <w:r>
        <w:rPr>
          <w:rFonts w:ascii="Times New Roman" w:hAnsi="Times New Roman"/>
          <w:b/>
          <w:color w:val="000000"/>
          <w:sz w:val="20"/>
        </w:rPr>
        <w:t>INCOME TAX AND DEFERRED TAX</w:t>
      </w:r>
    </w:p>
    <w:p>
      <w:pPr>
        <w:pStyle w:val="TextBody"/>
        <w:bidi w:val="0"/>
        <w:jc w:val="both"/>
        <w:rPr/>
      </w:pPr>
      <w:r>
        <w:rPr/>
        <w:t> </w:t>
      </w:r>
    </w:p>
    <w:tbl>
      <w:tblPr>
        <w:tblW w:w="5202" w:type="dxa"/>
        <w:jc w:val="left"/>
        <w:tblInd w:w="0" w:type="dxa"/>
        <w:tblLayout w:type="fixed"/>
        <w:tblCellMar>
          <w:top w:w="28" w:type="dxa"/>
          <w:left w:w="28" w:type="dxa"/>
          <w:bottom w:w="28" w:type="dxa"/>
          <w:right w:w="28" w:type="dxa"/>
        </w:tblCellMar>
      </w:tblPr>
      <w:tblGrid>
        <w:gridCol w:w="2296"/>
        <w:gridCol w:w="170"/>
        <w:gridCol w:w="439"/>
        <w:gridCol w:w="194"/>
        <w:gridCol w:w="170"/>
        <w:gridCol w:w="170"/>
        <w:gridCol w:w="509"/>
        <w:gridCol w:w="194"/>
        <w:gridCol w:w="170"/>
        <w:gridCol w:w="170"/>
        <w:gridCol w:w="509"/>
        <w:gridCol w:w="211"/>
      </w:tblGrid>
      <w:tr>
        <w:trPr/>
        <w:tc>
          <w:tcPr>
            <w:tcW w:w="22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income tax expense</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income (expense)</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tax benefit (expense)</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Group’s expected tax expense for each year is based on the applicable tax rate in each individual jurisdiction, which ranged between 8.3% and 25.0% for 2025, 2024 and 2023 in the tax jurisdictions in which the Group operates. The weighted average tax rates applicable to the profits of the consolidated entities were 12.8%, 13.7% and 12.7% for the years 2025, 2024 and 2023, respectively. The decrease in 2025 primarily reflects changes in the composition of taxable results.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tax on the Group’s profit / (loss) before tax differs from the statutory amount that would arise using the weighted average applicable tax rate as follows:</w:t>
      </w:r>
    </w:p>
    <w:p>
      <w:pPr>
        <w:pStyle w:val="TextBody"/>
        <w:bidi w:val="0"/>
        <w:jc w:val="both"/>
        <w:rPr/>
      </w:pPr>
      <w:r>
        <w:rPr/>
        <w:t> </w:t>
      </w:r>
    </w:p>
    <w:tbl>
      <w:tblPr>
        <w:tblW w:w="6467" w:type="dxa"/>
        <w:jc w:val="left"/>
        <w:tblInd w:w="0" w:type="dxa"/>
        <w:tblLayout w:type="fixed"/>
        <w:tblCellMar>
          <w:top w:w="28" w:type="dxa"/>
          <w:left w:w="28" w:type="dxa"/>
          <w:bottom w:w="28" w:type="dxa"/>
          <w:right w:w="28" w:type="dxa"/>
        </w:tblCellMar>
      </w:tblPr>
      <w:tblGrid>
        <w:gridCol w:w="2941"/>
        <w:gridCol w:w="146"/>
        <w:gridCol w:w="661"/>
        <w:gridCol w:w="256"/>
        <w:gridCol w:w="146"/>
        <w:gridCol w:w="146"/>
        <w:gridCol w:w="661"/>
        <w:gridCol w:w="256"/>
        <w:gridCol w:w="146"/>
        <w:gridCol w:w="146"/>
        <w:gridCol w:w="661"/>
        <w:gridCol w:w="30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Groups average expected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Accounting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(88,695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at weighted average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unrecognized tax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use of unrecognized tax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non-deductible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non-taxable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other items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tax benefit (expense)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(107</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year ended December 31, 2025, the Group changed its corporate structure and completed an intra-group sale of an intangible asset between two wholly-owned Swiss legal entities, generating an intra-group taxable profit of CHF 210.4 million. The intra-group sale of intangible asset combined with regular operational losses resulted in the use of CHF 160.6 million unrecognized tax losses to offset the taxable income in the transferring Swiss entity, resulting in a reconciling effect of use of unrecognized tax losses of CHF 22.5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transaction created future temporary difference of CHF 210.4 million in the receiving Swiss entity due to the differences between the statutory and the IFRS carrying values of the transferred intangible asset. The amortization of the transferred intangible asset will commence when the market approval for the underlying asset is obtained. Given the uncertainty in the realization of future taxable profits, no deferred tax asset on these future temporary differences has been recognized as of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2024 and 2023, the Group has accumulated tax losses, primarily in Switzerland. These losses may be carried forward to offset future taxable profits of the Company until expiration. However, no deferred tax assets have been recognized related to these losses as of December 31, 2025 as the realization of sufficient future taxable profits is not considered probable. Additionally, as certain tax losses have not yet been validated by the tax authorities, they remain subject to potential adjustments. The combined effect of unrecognized tax losses and intangible asset temporary differences amounted to CHF 33.5 million. This does not affect management’s assumption on the going concern hypothesis of the Group. Below is the maturity of the Group reportable losses:</w:t>
      </w:r>
    </w:p>
    <w:p>
      <w:pPr>
        <w:pStyle w:val="TextBody"/>
        <w:bidi w:val="0"/>
        <w:jc w:val="both"/>
        <w:rPr/>
      </w:pPr>
      <w:r>
        <w:rPr/>
        <w:t> </w:t>
      </w:r>
    </w:p>
    <w:tbl>
      <w:tblPr>
        <w:tblW w:w="3812" w:type="dxa"/>
        <w:jc w:val="left"/>
        <w:tblInd w:w="0" w:type="dxa"/>
        <w:tblLayout w:type="fixed"/>
        <w:tblCellMar>
          <w:top w:w="28" w:type="dxa"/>
          <w:left w:w="28" w:type="dxa"/>
          <w:bottom w:w="28" w:type="dxa"/>
          <w:right w:w="28" w:type="dxa"/>
        </w:tblCellMar>
      </w:tblPr>
      <w:tblGrid>
        <w:gridCol w:w="526"/>
        <w:gridCol w:w="146"/>
        <w:gridCol w:w="691"/>
        <w:gridCol w:w="146"/>
        <w:gridCol w:w="146"/>
        <w:gridCol w:w="146"/>
        <w:gridCol w:w="691"/>
        <w:gridCol w:w="146"/>
        <w:gridCol w:w="146"/>
        <w:gridCol w:w="146"/>
        <w:gridCol w:w="691"/>
        <w:gridCol w:w="191"/>
      </w:tblGrid>
      <w:tr>
        <w:trPr/>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106,861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233,840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170,443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 did not recognize the following temporary differences:</w:t>
      </w:r>
    </w:p>
    <w:p>
      <w:pPr>
        <w:pStyle w:val="TextBody"/>
        <w:bidi w:val="0"/>
        <w:jc w:val="both"/>
        <w:rPr/>
      </w:pPr>
      <w:r>
        <w:rPr/>
        <w:t> </w:t>
      </w:r>
    </w:p>
    <w:tbl>
      <w:tblPr>
        <w:tblW w:w="5282" w:type="dxa"/>
        <w:jc w:val="left"/>
        <w:tblInd w:w="0" w:type="dxa"/>
        <w:tblLayout w:type="fixed"/>
        <w:tblCellMar>
          <w:top w:w="28" w:type="dxa"/>
          <w:left w:w="28" w:type="dxa"/>
          <w:bottom w:w="28" w:type="dxa"/>
          <w:right w:w="28" w:type="dxa"/>
        </w:tblCellMar>
      </w:tblPr>
      <w:tblGrid>
        <w:gridCol w:w="1936"/>
        <w:gridCol w:w="146"/>
        <w:gridCol w:w="691"/>
        <w:gridCol w:w="166"/>
        <w:gridCol w:w="146"/>
        <w:gridCol w:w="146"/>
        <w:gridCol w:w="691"/>
        <w:gridCol w:w="166"/>
        <w:gridCol w:w="146"/>
        <w:gridCol w:w="146"/>
        <w:gridCol w:w="691"/>
        <w:gridCol w:w="21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Pension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losses in Switzerland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170,443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314,449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231,562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166,996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abovementioned intra-group sale transaction generated future temporary differences of CHF 210.4 million in the receiving Swiss entity and reduced accumulated tax losses by an amount of CHF 160.6 million as of December 31, 2025.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8. PROPERTY AND EQUIPMENT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presents the movements in the book values of property and equipment: </w:t>
      </w:r>
    </w:p>
    <w:tbl>
      <w:tblPr>
        <w:tblW w:w="10205" w:type="dxa"/>
        <w:jc w:val="left"/>
        <w:tblInd w:w="0" w:type="dxa"/>
        <w:tblLayout w:type="fixed"/>
        <w:tblCellMar>
          <w:top w:w="28" w:type="dxa"/>
          <w:left w:w="28" w:type="dxa"/>
          <w:bottom w:w="28" w:type="dxa"/>
          <w:right w:w="28" w:type="dxa"/>
        </w:tblCellMar>
      </w:tblPr>
      <w:tblGrid>
        <w:gridCol w:w="1926"/>
        <w:gridCol w:w="309"/>
        <w:gridCol w:w="928"/>
        <w:gridCol w:w="166"/>
        <w:gridCol w:w="146"/>
        <w:gridCol w:w="379"/>
        <w:gridCol w:w="1139"/>
        <w:gridCol w:w="166"/>
        <w:gridCol w:w="146"/>
        <w:gridCol w:w="454"/>
        <w:gridCol w:w="1362"/>
        <w:gridCol w:w="166"/>
        <w:gridCol w:w="146"/>
        <w:gridCol w:w="443"/>
        <w:gridCol w:w="1145"/>
        <w:gridCol w:w="166"/>
        <w:gridCol w:w="146"/>
        <w:gridCol w:w="146"/>
        <w:gridCol w:w="511"/>
        <w:gridCol w:w="215"/>
      </w:tblGrid>
      <w:tr>
        <w:trPr/>
        <w:tc>
          <w:tcPr>
            <w:tcW w:w="192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Lab -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Lab - fixtures and fittings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Office equipment &amp; hardware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Leasehold improvement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cost:</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2023</w:t>
            </w:r>
          </w:p>
        </w:tc>
        <w:tc>
          <w:tcPr>
            <w:tcW w:w="30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2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618</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7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195</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36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151</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4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964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Additions</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1,194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Additions</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Disposals</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2025</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1,433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depreciation:</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2023</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expense</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(809</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expense</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Disposals</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2025</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(899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Carrying amount:</w:t>
            </w:r>
          </w:p>
        </w:tc>
        <w:tc>
          <w:tcPr>
            <w:tcW w:w="12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2025</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9.</w:t>
      </w:r>
    </w:p>
    <w:p>
      <w:pPr>
        <w:pStyle w:val="TextBody"/>
        <w:bidi w:val="0"/>
        <w:jc w:val="both"/>
        <w:rPr>
          <w:rFonts w:ascii="Times New Roman" w:hAnsi="Times New Roman"/>
          <w:b/>
          <w:color w:val="000000"/>
          <w:sz w:val="22"/>
        </w:rPr>
      </w:pPr>
      <w:r>
        <w:rPr>
          <w:rFonts w:ascii="Times New Roman" w:hAnsi="Times New Roman"/>
          <w:b/>
          <w:color w:val="000000"/>
          <w:sz w:val="22"/>
        </w:rPr>
        <w:t>INTANGIBLE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summarize the movement of intangibles assets, all of which represent licenses:</w:t>
      </w:r>
    </w:p>
    <w:p>
      <w:pPr>
        <w:pStyle w:val="TextBody"/>
        <w:bidi w:val="0"/>
        <w:jc w:val="both"/>
        <w:rPr/>
      </w:pPr>
      <w:r>
        <w:rPr/>
        <w:t> </w:t>
      </w:r>
    </w:p>
    <w:tbl>
      <w:tblPr>
        <w:tblW w:w="3695" w:type="dxa"/>
        <w:jc w:val="left"/>
        <w:tblInd w:w="0" w:type="dxa"/>
        <w:tblLayout w:type="fixed"/>
        <w:tblCellMar>
          <w:top w:w="28" w:type="dxa"/>
          <w:left w:w="28" w:type="dxa"/>
          <w:bottom w:w="28" w:type="dxa"/>
          <w:right w:w="28" w:type="dxa"/>
        </w:tblCellMar>
      </w:tblPr>
      <w:tblGrid>
        <w:gridCol w:w="2611"/>
        <w:gridCol w:w="146"/>
        <w:gridCol w:w="146"/>
        <w:gridCol w:w="601"/>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12,206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13,292</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13,292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Intangible assets as of both December 31, 2025 and 2024 were CHF 13.3 million, and represented licenses purchased under license agreements with Novartis and Accure. The Novartis license agreement was dated as of December 19, 2018 between Legacy Oculis and Novartis and relates to a novel topical anti-TNFα antibody, renamed Licaminlimab, for ophthalmic indications. The license agreement between Legacy Oculis and Accure, dated as of January 29, 2022, relates to the exclusive global licensing of its Privosegtor (formerly ACT-01) technology. This license agreement contained an upfront payment of CHF 3.0 million and reimbursement of development related costs of CHF 0.5 million. During the fourth quarter of 2024, the Company completed the Phase 2 ACUITY trial of Privosegtor in ON and received clearance from the U.S. Food and Drug Administration (“</w:t>
      </w:r>
      <w:r>
        <w:rPr>
          <w:rFonts w:ascii="Times New Roman" w:hAnsi="Times New Roman"/>
          <w:i/>
          <w:color w:val="000000"/>
          <w:sz w:val="20"/>
        </w:rPr>
        <w:t>FDA</w:t>
      </w:r>
      <w:r>
        <w:rPr>
          <w:rFonts w:ascii="Times New Roman" w:hAnsi="Times New Roman"/>
          <w:color w:val="000000"/>
          <w:sz w:val="20"/>
        </w:rPr>
        <w:t>”) for its investigational new drug (“</w:t>
      </w:r>
      <w:r>
        <w:rPr>
          <w:rFonts w:ascii="Times New Roman" w:hAnsi="Times New Roman"/>
          <w:i/>
          <w:color w:val="000000"/>
          <w:sz w:val="20"/>
        </w:rPr>
        <w:t>IND</w:t>
      </w:r>
      <w:r>
        <w:rPr>
          <w:rFonts w:ascii="Times New Roman" w:hAnsi="Times New Roman"/>
          <w:color w:val="000000"/>
          <w:sz w:val="20"/>
        </w:rPr>
        <w:t>”). These events triggered milestone payments to Accure totaling CHF 1.1 million which were capitalized, increasing the value of the intangible asset. The next clinical and regulatory milestone under the Accure Agreement will trigger a payment of CHF 2.1 million ($2.6 million) that the Company expects to pay in 2026.</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w:t>
      </w:r>
    </w:p>
    <w:p>
      <w:pPr>
        <w:pStyle w:val="TextBody"/>
        <w:bidi w:val="0"/>
        <w:jc w:val="both"/>
        <w:rPr>
          <w:rFonts w:ascii="Times New Roman" w:hAnsi="Times New Roman"/>
          <w:b/>
          <w:color w:val="000000"/>
          <w:sz w:val="20"/>
        </w:rPr>
      </w:pPr>
      <w:r>
        <w:rPr>
          <w:rFonts w:ascii="Times New Roman" w:hAnsi="Times New Roman"/>
          <w:b/>
          <w:color w:val="000000"/>
          <w:sz w:val="20"/>
        </w:rPr>
        <w:t xml:space="preserve">Intangible assets amortization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products candidates related to the capitalized intangible assets are not yet available for use. The amortization of the licenses will start when the market approval is obtained.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w:t>
      </w:r>
    </w:p>
    <w:p>
      <w:pPr>
        <w:pStyle w:val="TextBody"/>
        <w:bidi w:val="0"/>
        <w:jc w:val="both"/>
        <w:rPr>
          <w:rFonts w:ascii="Times New Roman" w:hAnsi="Times New Roman"/>
          <w:b/>
          <w:color w:val="000000"/>
          <w:sz w:val="20"/>
        </w:rPr>
      </w:pPr>
      <w:r>
        <w:rPr>
          <w:rFonts w:ascii="Times New Roman" w:hAnsi="Times New Roman"/>
          <w:b/>
          <w:color w:val="000000"/>
          <w:sz w:val="20"/>
        </w:rPr>
        <w:t>Annual impairment testing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Oculis performs an assessment of its licenses in the context of its annual impairment test. Given the stage of Oculis’ development activities and the importance of the relevant product candidates, Licaminlimab and Privosegtor, in Oculis’ portfolio, the impairment test is performed first on the basis of a fair value model for the entire Company using a market approach and second on the basis of the continued development feasibility of both candidates.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Oculis performs its annual impairment tests on its entire portfolio of research and development assets, by deriving the fair value from an observable valuation for the entire Company determined via its stock market price quoted in Nasdaq as per the reporting date. The fair value of the asset portfolio is derived by deducting the carrying value of tangible assets and the remaining assets, which consist primarily of short-term financial assets and cash and cash equivalents, from the Company valuation.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Licaminlimab and Privosegtor, are additionally tested for impairment by assessing their probability of success. Assessments include reviews of the following indicators, and if the candidate fails any of these indicators the entire balance is written off: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Importance allocated to the candidate within Oculis’ development portfolio, including future contractual commitments and internal budgets approved by the Board of Directors for ongoing and future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Consideration of the progress of technical development and clinical trials, including obtaining technical development reports, efficacy and safety readout data, and discussions with regulatory authorities for new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Consideration of market potentials supported where available by external market studies, and assessments of competitor products and product candidates.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2025, 2024 and 2023, reviews of all these indicators for Licaminlimab and Privosegtor were positive. No impairment losses were recognized in 2025, 2024 or 2023. </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10.</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RIGHT-OF-USE ASSETS AND LEASE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right-of-use assets, which are related to the Company’s Switzerland, Iceland and U.S. facilities:</w:t>
      </w:r>
    </w:p>
    <w:p>
      <w:pPr>
        <w:pStyle w:val="TextBody"/>
        <w:bidi w:val="0"/>
        <w:jc w:val="both"/>
        <w:rPr/>
      </w:pPr>
      <w:r>
        <w:rPr/>
        <w:t> </w:t>
      </w:r>
    </w:p>
    <w:tbl>
      <w:tblPr>
        <w:tblW w:w="4373" w:type="dxa"/>
        <w:jc w:val="left"/>
        <w:tblInd w:w="0" w:type="dxa"/>
        <w:tblLayout w:type="fixed"/>
        <w:tblCellMar>
          <w:top w:w="28" w:type="dxa"/>
          <w:left w:w="28" w:type="dxa"/>
          <w:bottom w:w="28" w:type="dxa"/>
          <w:right w:w="28" w:type="dxa"/>
        </w:tblCellMar>
      </w:tblPr>
      <w:tblGrid>
        <w:gridCol w:w="2536"/>
        <w:gridCol w:w="146"/>
        <w:gridCol w:w="511"/>
        <w:gridCol w:w="166"/>
        <w:gridCol w:w="146"/>
        <w:gridCol w:w="146"/>
        <w:gridCol w:w="511"/>
        <w:gridCol w:w="21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Right-of-use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January 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Indexation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New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charge for the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year ended December 31, 2025, the Company signed a new lease in the U.S. commencing July 1, 2025 and a new lease in Iceland commencing September 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are no variable lease payments which are not included in the measurement of lease obligations. Expected extension options have been included in the measurement of lease liabilities.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presents the lease obligations: </w:t>
      </w:r>
    </w:p>
    <w:p>
      <w:pPr>
        <w:pStyle w:val="TextBody"/>
        <w:bidi w:val="0"/>
        <w:jc w:val="both"/>
        <w:rPr/>
      </w:pPr>
      <w:r>
        <w:rPr/>
        <w:t> </w:t>
      </w:r>
    </w:p>
    <w:tbl>
      <w:tblPr>
        <w:tblW w:w="4223" w:type="dxa"/>
        <w:jc w:val="left"/>
        <w:tblInd w:w="0" w:type="dxa"/>
        <w:tblLayout w:type="fixed"/>
        <w:tblCellMar>
          <w:top w:w="28" w:type="dxa"/>
          <w:left w:w="28" w:type="dxa"/>
          <w:bottom w:w="28" w:type="dxa"/>
          <w:right w:w="28" w:type="dxa"/>
        </w:tblCellMar>
      </w:tblPr>
      <w:tblGrid>
        <w:gridCol w:w="2266"/>
        <w:gridCol w:w="146"/>
        <w:gridCol w:w="571"/>
        <w:gridCol w:w="166"/>
        <w:gridCol w:w="146"/>
        <w:gridCol w:w="146"/>
        <w:gridCol w:w="571"/>
        <w:gridCol w:w="21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Lease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January 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New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revaluation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Indexation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payments for the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tbl>
      <w:tblPr>
        <w:tblW w:w="5504" w:type="dxa"/>
        <w:jc w:val="left"/>
        <w:tblInd w:w="0" w:type="dxa"/>
        <w:tblLayout w:type="fixed"/>
        <w:tblCellMar>
          <w:top w:w="28" w:type="dxa"/>
          <w:left w:w="28" w:type="dxa"/>
          <w:bottom w:w="28" w:type="dxa"/>
          <w:right w:w="28" w:type="dxa"/>
        </w:tblCellMar>
      </w:tblPr>
      <w:tblGrid>
        <w:gridCol w:w="991"/>
        <w:gridCol w:w="405"/>
        <w:gridCol w:w="1590"/>
        <w:gridCol w:w="166"/>
        <w:gridCol w:w="146"/>
        <w:gridCol w:w="405"/>
        <w:gridCol w:w="1590"/>
        <w:gridCol w:w="211"/>
      </w:tblGrid>
      <w:tr>
        <w:trPr/>
        <w:tc>
          <w:tcPr>
            <w:tcW w:w="99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11.</w:t>
      </w:r>
    </w:p>
    <w:p>
      <w:pPr>
        <w:pStyle w:val="TextBody"/>
        <w:bidi w:val="0"/>
        <w:jc w:val="both"/>
        <w:rPr>
          <w:rFonts w:ascii="Times New Roman" w:hAnsi="Times New Roman"/>
          <w:b/>
          <w:color w:val="000000"/>
          <w:sz w:val="22"/>
        </w:rPr>
      </w:pPr>
      <w:r>
        <w:rPr>
          <w:rFonts w:ascii="Times New Roman" w:hAnsi="Times New Roman"/>
          <w:b/>
          <w:color w:val="000000"/>
          <w:sz w:val="22"/>
        </w:rPr>
        <w:t>OTHER CURRENT ASSETS, OTHER RECEIVABLE AND ACCRUED INCOME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table below shows the breakdown of the other current assets by category: </w:t>
      </w:r>
    </w:p>
    <w:p>
      <w:pPr>
        <w:pStyle w:val="TextBody"/>
        <w:bidi w:val="0"/>
        <w:jc w:val="left"/>
        <w:rPr/>
      </w:pPr>
      <w:r>
        <w:rPr/>
        <w:t> </w:t>
      </w:r>
    </w:p>
    <w:tbl>
      <w:tblPr>
        <w:tblW w:w="8415" w:type="dxa"/>
        <w:jc w:val="left"/>
        <w:tblInd w:w="0" w:type="dxa"/>
        <w:tblLayout w:type="fixed"/>
        <w:tblCellMar>
          <w:top w:w="28" w:type="dxa"/>
          <w:left w:w="28" w:type="dxa"/>
          <w:bottom w:w="28" w:type="dxa"/>
          <w:right w:w="28" w:type="dxa"/>
        </w:tblCellMar>
      </w:tblPr>
      <w:tblGrid>
        <w:gridCol w:w="3796"/>
        <w:gridCol w:w="146"/>
        <w:gridCol w:w="442"/>
        <w:gridCol w:w="1553"/>
        <w:gridCol w:w="146"/>
        <w:gridCol w:w="146"/>
        <w:gridCol w:w="442"/>
        <w:gridCol w:w="1553"/>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clinical and technical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VAT, withholding tax and interest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5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4,883</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5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5,605</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decrease in prepaid clinical and technical development expenses as of December 31, 2025 compared to prior year relates primarily to advancements of clinical trials. Specifically, the OCS-01 DIAMOND-1 and DIAMOND-2 trials in DME which started in December 2023 and February 2024, respectively, with enrollments completed in April 2025. The increase in prepaid general and administrative expenses is primarily due to capitalized transaction costs associated with the Company’s ATM Offering Program and Amended Loan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shows the movement of the accrued income for the years ended December 31, 2025 and 2024:</w:t>
      </w:r>
    </w:p>
    <w:p>
      <w:pPr>
        <w:pStyle w:val="TextBody"/>
        <w:bidi w:val="0"/>
        <w:jc w:val="left"/>
        <w:rPr/>
      </w:pPr>
      <w:r>
        <w:rPr/>
        <w:t> </w:t>
      </w:r>
    </w:p>
    <w:tbl>
      <w:tblPr>
        <w:tblW w:w="5254" w:type="dxa"/>
        <w:jc w:val="left"/>
        <w:tblInd w:w="0" w:type="dxa"/>
        <w:tblLayout w:type="fixed"/>
        <w:tblCellMar>
          <w:top w:w="28" w:type="dxa"/>
          <w:left w:w="28" w:type="dxa"/>
          <w:bottom w:w="28" w:type="dxa"/>
          <w:right w:w="28" w:type="dxa"/>
        </w:tblCellMar>
      </w:tblPr>
      <w:tblGrid>
        <w:gridCol w:w="3346"/>
        <w:gridCol w:w="146"/>
        <w:gridCol w:w="146"/>
        <w:gridCol w:w="511"/>
        <w:gridCol w:w="166"/>
        <w:gridCol w:w="146"/>
        <w:gridCol w:w="146"/>
        <w:gridCol w:w="436"/>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income recognized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received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exchange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Accrued income is generated by incentives for research and development offered by the Icelandic government in the form of tax credits for innovation companies. These tax credits are either used to reduce the company’s income tax liability or, if the credits exceed the tax due, they are paid out in cash. The tax credit is subject to companies having a research project approved as eligible for tax credit by the Icelandic Centre for Research (Rannís).</w:t>
      </w:r>
    </w:p>
    <w:p>
      <w:pPr>
        <w:pStyle w:val="TextBody"/>
        <w:bidi w:val="0"/>
        <w:jc w:val="both"/>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PENSIONS AND OTHER POST-EMPLOYMENT BENEFIT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Swiss pension plan is classified as a defined benefit plan under IFRS Accounting Standards. Employees of the Icelandic, French, Hong Kong and American subsidiaries are covered by local post-retirement contribution plans. Besides the Swiss plan, all other pension plans are not material to the Company’s consolidated financial position or results.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Switzerland pension plan</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Swiss entity is affiliated to a collective foundation administrating the pension plans of various unrelated employers that qualifies as defined benefit plan under IAS 19. For employees in Switzerland, the pension fund provides post-employment, death-in-service and disability benefits in accordance with the Swiss Federal Law on Occupational Retirement, Survivor’s and Disability Pension Plans which specifies the minimum benefits that are to be provided.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pension plan of the Company’s Swiss entity is fully segregated from the ones of other participating employers. The collective foundation has reinsured all risks with an insurance company. The most senior governing body of the collective foundation is the Board of Trustees. All governing and administration bodies have an obligation to act in the interests of the plan beneficiaries.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retirement benefits are based on the accumulated retirement capital, which is made of the yearly contributions towards the old age risk by both employer and employee and the interest thereon until retirement. The employee contributions are determined based on the insured salary, depending on the age, staff level and saving amount of the beneficiary. The interest rate is determined annually by the governing body of the collective plan in accordance with the legal framework, which defines the minimum interest rates.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an employee leaves the pension plan before reaching retirement age, the law provides for the transfer of the vested benefits to a new pension plan. These vested benefits comprise the employee and the employer contributions plus interest, the money originally brought into the pension plan by the beneficiary and an additional legally stipulated amount. On reaching retirement age, the plan beneficiary may decide whether to withdraw the benefits in the form of an annuity or (entirely or partly) as a lump-sum payment. The annuity is calculated by multiplying the balance of the retirement capital with the applicable conversion rate.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actuarial risks of the plan, e.g. old age, invalidity and death-in-service or investment, are fully covered by insurance. However, the collective foundation is able to withdraw from the contract with the Company at any time, in which case the Company would be required to join another pension plan. In addition, the risk premiums may be adjusted by the insurance company periodically.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Swiss pension plan is fully reinsured with Swiss Life, therefore the plan assets are 100% covered by an insurance contract. The insurance company bearing the investment risk is also making these investments on behalf of the collective foundation. As a result, the assets of the plan consist of a receivable from the insurance police.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assets are invested by the pension plan, to which many companies contribute, in a diversified portfolio that respects the requirements of the Swiss Law. The insurance policy has been treated as a qualifying insurance policy and therefore the pension assets are presented as one asset and are not desegregated and presented in classes that distinguish the nature and risks of those assets.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tables summarize the components of net benefit expense recognized in the consolidated statements of loss, amounts recognized in the balance sheet and gains/(losses) recognized in other comprehensive loss. </w:t>
      </w:r>
    </w:p>
    <w:p>
      <w:pPr>
        <w:pStyle w:val="TextBody"/>
        <w:bidi w:val="0"/>
        <w:jc w:val="both"/>
        <w:rPr/>
      </w:pPr>
      <w:r>
        <w:rPr/>
        <w:t> </w:t>
      </w:r>
    </w:p>
    <w:tbl>
      <w:tblPr>
        <w:tblW w:w="8112" w:type="dxa"/>
        <w:jc w:val="left"/>
        <w:tblInd w:w="0" w:type="dxa"/>
        <w:tblLayout w:type="fixed"/>
        <w:tblCellMar>
          <w:top w:w="28" w:type="dxa"/>
          <w:left w:w="28" w:type="dxa"/>
          <w:bottom w:w="28" w:type="dxa"/>
          <w:right w:w="28" w:type="dxa"/>
        </w:tblCellMar>
      </w:tblPr>
      <w:tblGrid>
        <w:gridCol w:w="5056"/>
        <w:gridCol w:w="146"/>
        <w:gridCol w:w="254"/>
        <w:gridCol w:w="654"/>
        <w:gridCol w:w="289"/>
        <w:gridCol w:w="254"/>
        <w:gridCol w:w="254"/>
        <w:gridCol w:w="994"/>
        <w:gridCol w:w="21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Actuarial gains / (losses) recognized in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599</w:t>
            </w:r>
          </w:p>
        </w:tc>
        <w:tc>
          <w:tcPr>
            <w:tcW w:w="2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(1,161</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tbl>
      <w:tblPr>
        <w:tblW w:w="5530" w:type="dxa"/>
        <w:jc w:val="left"/>
        <w:tblInd w:w="0" w:type="dxa"/>
        <w:tblLayout w:type="fixed"/>
        <w:tblCellMar>
          <w:top w:w="28" w:type="dxa"/>
          <w:left w:w="28" w:type="dxa"/>
          <w:bottom w:w="28" w:type="dxa"/>
          <w:right w:w="28" w:type="dxa"/>
        </w:tblCellMar>
      </w:tblPr>
      <w:tblGrid>
        <w:gridCol w:w="2476"/>
        <w:gridCol w:w="146"/>
        <w:gridCol w:w="244"/>
        <w:gridCol w:w="957"/>
        <w:gridCol w:w="278"/>
        <w:gridCol w:w="244"/>
        <w:gridCol w:w="244"/>
        <w:gridCol w:w="730"/>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cost on benefit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Administration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(1,008</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5019" w:type="dxa"/>
        <w:jc w:val="left"/>
        <w:tblInd w:w="0" w:type="dxa"/>
        <w:tblLayout w:type="fixed"/>
        <w:tblCellMar>
          <w:top w:w="28" w:type="dxa"/>
          <w:left w:w="28" w:type="dxa"/>
          <w:bottom w:w="28" w:type="dxa"/>
          <w:right w:w="28" w:type="dxa"/>
        </w:tblCellMar>
      </w:tblPr>
      <w:tblGrid>
        <w:gridCol w:w="1966"/>
        <w:gridCol w:w="146"/>
        <w:gridCol w:w="204"/>
        <w:gridCol w:w="926"/>
        <w:gridCol w:w="232"/>
        <w:gridCol w:w="204"/>
        <w:gridCol w:w="204"/>
        <w:gridCol w:w="926"/>
        <w:gridCol w:w="21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Benefit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Defined benefit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(15,998</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14,663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benefit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(1,335</w:t>
            </w:r>
          </w:p>
        </w:tc>
        <w:tc>
          <w:tcPr>
            <w:tcW w:w="23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(1,870</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Changes in the present value of the defined benefit obligation are as follows: </w:t>
      </w:r>
    </w:p>
    <w:p>
      <w:pPr>
        <w:pStyle w:val="TextBody"/>
        <w:bidi w:val="0"/>
        <w:jc w:val="both"/>
        <w:rPr/>
      </w:pPr>
      <w:r>
        <w:rPr/>
        <w:t> </w:t>
      </w:r>
    </w:p>
    <w:tbl>
      <w:tblPr>
        <w:tblW w:w="6429" w:type="dxa"/>
        <w:jc w:val="left"/>
        <w:tblInd w:w="0" w:type="dxa"/>
        <w:tblLayout w:type="fixed"/>
        <w:tblCellMar>
          <w:top w:w="28" w:type="dxa"/>
          <w:left w:w="28" w:type="dxa"/>
          <w:bottom w:w="28" w:type="dxa"/>
          <w:right w:w="28" w:type="dxa"/>
        </w:tblCellMar>
      </w:tblPr>
      <w:tblGrid>
        <w:gridCol w:w="3376"/>
        <w:gridCol w:w="146"/>
        <w:gridCol w:w="204"/>
        <w:gridCol w:w="926"/>
        <w:gridCol w:w="232"/>
        <w:gridCol w:w="204"/>
        <w:gridCol w:w="204"/>
        <w:gridCol w:w="926"/>
        <w:gridCol w:w="21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Defined benefit obligation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(13,715</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paid by participants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Employees’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Benefits paid from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Actuarial gains /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Defined benefit obligation at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(15,998</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(13,715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the fair value of plan assets are as follows: </w:t>
      </w:r>
    </w:p>
    <w:p>
      <w:pPr>
        <w:pStyle w:val="TextBody"/>
        <w:bidi w:val="0"/>
        <w:jc w:val="left"/>
        <w:rPr/>
      </w:pPr>
      <w:r>
        <w:rPr/>
        <w:t> </w:t>
      </w:r>
    </w:p>
    <w:tbl>
      <w:tblPr>
        <w:tblW w:w="6296" w:type="dxa"/>
        <w:jc w:val="left"/>
        <w:tblInd w:w="0" w:type="dxa"/>
        <w:tblLayout w:type="fixed"/>
        <w:tblCellMar>
          <w:top w:w="28" w:type="dxa"/>
          <w:left w:w="28" w:type="dxa"/>
          <w:bottom w:w="28" w:type="dxa"/>
          <w:right w:w="28" w:type="dxa"/>
        </w:tblCellMar>
      </w:tblPr>
      <w:tblGrid>
        <w:gridCol w:w="3241"/>
        <w:gridCol w:w="146"/>
        <w:gridCol w:w="218"/>
        <w:gridCol w:w="898"/>
        <w:gridCol w:w="248"/>
        <w:gridCol w:w="218"/>
        <w:gridCol w:w="218"/>
        <w:gridCol w:w="898"/>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Fair value of plan assets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11,845</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return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by employer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Employees’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Benefits paid from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paid by participants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Actuarial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Fair value of plan assets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14,663</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Group expects to contribute CHF 0.7 million to its defined benefit pension plan in 2026. The average duration of the plan was 14.3 years and 14.6 years as of December 31, 2025 and 2024, respectively.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principal assumptions used in determining pension benefit obligations for the Group’s plan are shown below:</w:t>
      </w:r>
    </w:p>
    <w:p>
      <w:pPr>
        <w:pStyle w:val="TextBody"/>
        <w:bidi w:val="0"/>
        <w:jc w:val="left"/>
        <w:rPr/>
      </w:pPr>
      <w:r>
        <w:rPr/>
        <w:t> </w:t>
      </w:r>
    </w:p>
    <w:tbl>
      <w:tblPr>
        <w:tblW w:w="5156" w:type="dxa"/>
        <w:jc w:val="left"/>
        <w:tblInd w:w="0" w:type="dxa"/>
        <w:tblLayout w:type="fixed"/>
        <w:tblCellMar>
          <w:top w:w="28" w:type="dxa"/>
          <w:left w:w="28" w:type="dxa"/>
          <w:bottom w:w="28" w:type="dxa"/>
          <w:right w:w="28" w:type="dxa"/>
        </w:tblCellMar>
      </w:tblPr>
      <w:tblGrid>
        <w:gridCol w:w="2011"/>
        <w:gridCol w:w="146"/>
        <w:gridCol w:w="256"/>
        <w:gridCol w:w="740"/>
        <w:gridCol w:w="450"/>
        <w:gridCol w:w="256"/>
        <w:gridCol w:w="256"/>
        <w:gridCol w:w="740"/>
        <w:gridCol w:w="30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Future salary increases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0.75</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Future pensions increases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Retirement 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Demographic assumptions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BVG 2020</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BVG 2020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regard to the underlying estimates for the calculation of the defined benefit pension liabilities the Company updated, among other minor updates, the discount rate assumption to 1.30% and 1.00% and the future salary increase assumption from 1.00% to 0.75% as of December 31, 2025 and 2024, respectively. All the actuarial assumption changes resulted in an actuarial gain of defined benefit pension liabilities of CHF 0.6 million. The net result is a decrease of defined benefit pension liabilities from CHF 1.9 million as of December 31, 2024 to CHF 1.3 million as of December 31, 2025. Other assumptions for defined benefit pension liabilities remain unchanged.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2025, the guaranteed interest to be credited to employees’ savings remains consistent with 2024 at 1.10%. The rate for converting mandatory savings to an annuity remains stable at 5.40% for males and 5.57% for females in 2026 and increases to 5.71% for females in 2027. The rate for converting supplementary savings to an annuity remains stable at 4.49% for males and 4.67% for females in 2026 and increases to 4.82% in 2027.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Sensitivity analysis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quantitative sensitivity analysis for significant assumptions as of December 31, 2025 and 2024 is shown below: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030"/>
        <w:gridCol w:w="146"/>
        <w:gridCol w:w="661"/>
        <w:gridCol w:w="166"/>
        <w:gridCol w:w="146"/>
        <w:gridCol w:w="661"/>
        <w:gridCol w:w="166"/>
        <w:gridCol w:w="146"/>
        <w:gridCol w:w="146"/>
        <w:gridCol w:w="661"/>
        <w:gridCol w:w="166"/>
        <w:gridCol w:w="146"/>
        <w:gridCol w:w="661"/>
        <w:gridCol w:w="166"/>
        <w:gridCol w:w="146"/>
        <w:gridCol w:w="146"/>
        <w:gridCol w:w="661"/>
        <w:gridCol w:w="166"/>
        <w:gridCol w:w="146"/>
        <w:gridCol w:w="661"/>
        <w:gridCol w:w="211"/>
      </w:tblGrid>
      <w:tr>
        <w:trPr/>
        <w:tc>
          <w:tcPr>
            <w:tcW w:w="4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Discount 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Future salary </w:t>
              <w:br/>
              <w:t>increase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Mortality </w:t>
              <w:br/>
              <w:t>assumptions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Assumptions as of December 31, 2025</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 year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Potential defined benefit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Decrease/(increase) from actual defined benefit 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Assumptions as of December 31, 2024</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 year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Potential defined benefit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Decrease/(increase) from actual defined benefit 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sensitivity analysis above is subject to limitations and has been determined based on a method that extrapolates the impact on net defined benefit obligation as a result of reasonable changes in key assumptions occurring at the end of the reporting period.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SHARE BASED PAYMENT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On March 2, 2023, the Company adopted the Stock Option and Incentive Plan Regulation 2023 (the “</w:t>
      </w:r>
      <w:r>
        <w:rPr>
          <w:rFonts w:ascii="Times New Roman" w:hAnsi="Times New Roman"/>
          <w:i/>
          <w:color w:val="000000"/>
          <w:sz w:val="20"/>
        </w:rPr>
        <w:t>2023 Plan”</w:t>
      </w:r>
      <w:r>
        <w:rPr>
          <w:rFonts w:ascii="Times New Roman" w:hAnsi="Times New Roman"/>
          <w:color w:val="000000"/>
          <w:sz w:val="20"/>
        </w:rPr>
        <w:t>) which allows for the grant of equity incentives, including share-based options, stock appreciation rights (“</w:t>
      </w:r>
      <w:r>
        <w:rPr>
          <w:rFonts w:ascii="Times New Roman" w:hAnsi="Times New Roman"/>
          <w:i/>
          <w:color w:val="000000"/>
          <w:sz w:val="20"/>
        </w:rPr>
        <w:t>SARs”</w:t>
      </w:r>
      <w:r>
        <w:rPr>
          <w:rFonts w:ascii="Times New Roman" w:hAnsi="Times New Roman"/>
          <w:color w:val="000000"/>
          <w:sz w:val="20"/>
        </w:rPr>
        <w:t>), restricted stock units (“</w:t>
      </w:r>
      <w:r>
        <w:rPr>
          <w:rFonts w:ascii="Times New Roman" w:hAnsi="Times New Roman"/>
          <w:i/>
          <w:color w:val="000000"/>
          <w:sz w:val="20"/>
        </w:rPr>
        <w:t>RSUs”</w:t>
      </w:r>
      <w:r>
        <w:rPr>
          <w:rFonts w:ascii="Times New Roman" w:hAnsi="Times New Roman"/>
          <w:color w:val="000000"/>
          <w:sz w:val="20"/>
        </w:rPr>
        <w:t xml:space="preserve">) and other awards. The 2023 Plan lays out the details for the equity incentives for talent acquisition and retention purposes.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grant of share-based options made under the 2023 Plan entitles the grantee to acquire ordinary shares from the Company with payment of the exercise price in cash. In the case of SARs, the intention of the Company is settling in equity. For each grant of share-based options or SARs, the Company issues a grant notice, which details the terms of the options or SARs, including number of shares, exercise price, vesting conditions and expiration date. Options granted under the 2023 Plan vest over periods ranging from one to four years and expire one day before the tenth anniversary of the grant date. The specific terms of each grant are set by the Board of Directors.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2023 Plan reflects the revised capital structure of the Company following completion of the Business Combination in March 2023. As a result, all option holders holding options under the prior Stock Option and Incentive Plan Regulation 2018 (the“</w:t>
      </w:r>
      <w:r>
        <w:rPr>
          <w:rFonts w:ascii="Times New Roman" w:hAnsi="Times New Roman"/>
          <w:i/>
          <w:color w:val="000000"/>
          <w:sz w:val="20"/>
        </w:rPr>
        <w:t>2018 Plan”</w:t>
      </w:r>
      <w:r>
        <w:rPr>
          <w:rFonts w:ascii="Times New Roman" w:hAnsi="Times New Roman"/>
          <w:color w:val="000000"/>
          <w:sz w:val="20"/>
        </w:rPr>
        <w:t>) prior to the close of the Business Combination exchanged their options held in Legacy Oculis for newly issued options to purchase ordinary shares of Oculis (“</w:t>
      </w:r>
      <w:r>
        <w:rPr>
          <w:rFonts w:ascii="Times New Roman" w:hAnsi="Times New Roman"/>
          <w:i/>
          <w:color w:val="000000"/>
          <w:sz w:val="20"/>
        </w:rPr>
        <w:t>Converted Options</w:t>
      </w:r>
      <w:r>
        <w:rPr>
          <w:rFonts w:ascii="Times New Roman" w:hAnsi="Times New Roman"/>
          <w:color w:val="000000"/>
          <w:sz w:val="20"/>
        </w:rPr>
        <w:t xml:space="preserve">”) and additional earnout options. The Converted Options continue to be subject to substantially the same terms and conditions except that the number of ordinary shares of Oculis issuable and related exercise prices were adjusted by the Exchange Ratio with all other terms remaining unchanged. The comparative fair value calculation of options using the Black-Scholes model before and after the merger concluded that there was no significant change in value. The exchange of equity awards under the prior 2018 Plan for equity awards under the 2023 Plan was determined to be a modification in accordance with IFRS 2 – Share-based payment. The Group has and will continue to record the related expense per the original valuation and vesting period without incremental charges. </w:t>
      </w:r>
    </w:p>
    <w:p>
      <w:pPr>
        <w:pStyle w:val="TextBody"/>
        <w:bidi w:val="0"/>
        <w:spacing w:before="200" w:after="283"/>
        <w:jc w:val="both"/>
        <w:rPr>
          <w:rFonts w:ascii="Times New Roman" w:hAnsi="Times New Roman"/>
          <w:sz w:val="20"/>
        </w:rPr>
      </w:pPr>
      <w:r>
        <w:rPr>
          <w:rFonts w:ascii="Times New Roman" w:hAnsi="Times New Roman"/>
          <w:i/>
          <w:color w:val="000000"/>
          <w:sz w:val="20"/>
        </w:rPr>
        <w:t>Option awards and SARs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share-based option or SAR granted under the 2023 Plan entitles the grantee to acquire common shares from the Company with cash payment of the exercise price. For each grant of share-based options or SARs, the Company provides a grant notice which details the terms of the option, including exercise price, vesting conditions and expiration date. The terms of each grant are set by the Board of Directors.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of option awards and SARs is determined using the Black-Scholes option-pricing model. The weighted average grant date fair value of options granted during the year ended December 31, 2025 was CHF 11.77 or $14.17 per share. The weighted average grant date fair value of options and SARs granted during the year ended December 31, 2024 was CHF 7.80 or $8.85 per share. The weighted average grant date fair value of options granted during the year ended December 31, 2023 was CHF 5.24 or $5.83 per share.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Black-Scholes fair value of SARs was determined using assumptions that were not materially different from those used to value options. The following assumptions were used in the Black-Scholes option-pricing model for determining the fair value of options and SARs granted during the years indicated: </w:t>
      </w:r>
    </w:p>
    <w:p>
      <w:pPr>
        <w:pStyle w:val="TextBody"/>
        <w:bidi w:val="0"/>
        <w:spacing w:before="200" w:after="283"/>
        <w:jc w:val="both"/>
        <w:rPr/>
      </w:pPr>
      <w:r>
        <w:rPr/>
        <w:t> </w:t>
      </w:r>
    </w:p>
    <w:tbl>
      <w:tblPr>
        <w:tblW w:w="9757" w:type="dxa"/>
        <w:jc w:val="left"/>
        <w:tblInd w:w="0" w:type="dxa"/>
        <w:tblLayout w:type="fixed"/>
        <w:tblCellMar>
          <w:top w:w="28" w:type="dxa"/>
          <w:left w:w="28" w:type="dxa"/>
          <w:bottom w:w="28" w:type="dxa"/>
          <w:right w:w="28" w:type="dxa"/>
        </w:tblCellMar>
      </w:tblPr>
      <w:tblGrid>
        <w:gridCol w:w="3736"/>
        <w:gridCol w:w="146"/>
        <w:gridCol w:w="1906"/>
        <w:gridCol w:w="146"/>
        <w:gridCol w:w="1906"/>
        <w:gridCol w:w="146"/>
        <w:gridCol w:w="177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rFonts w:cs="Times New Roman"/>
                <w:bCs/>
                <w:color w:val="000000"/>
                <w:szCs w:val="18"/>
              </w:rPr>
            </w:pPr>
            <w:r>
              <w:rPr>
                <w:rFonts w:cs="Times New Roman"/>
                <w:bCs/>
                <w:color w:val="000000"/>
                <w:szCs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Weighted average share price at the date of grant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USD 18.39 (CHF 15.28)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USD 11.63 (CHF 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USD 8.30 (CHF 7.46)</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Range of expected volatilities (%)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81.84-91.39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85.54-93.00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68.70-83.80</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Range of expected terms (years)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Range of risk-free interest rates (%) </w:t>
            </w:r>
            <w:r>
              <w:rPr>
                <w:rFonts w:ascii="Times New Roman" w:hAnsi="Times New Roman"/>
                <w:color w:val="000000"/>
                <w:sz w:val="12"/>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3.5-4.8</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Following the NASDAQ U.S. listing in 2023, the equity award exercise price is denominated in USD and the applicable risk-free interest rate has been adjusted accordingly.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pPr>
      <w:r>
        <w:rPr>
          <w:rFonts w:ascii="Times New Roman" w:hAnsi="Times New Roman"/>
          <w:color w:val="000000"/>
          <w:sz w:val="13"/>
        </w:rPr>
        <w:t>The expected volatility was derived from the historical stock volatilities of comparable peer public companies within the Company</w:t>
      </w:r>
      <w:r>
        <w:rPr>
          <w:color w:val="000000"/>
        </w:rPr>
        <w:t>’</w:t>
      </w:r>
      <w:r>
        <w:rPr>
          <w:rFonts w:ascii="Times New Roman" w:hAnsi="Times New Roman"/>
          <w:color w:val="000000"/>
          <w:sz w:val="13"/>
        </w:rPr>
        <w:t>s industry.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The expected term represents the period that share-based awards are expected to be outstanding.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13"/>
        </w:rPr>
      </w:pPr>
      <w:r>
        <w:rPr>
          <w:rFonts w:ascii="Times New Roman" w:hAnsi="Times New Roman"/>
          <w:color w:val="000000"/>
          <w:sz w:val="13"/>
        </w:rPr>
        <w:t xml:space="preserve">The risk-free interest rates are based on the U.S. Treasury yield curve in effect at the measurement date with maturities approximately equal to the expected term.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summarizes the Company’s stock option and SARs activity under the 2023 Plan for 2023 to 2025: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88"/>
        <w:gridCol w:w="146"/>
        <w:gridCol w:w="250"/>
        <w:gridCol w:w="1422"/>
        <w:gridCol w:w="166"/>
        <w:gridCol w:w="146"/>
        <w:gridCol w:w="664"/>
        <w:gridCol w:w="2338"/>
        <w:gridCol w:w="146"/>
        <w:gridCol w:w="146"/>
        <w:gridCol w:w="1993"/>
      </w:tblGrid>
      <w:tr>
        <w:trPr/>
        <w:tc>
          <w:tcPr>
            <w:tcW w:w="2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Number of options </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Weighted average exercise price </w:t>
            </w:r>
            <w:r>
              <w:rPr>
                <w:rFonts w:ascii="Times New Roman" w:hAnsi="Times New Roman"/>
                <w:b/>
                <w:color w:val="000000"/>
                <w:sz w:val="12"/>
              </w:rPr>
              <w:t>(1)</w:t>
            </w:r>
            <w:r>
              <w:rPr>
                <w:rFonts w:ascii="Times New Roman" w:hAnsi="Times New Roman"/>
                <w:color w:val="000000"/>
                <w:sz w:val="18"/>
              </w:rPr>
              <w:t> </w:t>
            </w:r>
            <w:r>
              <w:rPr>
                <w:rFonts w:ascii="Times New Roman" w:hAnsi="Times New Roman"/>
                <w:b/>
                <w:color w:val="000000"/>
                <w:sz w:val="18"/>
              </w:rPr>
              <w:t>(CHF)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 of expiration dates</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1,762,949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2027-2031</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Options granted</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SARs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Earnout 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Forfeited</w:t>
            </w:r>
            <w:r>
              <w:rPr>
                <w:rFonts w:ascii="Times New Roman" w:hAnsi="Times New Roman"/>
                <w:color w:val="000000"/>
                <w:sz w:val="12"/>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Exercised</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2028-2032</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3,466,210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2027-2033</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2028-2033</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3,466,210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2027-2033</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Forfeited</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2028-2034</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Exercised</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2027-2033</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4,687,054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2028-2034</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1,935,101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2028-2034</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4,687,054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2028-2034</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Forfeited</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2028-2035</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Exercised</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2028-2034</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5,163,946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2028-2035</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2,661,095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2028-2035</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Retroactive application of the recapitalization effect due to the BCA for activity prior to March 2, 2023, an Exchange Ratio of 1.1432 was applied to the number of options and the weighted average exercise price was divided by the same exchange ratio.</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pPr>
      <w:r>
        <w:rPr>
          <w:rFonts w:ascii="Times New Roman" w:hAnsi="Times New Roman"/>
          <w:color w:val="000000"/>
          <w:sz w:val="12"/>
        </w:rPr>
        <w:t xml:space="preserve">Pursuant to the BCA, all outstanding and unexercised options to purchase Legacy Oculis ordinary shares were assumed by Oculis and each option was replaced by an option to purchase ordinary shares of Oculis (the “Converted Options”). The exchange of Legacy Oculis 2018 Plan options for converted 2023 Plan options is not reflected in the table above. Refer to Note 5 - </w:t>
      </w:r>
      <w:r>
        <w:rPr>
          <w:rFonts w:ascii="Times New Roman" w:hAnsi="Times New Roman"/>
          <w:i/>
          <w:color w:val="000000"/>
          <w:sz w:val="12"/>
        </w:rPr>
        <w:t>Financing Activities</w:t>
      </w:r>
      <w:r>
        <w:rPr>
          <w:color w:val="000000"/>
        </w:rPr>
        <w:t xml:space="preserve"> </w:t>
      </w:r>
      <w:r>
        <w:rPr>
          <w:rFonts w:ascii="Times New Roman" w:hAnsi="Times New Roman"/>
          <w:color w:val="000000"/>
          <w:sz w:val="12"/>
        </w:rPr>
        <w:t>for further details.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jc w:val="both"/>
        <w:rPr>
          <w:rFonts w:ascii="Times New Roman" w:hAnsi="Times New Roman"/>
          <w:color w:val="000000"/>
          <w:sz w:val="12"/>
        </w:rPr>
      </w:pPr>
      <w:r>
        <w:rPr>
          <w:rFonts w:ascii="Times New Roman" w:hAnsi="Times New Roman"/>
          <w:color w:val="000000"/>
          <w:sz w:val="12"/>
        </w:rPr>
        <w:t>Forfeited amount includes earnout options forfeited during the years ended December 31, 2025, 2024, and 2023. No SARs have been exercised or forfeited during the years ended December 31, 2025, 2024, and 2023.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Excluding earnout options, which have an exercise price of CHF 0.01, options outstanding as of December 31, 2025 have exercise prices ranging from CHF 1.63 to CHF 17.10. The weighted average remaining contractual life of options and SARs outstanding as of December 31, 2025 and 2024 was seven and eight years,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Each RSU granted under the 2023 Plan entitles the grantee to one ordinary share upon vesting of the RSU. The Company intends to settle all outstanding RSUs in equity. The fair value of RSUs is determined by the closing stock price on the date of grant and the related compensation cost is amortized over the vesting period of the award using the graded method. RSU’s have time-based vesting conditions ranging from one to four years. Certain RSU’s also include a performance condition, for which the Company has evaluated the probability of achievement. Expense is only recorded for awards with vesting criteria linked to performance conditions that are deemed probable of achievement. The following table summarizes the Company’s RSU activity under the 2023 Plan for the years ended December 31, 2025 and 2024:</w:t>
      </w:r>
    </w:p>
    <w:p>
      <w:pPr>
        <w:pStyle w:val="TextBody"/>
        <w:bidi w:val="0"/>
        <w:spacing w:before="18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394"/>
        <w:gridCol w:w="146"/>
        <w:gridCol w:w="163"/>
        <w:gridCol w:w="926"/>
        <w:gridCol w:w="166"/>
        <w:gridCol w:w="146"/>
        <w:gridCol w:w="309"/>
        <w:gridCol w:w="1089"/>
        <w:gridCol w:w="146"/>
        <w:gridCol w:w="146"/>
        <w:gridCol w:w="1124"/>
        <w:gridCol w:w="146"/>
        <w:gridCol w:w="171"/>
        <w:gridCol w:w="811"/>
        <w:gridCol w:w="166"/>
        <w:gridCol w:w="146"/>
        <w:gridCol w:w="309"/>
        <w:gridCol w:w="1089"/>
        <w:gridCol w:w="146"/>
        <w:gridCol w:w="146"/>
        <w:gridCol w:w="332"/>
        <w:gridCol w:w="791"/>
        <w:gridCol w:w="197"/>
      </w:tblGrid>
      <w:tr>
        <w:trPr/>
        <w:tc>
          <w:tcPr>
            <w:tcW w:w="1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5" w:type="dxa"/>
            <w:gridSpan w:val="9"/>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107"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grant date fair value (CHF)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 of expiration dates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grant date fair value (CHF)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 of expiration dates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467,478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RSUs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RSUs vested/released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(174,655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1,007,636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2034-2035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467,478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2034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both"/>
        <w:rPr>
          <w:rFonts w:ascii="Times New Roman" w:hAnsi="Times New Roman"/>
          <w:sz w:val="20"/>
        </w:rPr>
      </w:pPr>
      <w:r>
        <w:rPr>
          <w:rFonts w:ascii="Times New Roman" w:hAnsi="Times New Roman"/>
          <w:i/>
          <w:color w:val="000000"/>
          <w:sz w:val="20"/>
        </w:rPr>
        <w:t>Restricted share awards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Each restricted share award (“</w:t>
      </w:r>
      <w:r>
        <w:rPr>
          <w:rFonts w:ascii="Times New Roman" w:hAnsi="Times New Roman"/>
          <w:i/>
          <w:color w:val="000000"/>
          <w:sz w:val="20"/>
        </w:rPr>
        <w:t>RSA</w:t>
      </w:r>
      <w:r>
        <w:rPr>
          <w:rFonts w:ascii="Times New Roman" w:hAnsi="Times New Roman"/>
          <w:color w:val="000000"/>
          <w:sz w:val="20"/>
        </w:rPr>
        <w:t xml:space="preserve">”) granted under the 2018 Plan was immediately exercised and the expense was recorded at fair value on the grant date in full. The Company held call options to repurchase shares diminishing ratably on a monthly basis over three years from grant date, the last of which expired during 2024. As of December 31, 2023, 98,094 RSA’s were subject to repurchase. No RSA’s were subject to repurchase at December 31, 2024 or 2025. For each grant of restricted shares, the Company issued a grant notice, which detailed the terms of the grant, including the number of awards, repurchase right start date and expiration date. The terms of each grant were set by the Board of Directors. No RSAs were granted under the 2023 Plan since plan adoption. No expense was recognized during the years ended December 31, 2025, 2024 or 2023 related to restricted stock awards.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Share-based compensation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details share-based compensation expense by award type for the years indicated:</w:t>
      </w:r>
    </w:p>
    <w:p>
      <w:pPr>
        <w:pStyle w:val="TextBody"/>
        <w:bidi w:val="0"/>
        <w:jc w:val="both"/>
        <w:rPr/>
      </w:pPr>
      <w:r>
        <w:rPr/>
        <w:t> </w:t>
      </w:r>
    </w:p>
    <w:tbl>
      <w:tblPr>
        <w:tblW w:w="6291" w:type="dxa"/>
        <w:jc w:val="left"/>
        <w:tblInd w:w="0" w:type="dxa"/>
        <w:tblLayout w:type="fixed"/>
        <w:tblCellMar>
          <w:top w:w="28" w:type="dxa"/>
          <w:left w:w="28" w:type="dxa"/>
          <w:bottom w:w="28" w:type="dxa"/>
          <w:right w:w="28" w:type="dxa"/>
        </w:tblCellMar>
      </w:tblPr>
      <w:tblGrid>
        <w:gridCol w:w="3256"/>
        <w:gridCol w:w="146"/>
        <w:gridCol w:w="149"/>
        <w:gridCol w:w="613"/>
        <w:gridCol w:w="149"/>
        <w:gridCol w:w="149"/>
        <w:gridCol w:w="149"/>
        <w:gridCol w:w="521"/>
        <w:gridCol w:w="149"/>
        <w:gridCol w:w="149"/>
        <w:gridCol w:w="149"/>
        <w:gridCol w:w="521"/>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9,662</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8,218</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6,382</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16,044</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9,782</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3,608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reserve for share-based payment increased from CHF 6.4 million as of December 31, 2023 to CHF 16.1 million as of December 31, 2024, and to CHF 30.4 million as of December 31, 2025. During the year ended December 31, 2025, certain RSUs that included a performance condition were modified such that the condition had been met, resulting in CHF 0.3 million of additional share-based compensation expense during the year ended December 31, 2025. During the year ended December 31, 2024, certain options were modified to accelerate vesting upon the death of an employee, resulting in the acceleration of expense recognition of CHF 1.0 million.</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14.</w:t>
      </w:r>
    </w:p>
    <w:p>
      <w:pPr>
        <w:pStyle w:val="TextBody"/>
        <w:bidi w:val="0"/>
        <w:jc w:val="both"/>
        <w:rPr>
          <w:rFonts w:ascii="Times New Roman" w:hAnsi="Times New Roman"/>
          <w:b/>
          <w:color w:val="000000"/>
          <w:sz w:val="22"/>
        </w:rPr>
      </w:pPr>
      <w:r>
        <w:rPr>
          <w:rFonts w:ascii="Times New Roman" w:hAnsi="Times New Roman"/>
          <w:b/>
          <w:color w:val="000000"/>
          <w:sz w:val="22"/>
        </w:rPr>
        <w:t>CASH AND CASH EQUIVALENTS AND SHORT-TERM FINANCIAL ASSETS</w:t>
      </w:r>
    </w:p>
    <w:p>
      <w:pPr>
        <w:pStyle w:val="TextBody"/>
        <w:bidi w:val="0"/>
        <w:jc w:val="both"/>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table below shows the breakdown of the cash and cash equivalents and short-term financial assets by currencies: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111"/>
        <w:gridCol w:w="146"/>
        <w:gridCol w:w="379"/>
        <w:gridCol w:w="1565"/>
        <w:gridCol w:w="174"/>
        <w:gridCol w:w="174"/>
        <w:gridCol w:w="379"/>
        <w:gridCol w:w="1565"/>
        <w:gridCol w:w="146"/>
        <w:gridCol w:w="146"/>
        <w:gridCol w:w="340"/>
        <w:gridCol w:w="1605"/>
        <w:gridCol w:w="167"/>
        <w:gridCol w:w="167"/>
        <w:gridCol w:w="379"/>
        <w:gridCol w:w="1565"/>
        <w:gridCol w:w="197"/>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Short-term financial assets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by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Swiss Franc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45,716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61,000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33,766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Euro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Iceland Krona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81,329</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27,708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131,684</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70,955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and cash equivalents consist primarily of cash balances held at banks. Short-term financial assets consist of fixed term bank deposits with maturities between three and nine months.</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15. SHAREHOLDERS’ EQUITY</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w:t>
      </w:r>
    </w:p>
    <w:p>
      <w:pPr>
        <w:pStyle w:val="TextBody"/>
        <w:bidi w:val="0"/>
        <w:jc w:val="both"/>
        <w:rPr>
          <w:rFonts w:ascii="Times New Roman" w:hAnsi="Times New Roman"/>
          <w:b/>
          <w:color w:val="000000"/>
          <w:sz w:val="20"/>
        </w:rPr>
      </w:pPr>
      <w:r>
        <w:rPr>
          <w:rFonts w:ascii="Times New Roman" w:hAnsi="Times New Roman"/>
          <w:b/>
          <w:color w:val="000000"/>
          <w:sz w:val="20"/>
        </w:rPr>
        <w:t>Conditional Capital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conditional capital at December 31, 2025 amounted to a maximum of CHF 235,752.08 split into 23,575,208 ordinary shares, in connection with the potential future issuances of:</w:t>
      </w:r>
    </w:p>
    <w:p>
      <w:pPr>
        <w:pStyle w:val="TextBody"/>
        <w:bidi w:val="0"/>
        <w:spacing w:before="180" w:after="283"/>
        <w:jc w:val="both"/>
        <w:rPr>
          <w:color w:val="000000"/>
        </w:rPr>
      </w:pPr>
      <w:r>
        <w:rPr>
          <w:color w:val="000000"/>
        </w:rPr>
        <w:t>•</w:t>
      </w:r>
    </w:p>
    <w:p>
      <w:pPr>
        <w:pStyle w:val="TextBody"/>
        <w:bidi w:val="0"/>
        <w:spacing w:before="180" w:after="283"/>
        <w:jc w:val="both"/>
        <w:rPr/>
      </w:pPr>
      <w:r>
        <w:rPr>
          <w:rFonts w:ascii="Times New Roman" w:hAnsi="Times New Roman"/>
          <w:b/>
          <w:i/>
          <w:color w:val="000000"/>
          <w:sz w:val="20"/>
        </w:rPr>
        <w:t>Conditional share capital for new bonds and similar debt instruments</w:t>
      </w:r>
      <w:r>
        <w:rPr>
          <w:rFonts w:ascii="Times New Roman" w:hAnsi="Times New Roman"/>
          <w:i/>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CHF 67,500.00 through the issuance of a maximum of 6,750,000 fully paid-up registered shares, each with a par value of CHF 0.01 (ordinary shares), in connection with the exercise of convertible rights and/or option rights or warrants, new bonds and similar debt instruments.</w:t>
      </w:r>
    </w:p>
    <w:p>
      <w:pPr>
        <w:pStyle w:val="TextBody"/>
        <w:bidi w:val="0"/>
        <w:spacing w:before="180" w:after="283"/>
        <w:jc w:val="both"/>
        <w:rPr>
          <w:color w:val="000000"/>
        </w:rPr>
      </w:pPr>
      <w:r>
        <w:rPr>
          <w:color w:val="000000"/>
        </w:rPr>
        <w:t>•</w:t>
      </w:r>
    </w:p>
    <w:p>
      <w:pPr>
        <w:pStyle w:val="TextBody"/>
        <w:bidi w:val="0"/>
        <w:spacing w:before="180" w:after="283"/>
        <w:jc w:val="both"/>
        <w:rPr/>
      </w:pPr>
      <w:r>
        <w:rPr>
          <w:rFonts w:ascii="Times New Roman" w:hAnsi="Times New Roman"/>
          <w:b/>
          <w:i/>
          <w:color w:val="000000"/>
          <w:sz w:val="20"/>
        </w:rPr>
        <w:t>Conditional share capital in connection with employee benefit plans</w:t>
      </w:r>
      <w:r>
        <w:rPr>
          <w:rFonts w:ascii="Times New Roman" w:hAnsi="Times New Roman"/>
          <w:i/>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CHF 124,800.00 through the issuance of a maximum of 12,480,000 fully paid-up registered shares, each with a par value of CHF 0.01 (ordinary shares), in connection with the exercise of option rights or other equity-linked instruments granted to any employee, consultant or member of the Board of Directors of Oculis.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2025, 363,093 stock options have been exercised and 174,655 RSUs vested resulting in the associated ordinary shares issued using the conditional share capital for employee benefit plans (refer to Note 13). These shares were not registered yet in the commercial register as of December 31, 2025.</w:t>
      </w:r>
    </w:p>
    <w:p>
      <w:pPr>
        <w:pStyle w:val="TextBody"/>
        <w:bidi w:val="0"/>
        <w:spacing w:before="180" w:after="283"/>
        <w:jc w:val="both"/>
        <w:rPr>
          <w:color w:val="000000"/>
        </w:rPr>
      </w:pPr>
      <w:r>
        <w:rPr>
          <w:color w:val="000000"/>
        </w:rPr>
        <w:t>•</w:t>
      </w:r>
    </w:p>
    <w:p>
      <w:pPr>
        <w:pStyle w:val="TextBody"/>
        <w:bidi w:val="0"/>
        <w:spacing w:before="180" w:after="283"/>
        <w:jc w:val="both"/>
        <w:rPr/>
      </w:pPr>
      <w:r>
        <w:rPr>
          <w:rFonts w:ascii="Times New Roman" w:hAnsi="Times New Roman"/>
          <w:b/>
          <w:i/>
          <w:color w:val="000000"/>
          <w:sz w:val="20"/>
        </w:rPr>
        <w:t>Conditional share capital for BCA public and private warrants</w:t>
      </w:r>
      <w:r>
        <w:rPr>
          <w:rFonts w:ascii="Times New Roman" w:hAnsi="Times New Roman"/>
          <w:i/>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CHF 39,751.05 through the issuance of a maximum of 3,975,105 fully paid up registered shares, each with a par value of CHF 0.01 (ordinary shares), in connection with the exercise of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2025, 1,929,467 warrants have been exercised and associated ordinary shares have been issued using the conditional share capital for BCA public and private warrants (refer to Note 17). These shares were not registered yet in the commercial register as of December 31, 2025.</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 xml:space="preserve">Conditional share capital for earnout options: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CHF 3,701.03 through the issuance of a maximum of 370,103 fully paid up registered shares, each with a par value of CHF 0.01 (ordinary shares), in connection with the exercise of option rights or other equity-linked instruments granted to any employee, consultant or member of the Board of Directors of Oculis. As of December 31, 2025, 159,453 earnout options were exercisable.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200" w:after="283"/>
        <w:jc w:val="both"/>
        <w:rPr/>
      </w:pPr>
      <w:r>
        <w:rPr>
          <w:rFonts w:ascii="Times New Roman" w:hAnsi="Times New Roman"/>
          <w:b/>
          <w:color w:val="000000"/>
          <w:sz w:val="20"/>
        </w:rPr>
        <w:t>Treasury shares</w:t>
      </w:r>
      <w:r>
        <w:rPr>
          <w:color w:val="00000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cancelled 100,000 treasury shares effective March 2, 2023 as a result of the Business Combination. In connection with the ATM Offering Program, the Company issued 1,000,000 ordinary shares during the year ended December 31, 2024 and 2,500,000 ordinary shares during the year ended December 31, 2025 out of its existing capital band, each with a nominal value of CHF 0.01 to be held as treasury shares. There were no sales under the ATM Offering Program during the year ended December 31, 2025. In connection with the November 2025 Offerings, the Company issued 2,796,297 shares previously held in treasury by the Company.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 Capital band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2025, the Company’s capital band has a lower limit of CHF 545,336.74 and upper limit of CHF 818,005.11. The Company may effect an increase of the Company’s share capital in a maximum amount of CHF 272,668.37 by issuing up to 27,266,837 ordinary shares with a par value of CHF 0.01 each out of the Company’s capital band. The Board of Directors is authorized to increase the share capital to the upper limit or decrease the share capital to the lower limit at any time and as often as required until June 4, 2030. </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16. TRADE PAYABLES, ACCRUED EXPENSES AND OTHER PAYABLES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Trade payables decreased from CHF 5.9 million as of December 31, 2024 to CHF 1.8 million as of December 31, 2025. The decrease in trade payables compared to prior year relates to the commencement of several clinical trials in the fourth quarter of 2024 requiring up-front invoicing by vendors.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table below shows the breakdown of the accrued expenses and other payables by category: </w:t>
      </w:r>
    </w:p>
    <w:p>
      <w:pPr>
        <w:pStyle w:val="TextBody"/>
        <w:bidi w:val="0"/>
        <w:jc w:val="both"/>
        <w:rPr/>
      </w:pPr>
      <w:r>
        <w:rPr/>
        <w:t> </w:t>
      </w:r>
    </w:p>
    <w:tbl>
      <w:tblPr>
        <w:tblW w:w="7845" w:type="dxa"/>
        <w:jc w:val="left"/>
        <w:tblInd w:w="0" w:type="dxa"/>
        <w:tblLayout w:type="fixed"/>
        <w:tblCellMar>
          <w:top w:w="28" w:type="dxa"/>
          <w:left w:w="28" w:type="dxa"/>
          <w:bottom w:w="28" w:type="dxa"/>
          <w:right w:w="28" w:type="dxa"/>
        </w:tblCellMar>
      </w:tblPr>
      <w:tblGrid>
        <w:gridCol w:w="3226"/>
        <w:gridCol w:w="146"/>
        <w:gridCol w:w="389"/>
        <w:gridCol w:w="1606"/>
        <w:gridCol w:w="146"/>
        <w:gridCol w:w="146"/>
        <w:gridCol w:w="389"/>
        <w:gridCol w:w="1606"/>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development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19,967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18,198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Accrued general and administrative related expenses and other payables primarily increased due to professional services and transaction costs incurred during 2025 related to the November 2025 Offerings.</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17. WARRANT LIABILITIES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Company’s outstanding warrant liabilities by warrant type as of December 31, 2025 and 2024:</w:t>
      </w:r>
    </w:p>
    <w:tbl>
      <w:tblPr>
        <w:tblW w:w="10205" w:type="dxa"/>
        <w:jc w:val="left"/>
        <w:tblInd w:w="0" w:type="dxa"/>
        <w:tblLayout w:type="fixed"/>
        <w:tblCellMar>
          <w:top w:w="28" w:type="dxa"/>
          <w:left w:w="28" w:type="dxa"/>
          <w:bottom w:w="28" w:type="dxa"/>
          <w:right w:w="28" w:type="dxa"/>
        </w:tblCellMar>
      </w:tblPr>
      <w:tblGrid>
        <w:gridCol w:w="1495"/>
        <w:gridCol w:w="177"/>
        <w:gridCol w:w="810"/>
        <w:gridCol w:w="166"/>
        <w:gridCol w:w="146"/>
        <w:gridCol w:w="392"/>
        <w:gridCol w:w="1015"/>
        <w:gridCol w:w="146"/>
        <w:gridCol w:w="146"/>
        <w:gridCol w:w="218"/>
        <w:gridCol w:w="995"/>
        <w:gridCol w:w="166"/>
        <w:gridCol w:w="146"/>
        <w:gridCol w:w="192"/>
        <w:gridCol w:w="795"/>
        <w:gridCol w:w="166"/>
        <w:gridCol w:w="146"/>
        <w:gridCol w:w="325"/>
        <w:gridCol w:w="840"/>
        <w:gridCol w:w="146"/>
        <w:gridCol w:w="146"/>
        <w:gridCol w:w="236"/>
        <w:gridCol w:w="976"/>
        <w:gridCol w:w="219"/>
      </w:tblGrid>
      <w:tr>
        <w:trPr/>
        <w:tc>
          <w:tcPr>
            <w:tcW w:w="149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1"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968"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BCA Warrants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Amended BlackRock Warrant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Warrant Liabilities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BCA Warrants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16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BlackRock Warrant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Warrant Liabilities</w:t>
            </w:r>
          </w:p>
        </w:tc>
        <w:tc>
          <w:tcPr>
            <w:tcW w:w="2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January 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5,370</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warrants</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loss on warrant liability</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15,531</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public and private warrants</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13,881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19,851</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the public BCA Warrants, which are traded on Nasdaq, is based on the quoted Nasdaq market prices at the end of the reporting period for such warrants. Since the private placement BCA Warrants have identical terms to the public BCA Warrants, the Company determined that the fair value of each private placement BCA Warrant is equivalent to that of each public BCA Warrant. The public BCA Warrants are included in Level 1 and the private placement BCA Warrants in Level 2 of the fair value hierarchy. The BCA Warrants are classified as short-term liabilities given that the Company cannot defer the settlement for at least 12 months.</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BlackRock Warrant, described in Note 5, is classified as a liability because its exercise price is fixed in USD, which is not the functional currency of the Company and therefore it does not meet the requirements to be classified as equity under IFRS. The fair value of the BlackRock Warrant is determined using the Black-Scholes option-pricing model and is included in Level 3 of the fair value hierarchy.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assumptions were used in the Black-Scholes option-pricing model for determining the fair value of the BlackRock Warrant as of initial issuance date, December 31, 2024, Amended BlackRock Warrant issuance date and December 31, 2025 as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77"/>
        <w:gridCol w:w="146"/>
        <w:gridCol w:w="453"/>
        <w:gridCol w:w="1313"/>
        <w:gridCol w:w="146"/>
        <w:gridCol w:w="146"/>
        <w:gridCol w:w="385"/>
        <w:gridCol w:w="1353"/>
        <w:gridCol w:w="146"/>
        <w:gridCol w:w="146"/>
        <w:gridCol w:w="390"/>
        <w:gridCol w:w="1377"/>
        <w:gridCol w:w="146"/>
        <w:gridCol w:w="146"/>
        <w:gridCol w:w="386"/>
        <w:gridCol w:w="1353"/>
        <w:gridCol w:w="196"/>
      </w:tblGrid>
      <w:tr>
        <w:trPr/>
        <w:tc>
          <w:tcPr>
            <w:tcW w:w="1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9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May 29,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price on valuation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USD 19.97 (CHF 15.83)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USD 17.64 (CHF 14.34)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USD 17.00 (CHF 15.38)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USD 11.93 (CHF 10.88)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Expected volatility (%)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82.52-85.13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Expected term (years)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Risk-free interest rate (%) </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7"/>
        </w:rPr>
        <w:t>(1)</w:t>
      </w:r>
      <w:r>
        <w:rPr>
          <w:rFonts w:ascii="Times New Roman" w:hAnsi="Times New Roman"/>
          <w:color w:val="000000"/>
          <w:sz w:val="20"/>
        </w:rPr>
        <w:t xml:space="preserve"> </w:t>
      </w:r>
      <w:r>
        <w:rPr>
          <w:rFonts w:ascii="Times New Roman" w:hAnsi="Times New Roman"/>
          <w:color w:val="000000"/>
          <w:sz w:val="16"/>
        </w:rPr>
        <w:t>The expected volatility was derived from the historical stock volatilities of comparable peer public companies within the Company’s industry.</w:t>
      </w:r>
    </w:p>
    <w:p>
      <w:pPr>
        <w:pStyle w:val="TextBody"/>
        <w:bidi w:val="0"/>
        <w:jc w:val="left"/>
        <w:rPr>
          <w:rFonts w:ascii="Times New Roman" w:hAnsi="Times New Roman"/>
          <w:sz w:val="20"/>
        </w:rPr>
      </w:pPr>
      <w:r>
        <w:rPr>
          <w:rFonts w:ascii="Times New Roman" w:hAnsi="Times New Roman"/>
          <w:color w:val="000000"/>
          <w:sz w:val="7"/>
        </w:rPr>
        <w:t>(2)</w:t>
      </w:r>
      <w:r>
        <w:rPr>
          <w:rFonts w:ascii="Times New Roman" w:hAnsi="Times New Roman"/>
          <w:color w:val="000000"/>
          <w:sz w:val="20"/>
        </w:rPr>
        <w:t xml:space="preserve"> </w:t>
      </w:r>
      <w:r>
        <w:rPr>
          <w:rFonts w:ascii="Times New Roman" w:hAnsi="Times New Roman"/>
          <w:color w:val="000000"/>
          <w:sz w:val="16"/>
        </w:rPr>
        <w:t>The expected term represents the period that the BlackRock Warrant is expected to be outstanding.</w:t>
      </w:r>
    </w:p>
    <w:p>
      <w:pPr>
        <w:pStyle w:val="TextBody"/>
        <w:bidi w:val="0"/>
        <w:jc w:val="left"/>
        <w:rPr>
          <w:rFonts w:ascii="Times New Roman" w:hAnsi="Times New Roman"/>
          <w:sz w:val="20"/>
        </w:rPr>
      </w:pPr>
      <w:r>
        <w:rPr>
          <w:rFonts w:ascii="Times New Roman" w:hAnsi="Times New Roman"/>
          <w:color w:val="000000"/>
          <w:sz w:val="7"/>
        </w:rPr>
        <w:t>(4)</w:t>
      </w:r>
      <w:r>
        <w:rPr>
          <w:rFonts w:ascii="Times New Roman" w:hAnsi="Times New Roman"/>
          <w:color w:val="000000"/>
          <w:sz w:val="20"/>
        </w:rPr>
        <w:t xml:space="preserve"> </w:t>
      </w:r>
      <w:r>
        <w:rPr>
          <w:rFonts w:ascii="Times New Roman" w:hAnsi="Times New Roman"/>
          <w:color w:val="000000"/>
          <w:sz w:val="16"/>
        </w:rPr>
        <w:t>The risk-free interest rate is based on the U.S. Treasury yield curve in effect at the measurement date with maturities approximately equal to the expected terms.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year ended December 31, 2025, the Company recognized a fair value loss of CHF 12.3 million, primarily due to increase of the warrant share price. There were exercises of 1,929,467 warrant shares during the year ended December 31, 2025 at a price of CHF 9.55 or $11.50 per share, which resulted in a reduction of CHF 17.8 million to the warrant liability, an additional CHF 19.8 million of cash and an increase of CHF 37.8 million in shareholders’ equity. The warrant exercises, partially offset by the fair value loss resulted in a decrease of the warrant liability to CHF 14.5 million as of December 31, 2025. For the year ended December 31, 2024, the Company recognized a fair value loss of CHF 15.5 million, leading to an increase of the warrant liability to CHF 19.9 million as of December 31, 2024. The exercise of 279,033 public warrants at a price of CHF 10.13 or $11.50 per share during the year ended December 31, 2024 resulted in a reduction of CHF 1.3 million to the warrant liability, an additional CHF 2.7 million of cash and an increase of CHF 4.1 million in shareholders’ equity.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the event of an exercise, warrant liabilities are reduced by the fair value on the date of exercise. The resulting fair value adjustment and cash received are recorded to share premium within the statements of changes in equity. The movement of the warrant liabilities during the years ended December 31, 2025 and 2024 is illustrated below:</w:t>
      </w:r>
    </w:p>
    <w:p>
      <w:pPr>
        <w:pStyle w:val="TextBody"/>
        <w:bidi w:val="0"/>
        <w:spacing w:before="18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344"/>
        <w:gridCol w:w="146"/>
        <w:gridCol w:w="237"/>
        <w:gridCol w:w="1076"/>
        <w:gridCol w:w="166"/>
        <w:gridCol w:w="146"/>
        <w:gridCol w:w="241"/>
        <w:gridCol w:w="1473"/>
        <w:gridCol w:w="166"/>
        <w:gridCol w:w="146"/>
        <w:gridCol w:w="254"/>
        <w:gridCol w:w="1052"/>
        <w:gridCol w:w="166"/>
        <w:gridCol w:w="146"/>
        <w:gridCol w:w="333"/>
        <w:gridCol w:w="1897"/>
        <w:gridCol w:w="216"/>
      </w:tblGrid>
      <w:tr>
        <w:trPr/>
        <w:tc>
          <w:tcPr>
            <w:tcW w:w="2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84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 liabilities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1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Number of outstanding </w:t>
              <w:br/>
              <w:t>warrants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0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 liabilities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2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outstanding warrants</w:t>
            </w:r>
          </w:p>
        </w:tc>
        <w:tc>
          <w:tcPr>
            <w:tcW w:w="2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4,018,384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4,254,096</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43,321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loss on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public and 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(279,033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2,104,906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4,018,384</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18. COMMITMENTS AND CONTINGENCIES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Commitments related to Novartis license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December 2018, Oculis entered into an agreement with Novartis, under which Oculis licensed a novel topical anti-TNFα antibody, now named as Licaminlimab, for ophthalmic indications. As consideration for the licenses, Oculis is obligated to pay non-refundable, upfront license fees, predefined development and commercial milestone payments and royalties on net sales of licensed products. Royalties range from high one digit to low teens, based on sales thresholds. As of December 31, 2019, Oculis had paid in full the contractual non-refundable upfront fee of CHF 4.7 million. Oculis has not reached any milestones or royalties thresholds according to the agreement. If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predefined milestones will be reached, Oculis will be obligated to pay additional CHF 76.9 million or $97.0 million. Royalties are based on net sales of licensed products, depending on the sales volumes reached.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Commitments related to Accure license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January 29, 2022, the Company entered into a License Agreement with Accure for the exclusive global licensing of its Privosegtor technology. Under this agreement, Oculis licensed a novel neuroprotective drug candidate, now renamed as Privosegtor, for ophthalmic and other indications (refer to Note 9). As consideration for the licenses, Oculis is obligated to pay non-refundable, upfront license fees, predefined development and commercial milestone payments and royalties on net sales of licensed products. Royalties range from one digit to low teens, based on sales thresholds. As of December 31, 2025, Oculis has paid the full contractual non-refundable upfront fee of CHF 3.0 million and reimbursed costs in the amount of CHF 0.5 million. During the fourth quarter of 2024, the Company met the first two milestones pursuant to the agreement, which were FDA IND clearance for the intravenous formulation of Privosegtor, and completion and positive readout of the first PoC clinical trial for AON, resulting in an accrual of CHF 1.1 million, for which payment was made in 2025. If all remaining predefined milestones are reached, Oculis will be obligated to pay a total of CHF 87.9 million or $110.9 million. The next clinical and regulatory milestone under the Accure Agreement will trigger a payment of CHF 2.1 million ($2.6 million) that the Company expects to pay in 2026. In case of a commercialization, sublicense revenues will be subject to further royalty payments.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Commitments related to Rennes University Collaboration Research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January 31, 2022, the Company entered into a collaboration research agreement with the Rennes University and CNRS in France. This agreement is for the research of Antisense Oligonucleotide (ASO) to modulate gene expressions. As consideration for the research performed by Rennes University and CNRS, Oculis is obligated to pay a non-refundable cost contribution of CHF 0.2 million or EUR 0.2 million. As of December 31, 2025, Oculis paid a contractual non-refundable cost contribution of CHF 0.1 million or EUR 0.1 million. Following completion of the research services, the parties shall sign a commercial agreement based on predefined development and commercial milestone payments and royalties on net sales of licensed products as defined in the collaboration research agreement. Oculis has not reached any milestones or royalties thresholds. If the commercial agreement was signed by the parties and development and commercial milestones were reached, Oculis would be obligated to pay an additional CHF 6.5 million or EUR 7.0 million and royalties ranging from low to mid-single digit percentage on net sales. In case of sublicense revenues, Oculis shall be subject to further royalty payments.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Research and development commitments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Group conducts product research and development programs through third party vendors that include, among others, arrangements with universities, contract research organizations and clinical research sites. Oculis has contractual arrangements with these organizations. As of December 31, 2025, commitments for external research and development projects amounted to CHF 42.0 million, compared to CHF 32.2 million as of December 31, 2024, as detailed in the schedule below. The increase in commitments year over year is primarily due to the progression of ongoing clinical trials during 2025, including the DIAMOND trials, as well as the initiation of the PIONEER program and PREDICT-1 trial in Q4 2025.</w:t>
      </w:r>
    </w:p>
    <w:p>
      <w:pPr>
        <w:pStyle w:val="TextBody"/>
        <w:bidi w:val="0"/>
        <w:jc w:val="both"/>
        <w:rPr/>
      </w:pPr>
      <w:r>
        <w:rPr/>
        <w:t> </w:t>
      </w:r>
    </w:p>
    <w:tbl>
      <w:tblPr>
        <w:tblW w:w="6400" w:type="dxa"/>
        <w:jc w:val="left"/>
        <w:tblInd w:w="0" w:type="dxa"/>
        <w:tblLayout w:type="fixed"/>
        <w:tblCellMar>
          <w:top w:w="28" w:type="dxa"/>
          <w:left w:w="28" w:type="dxa"/>
          <w:bottom w:w="28" w:type="dxa"/>
          <w:right w:w="28" w:type="dxa"/>
        </w:tblCellMar>
      </w:tblPr>
      <w:tblGrid>
        <w:gridCol w:w="2071"/>
        <w:gridCol w:w="146"/>
        <w:gridCol w:w="1996"/>
        <w:gridCol w:w="146"/>
        <w:gridCol w:w="204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21,933</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Between one and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10,232</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41,986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32,165</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19. RELATED PARTY DISCLOSURES</w:t>
      </w:r>
    </w:p>
    <w:p>
      <w:pPr>
        <w:pStyle w:val="TextBody"/>
        <w:bidi w:val="0"/>
        <w:jc w:val="both"/>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Key management, including the Board of Directors and the executive management team, compensation expenses were:</w:t>
      </w:r>
    </w:p>
    <w:p>
      <w:pPr>
        <w:pStyle w:val="TextBody"/>
        <w:bidi w:val="0"/>
        <w:jc w:val="both"/>
        <w:rPr/>
      </w:pPr>
      <w:r>
        <w:rPr/>
        <w:t> </w:t>
      </w:r>
    </w:p>
    <w:tbl>
      <w:tblPr>
        <w:tblW w:w="7258" w:type="dxa"/>
        <w:jc w:val="left"/>
        <w:tblInd w:w="0" w:type="dxa"/>
        <w:tblLayout w:type="fixed"/>
        <w:tblCellMar>
          <w:top w:w="28" w:type="dxa"/>
          <w:left w:w="28" w:type="dxa"/>
          <w:bottom w:w="28" w:type="dxa"/>
          <w:right w:w="28" w:type="dxa"/>
        </w:tblCellMar>
      </w:tblPr>
      <w:tblGrid>
        <w:gridCol w:w="4186"/>
        <w:gridCol w:w="146"/>
        <w:gridCol w:w="146"/>
        <w:gridCol w:w="601"/>
        <w:gridCol w:w="146"/>
        <w:gridCol w:w="146"/>
        <w:gridCol w:w="146"/>
        <w:gridCol w:w="601"/>
        <w:gridCol w:w="146"/>
        <w:gridCol w:w="146"/>
        <w:gridCol w:w="146"/>
        <w:gridCol w:w="511"/>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Salaries, cash compensation and other short-term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Pension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Salaries, cash compensation and other short-term benefits include social security, board member fees and insurance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number of key management individuals reported as receiving compensation in the table above decreased from 12 to 11 for the year ended December 31, 2025 as compared to the year ended December 31, 2024. The number of individuals receiving compensation for service on the Board of Directors as reported in the table above was 4 for the years ended December 31, 2025 and 2024.</w:t>
      </w:r>
    </w:p>
    <w:p>
      <w:pPr>
        <w:pStyle w:val="TextBody"/>
        <w:bidi w:val="0"/>
        <w:jc w:val="both"/>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20. FINANCIAL INSTRUMENTS / RISK MANAGEMENT</w:t>
      </w:r>
    </w:p>
    <w:p>
      <w:pPr>
        <w:pStyle w:val="TextBody"/>
        <w:bidi w:val="0"/>
        <w:spacing w:before="200" w:after="283"/>
        <w:jc w:val="both"/>
        <w:rPr>
          <w:rFonts w:ascii="Times New Roman" w:hAnsi="Times New Roman"/>
          <w:sz w:val="20"/>
        </w:rPr>
      </w:pPr>
      <w:r>
        <w:rPr>
          <w:rFonts w:ascii="Times New Roman" w:hAnsi="Times New Roman"/>
          <w:b/>
          <w:color w:val="000000"/>
          <w:sz w:val="20"/>
        </w:rPr>
        <w:t>Categories of financial instruments: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indicated in Note 3, all financial assets and liabilities are shown at amortized cost, except for warrant liabilities that are held at fair value. The following table shows the carrying amounts of financial assets and liabilities:</w:t>
      </w:r>
    </w:p>
    <w:p>
      <w:pPr>
        <w:pStyle w:val="TextBody"/>
        <w:bidi w:val="0"/>
        <w:jc w:val="both"/>
        <w:rPr/>
      </w:pPr>
      <w:r>
        <w:rPr/>
        <w:t> </w:t>
      </w:r>
    </w:p>
    <w:tbl>
      <w:tblPr>
        <w:tblW w:w="7575" w:type="dxa"/>
        <w:jc w:val="left"/>
        <w:tblInd w:w="0" w:type="dxa"/>
        <w:tblLayout w:type="fixed"/>
        <w:tblCellMar>
          <w:top w:w="28" w:type="dxa"/>
          <w:left w:w="28" w:type="dxa"/>
          <w:bottom w:w="28" w:type="dxa"/>
          <w:right w:w="28" w:type="dxa"/>
        </w:tblCellMar>
      </w:tblPr>
      <w:tblGrid>
        <w:gridCol w:w="2956"/>
        <w:gridCol w:w="146"/>
        <w:gridCol w:w="346"/>
        <w:gridCol w:w="1649"/>
        <w:gridCol w:w="146"/>
        <w:gridCol w:w="146"/>
        <w:gridCol w:w="389"/>
        <w:gridCol w:w="160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Financial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Financial assets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assets, excluding prepaids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215,056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99,581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395" w:type="dxa"/>
        <w:jc w:val="left"/>
        <w:tblInd w:w="0" w:type="dxa"/>
        <w:tblLayout w:type="fixed"/>
        <w:tblCellMar>
          <w:top w:w="28" w:type="dxa"/>
          <w:left w:w="28" w:type="dxa"/>
          <w:bottom w:w="28" w:type="dxa"/>
          <w:right w:w="28" w:type="dxa"/>
        </w:tblCellMar>
      </w:tblPr>
      <w:tblGrid>
        <w:gridCol w:w="2776"/>
        <w:gridCol w:w="146"/>
        <w:gridCol w:w="389"/>
        <w:gridCol w:w="1606"/>
        <w:gridCol w:w="146"/>
        <w:gridCol w:w="146"/>
        <w:gridCol w:w="389"/>
        <w:gridCol w:w="160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Financial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expenses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38,558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45,100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Below is the net debt table of liabilities from financing activities:</w:t>
      </w:r>
    </w:p>
    <w:p>
      <w:pPr>
        <w:pStyle w:val="TextBody"/>
        <w:bidi w:val="0"/>
        <w:jc w:val="both"/>
        <w:rPr/>
      </w:pPr>
      <w:r>
        <w:rPr/>
        <w:t> </w:t>
      </w:r>
    </w:p>
    <w:tbl>
      <w:tblPr>
        <w:tblW w:w="7231" w:type="dxa"/>
        <w:jc w:val="left"/>
        <w:tblInd w:w="0" w:type="dxa"/>
        <w:tblLayout w:type="fixed"/>
        <w:tblCellMar>
          <w:top w:w="28" w:type="dxa"/>
          <w:left w:w="28" w:type="dxa"/>
          <w:bottom w:w="28" w:type="dxa"/>
          <w:right w:w="28" w:type="dxa"/>
        </w:tblCellMar>
      </w:tblPr>
      <w:tblGrid>
        <w:gridCol w:w="3226"/>
        <w:gridCol w:w="146"/>
        <w:gridCol w:w="146"/>
        <w:gridCol w:w="571"/>
        <w:gridCol w:w="166"/>
        <w:gridCol w:w="146"/>
        <w:gridCol w:w="271"/>
        <w:gridCol w:w="1229"/>
        <w:gridCol w:w="166"/>
        <w:gridCol w:w="146"/>
        <w:gridCol w:w="146"/>
        <w:gridCol w:w="661"/>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Leasing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 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debt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loss on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public and private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 of Swiss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calculated on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Indexation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revaluation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debt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loss on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public and 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 of US and Iceland amended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calculated on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Indexation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debt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(2,313</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22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(14,478</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(16,791</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Fair values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their short-term nature, the carrying value of cash and cash equivalents, short-term financial assets, other current assets, excluding prepaid expenses, accrued income, trade payables and accrued expenses and other payables approximates their fair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warrant liabilities are measured at fair value on a recurring basis, refer to Note 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 assessment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maintains an internal control system that includes an annual financial reporting risk assessment. The ultimate responsibility of the risk management is of the Board of Directors and a yearly review takes place during one of the Board of Directors meetings.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Market risk is the risk that changes in market prices, such as foreign exchange rates, interest rates and equity prices will affect the Company’s income or the value of its holdings of financial instruments. The objective of market risk management is to manage and control market risk exposures within acceptable parameters, while optimizing the return.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if the listed price of the warrants had moved by 5.0% with all other variables held constant, the net loss for the period would have been lower/higher by CHF 0.7 million. As of December 31, 2024, the change would have been CHF 1.0 million.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Foreign currency risks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Since 2020, Oculis has established a presence in the U.S., France and Hong Kong with local currencies in U.S. Dollar (USD), Euro (EUR) and Hong Kong Dollar (HKD), respectively. In 2025, foreign currency risks primarily relate to cash and cash equivalents, short term financial assets, prepaid expenses, trade payables and accrued expenses denominated in U.S. Dollar and Euro, with immaterial amounts recorded in ISK and HKD.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demonstrates the impact of a possible change in USD and EUR against CHF in regard to monetary assets and liabilities denominated in local functional currencies, as well as the impact of foreign currency risk on the Company’s consolidated net loss: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99"/>
        <w:gridCol w:w="367"/>
        <w:gridCol w:w="1291"/>
        <w:gridCol w:w="146"/>
        <w:gridCol w:w="596"/>
        <w:gridCol w:w="1788"/>
        <w:gridCol w:w="266"/>
        <w:gridCol w:w="246"/>
        <w:gridCol w:w="323"/>
        <w:gridCol w:w="1335"/>
        <w:gridCol w:w="146"/>
        <w:gridCol w:w="596"/>
        <w:gridCol w:w="1788"/>
        <w:gridCol w:w="218"/>
      </w:tblGrid>
      <w:tr>
        <w:trPr/>
        <w:tc>
          <w:tcPr>
            <w:tcW w:w="109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 ended December 31, 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 ended December 31, 2024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Change in rate</w:t>
            </w:r>
          </w:p>
        </w:tc>
        <w:tc>
          <w:tcPr>
            <w:tcW w:w="165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exposure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8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Impact on loss</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5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exposure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8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Impact on loss</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+5.0% USD</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-5.0% USD</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+5.0% EUR</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-5.0% EUR</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financial instruments of the Group are not bearing interest and are therefore not subject to interest rate risk.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Hedging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are no hedging activities within the Group.</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Credit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2025, the maximum exposure is the carrying amount of the Company’s cash, cash equivalents and short-term financial assets are mainly held with two financial institutions, each with a high credit rating of A+ assigned by international credit-rating agencies. Management focuses on diversification strategies and monitors counterparties’ ratings to minimize exposure.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Liquidity risk is the risk that the Group will encounter difficulty in meeting the obligations associated with its financial liabilities that are settled by delivering cash or another financial asset. Liquidity management is performed by Group finance based on cash flow forecasts which are prepared on a rolling basis and focuses mainly on ensuring that the Group has sufficient cash to meet its operational needs. The Group’s liquidity needs have been historically satisfied through the issuance of preferred shares, the Business Combination, PIPE and CLA financings, and share offerings, discussed further in Note 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of the Company’s financial instruments, except for the long-term portion of lease liabilities, are due within one year. The following table shows the total future obligations related to these financial instruments: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6"/>
        <w:gridCol w:w="146"/>
        <w:gridCol w:w="283"/>
        <w:gridCol w:w="1171"/>
        <w:gridCol w:w="146"/>
        <w:gridCol w:w="146"/>
        <w:gridCol w:w="227"/>
        <w:gridCol w:w="935"/>
        <w:gridCol w:w="146"/>
        <w:gridCol w:w="146"/>
        <w:gridCol w:w="156"/>
        <w:gridCol w:w="548"/>
        <w:gridCol w:w="146"/>
        <w:gridCol w:w="146"/>
        <w:gridCol w:w="283"/>
        <w:gridCol w:w="1171"/>
        <w:gridCol w:w="146"/>
        <w:gridCol w:w="146"/>
        <w:gridCol w:w="227"/>
        <w:gridCol w:w="935"/>
        <w:gridCol w:w="146"/>
        <w:gridCol w:w="146"/>
        <w:gridCol w:w="179"/>
        <w:gridCol w:w="461"/>
        <w:gridCol w:w="197"/>
      </w:tblGrid>
      <w:tr>
        <w:trPr/>
        <w:tc>
          <w:tcPr>
            <w:tcW w:w="1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Less than 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Over </w:t>
              <w:br/>
              <w:t>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Less than 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Over </w:t>
              <w:br/>
              <w:t>one year</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expenses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24,698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25,339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Capital management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Since its incorporation, the Group has primarily funded its operations through capital increases, and at the current development stage, the Group frequently raises new funds to finance its development portfolio.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21. LOSS PER SHARE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2025, the Company had 57,984,438 ordinary shares issued and outstanding with a share price of $19.97 or CHF 15.83. The following table sets forth the loss per share calculations for the years ended December 31, 2025, 2024 and 2023.</w:t>
      </w:r>
    </w:p>
    <w:p>
      <w:pPr>
        <w:pStyle w:val="TextBody"/>
        <w:bidi w:val="0"/>
        <w:jc w:val="left"/>
        <w:rPr/>
      </w:pPr>
      <w:r>
        <w:rPr/>
        <w:t> </w:t>
      </w:r>
    </w:p>
    <w:tbl>
      <w:tblPr>
        <w:tblW w:w="10142" w:type="dxa"/>
        <w:jc w:val="left"/>
        <w:tblInd w:w="0" w:type="dxa"/>
        <w:tblLayout w:type="fixed"/>
        <w:tblCellMar>
          <w:top w:w="28" w:type="dxa"/>
          <w:left w:w="28" w:type="dxa"/>
          <w:bottom w:w="28" w:type="dxa"/>
          <w:right w:w="28" w:type="dxa"/>
        </w:tblCellMar>
      </w:tblPr>
      <w:tblGrid>
        <w:gridCol w:w="6121"/>
        <w:gridCol w:w="146"/>
        <w:gridCol w:w="916"/>
        <w:gridCol w:w="166"/>
        <w:gridCol w:w="146"/>
        <w:gridCol w:w="146"/>
        <w:gridCol w:w="916"/>
        <w:gridCol w:w="166"/>
        <w:gridCol w:w="146"/>
        <w:gridCol w:w="146"/>
        <w:gridCol w:w="916"/>
        <w:gridCol w:w="211"/>
      </w:tblGrid>
      <w:tr>
        <w:trPr/>
        <w:tc>
          <w:tcPr>
            <w:tcW w:w="6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for the period attributable to Oculis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per share</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number of shares used to compute basic and diluted loss per share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52,243,100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40,406,551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29,899,651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Basic and diluted net loss per share for the period, in CHF</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 the Company has a loss for all periods presented, basic net loss per share is the same as diluted net loss per share. Potentially dilutive securities that were not included in the diluted loss per share calculations because they would be anti-dilutive were as follows:</w:t>
      </w:r>
    </w:p>
    <w:p>
      <w:pPr>
        <w:pStyle w:val="TextBody"/>
        <w:bidi w:val="0"/>
        <w:jc w:val="both"/>
        <w:rPr/>
      </w:pPr>
      <w:r>
        <w:rPr/>
        <w:t> </w:t>
      </w:r>
    </w:p>
    <w:tbl>
      <w:tblPr>
        <w:tblW w:w="7502" w:type="dxa"/>
        <w:jc w:val="left"/>
        <w:tblInd w:w="0" w:type="dxa"/>
        <w:tblLayout w:type="fixed"/>
        <w:tblCellMar>
          <w:top w:w="28" w:type="dxa"/>
          <w:left w:w="28" w:type="dxa"/>
          <w:bottom w:w="28" w:type="dxa"/>
          <w:right w:w="28" w:type="dxa"/>
        </w:tblCellMar>
      </w:tblPr>
      <w:tblGrid>
        <w:gridCol w:w="3631"/>
        <w:gridCol w:w="146"/>
        <w:gridCol w:w="826"/>
        <w:gridCol w:w="146"/>
        <w:gridCol w:w="146"/>
        <w:gridCol w:w="146"/>
        <w:gridCol w:w="916"/>
        <w:gridCol w:w="146"/>
        <w:gridCol w:w="146"/>
        <w:gridCol w:w="146"/>
        <w:gridCol w:w="916"/>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4,946,948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4,444,388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3,096,473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Earnout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216,998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369,737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and earnout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5,163,946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4,687,054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3,466,210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subject to future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1,007,636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shares subject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earnout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2,371,272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3,793,995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Public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3,823,364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4,102,397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BlackRock Warrant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9,225,037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11,544,188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11,612,395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22. SUBSEQUENT EVENTS</w:t>
      </w:r>
    </w:p>
    <w:p>
      <w:pPr>
        <w:pStyle w:val="TextBody"/>
        <w:bidi w:val="0"/>
        <w:jc w:val="both"/>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a result of the BCA, Legacy Oculis equity holders received consideration in the form of 3,793,995 earnout shares and 369,737 earnout options with an exercise price of CHF 0.01. The earnout consideration is subject to forfeiture in the event of a failure to achieve the price targets during the earnout period defined as follows: (i) 1,500,000, (ii) 1,500,000 and (iii) 1,000,000 earned based on the achievement of post acquisition-closing VWAP targets of Oculis of $15.00, $20.00 and $25.00, respectively, in each case, for any 20 trading days within any consecutive 30 trading day period during the earnout period. In February 2026, the third price target of $25.00 was met, resulting in 55,487 earnout options becoming exercisable and the immediate vesting of 948,549 earnout shares.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4" w:name="ocs-ex99_2.htm"/>
      <w:bookmarkStart w:id="15" w:name="ksocsex99_2"/>
      <w:bookmarkEnd w:id="14"/>
      <w:bookmarkEnd w:id="15"/>
      <w:r>
        <w:rPr>
          <w:rFonts w:ascii="Times New Roman" w:hAnsi="Times New Roman"/>
          <w:b/>
          <w:color w:val="000000"/>
          <w:sz w:val="20"/>
        </w:rPr>
        <w:t>Exhibit 99.2</w:t>
      </w:r>
      <w:r>
        <w:br w:type="page"/>
      </w:r>
    </w:p>
    <w:p>
      <w:pPr>
        <w:pStyle w:val="TextBody"/>
        <w:bidi w:val="0"/>
        <w:jc w:val="right"/>
        <w:rPr/>
      </w:pPr>
      <w:r>
        <w:rPr/>
        <w:t> </w:t>
      </w:r>
    </w:p>
    <w:p>
      <w:pPr>
        <w:pStyle w:val="TextBody"/>
        <w:bidi w:val="0"/>
        <w:spacing w:before="480" w:after="283"/>
        <w:jc w:val="left"/>
        <w:rPr/>
      </w:pPr>
      <w:r>
        <w:rPr/>
        <w:drawing>
          <wp:inline distT="0" distB="0" distL="0" distR="0">
            <wp:extent cx="1419225" cy="352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19225" cy="352425"/>
                    </a:xfrm>
                    <a:prstGeom prst="rect">
                      <a:avLst/>
                    </a:prstGeom>
                  </pic:spPr>
                </pic:pic>
              </a:graphicData>
            </a:graphic>
          </wp:inline>
        </w:drawing>
      </w:r>
    </w:p>
    <w:p>
      <w:pPr>
        <w:pStyle w:val="TextBody"/>
        <w:bidi w:val="0"/>
        <w:spacing w:before="480" w:after="283"/>
        <w:jc w:val="left"/>
        <w:rPr/>
      </w:pPr>
      <w:r>
        <w:rPr/>
        <w:t> </w:t>
      </w:r>
    </w:p>
    <w:p>
      <w:pPr>
        <w:pStyle w:val="TextBody"/>
        <w:bidi w:val="0"/>
        <w:spacing w:before="480" w:after="283"/>
        <w:jc w:val="left"/>
        <w:rPr/>
      </w:pPr>
      <w:r>
        <w:rPr/>
        <w:t> </w:t>
      </w:r>
    </w:p>
    <w:p>
      <w:pPr>
        <w:pStyle w:val="TextBody"/>
        <w:bidi w:val="0"/>
        <w:spacing w:before="480" w:after="283"/>
        <w:jc w:val="left"/>
        <w:rPr>
          <w:rFonts w:ascii="Times New Roman" w:hAnsi="Times New Roman"/>
          <w:sz w:val="20"/>
        </w:rPr>
      </w:pPr>
      <w:bookmarkStart w:id="16" w:name="statutory_fs"/>
      <w:bookmarkEnd w:id="16"/>
      <w:r>
        <w:rPr>
          <w:rFonts w:ascii="Times New Roman" w:hAnsi="Times New Roman"/>
          <w:b/>
          <w:color w:val="000000"/>
          <w:sz w:val="40"/>
        </w:rPr>
        <w:t>Statutory Financial Statements</w:t>
      </w:r>
      <w:r>
        <w:rPr>
          <w:rFonts w:ascii="Times New Roman" w:hAnsi="Times New Roman"/>
          <w:color w:val="000000"/>
          <w:sz w:val="20"/>
        </w:rPr>
        <w:t xml:space="preserve"> </w:t>
      </w:r>
    </w:p>
    <w:p>
      <w:pPr>
        <w:pStyle w:val="TextBody"/>
        <w:bidi w:val="0"/>
        <w:spacing w:before="480" w:after="283"/>
        <w:jc w:val="left"/>
        <w:rPr>
          <w:rFonts w:ascii="Times New Roman" w:hAnsi="Times New Roman"/>
          <w:sz w:val="20"/>
        </w:rPr>
      </w:pPr>
      <w:r>
        <w:rPr>
          <w:rFonts w:ascii="Times New Roman" w:hAnsi="Times New Roman"/>
          <w:b/>
          <w:color w:val="000000"/>
          <w:sz w:val="40"/>
        </w:rPr>
        <w:t>Oculis Holding AG</w:t>
      </w:r>
      <w:r>
        <w:rPr>
          <w:rFonts w:ascii="Times New Roman" w:hAnsi="Times New Roman"/>
          <w:color w:val="000000"/>
          <w:sz w:val="20"/>
        </w:rPr>
        <w:t xml:space="preserve"> </w:t>
      </w:r>
    </w:p>
    <w:p>
      <w:pPr>
        <w:pStyle w:val="TextBody"/>
        <w:bidi w:val="0"/>
        <w:spacing w:before="480" w:after="283"/>
        <w:jc w:val="left"/>
        <w:rPr>
          <w:rFonts w:ascii="Times New Roman" w:hAnsi="Times New Roman"/>
          <w:b/>
          <w:color w:val="000000"/>
          <w:sz w:val="40"/>
        </w:rPr>
      </w:pPr>
      <w:r>
        <w:rPr>
          <w:rFonts w:ascii="Times New Roman" w:hAnsi="Times New Roman"/>
          <w:b/>
          <w:color w:val="000000"/>
          <w:sz w:val="40"/>
        </w:rPr>
        <w:t>for the period ending December 31,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81150" cy="1019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81150" cy="10191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b/>
          <w:color w:val="000000"/>
          <w:sz w:val="32"/>
        </w:rPr>
      </w:pPr>
      <w:r>
        <w:rPr>
          <w:rFonts w:ascii="Times New Roman" w:hAnsi="Times New Roman"/>
          <w:b/>
          <w:color w:val="000000"/>
          <w:sz w:val="32"/>
        </w:rPr>
        <w:t>Report of the statutory auditor to the General Meeting of Oculis Holding AG, Zug</w:t>
      </w:r>
    </w:p>
    <w:p>
      <w:pPr>
        <w:pStyle w:val="TextBody"/>
        <w:bidi w:val="0"/>
        <w:spacing w:before="480" w:after="60"/>
        <w:jc w:val="left"/>
        <w:rPr>
          <w:rFonts w:ascii="Times New Roman" w:hAnsi="Times New Roman"/>
          <w:b/>
          <w:color w:val="000000"/>
          <w:sz w:val="24"/>
        </w:rPr>
      </w:pPr>
      <w:r>
        <w:rPr>
          <w:rFonts w:ascii="Times New Roman" w:hAnsi="Times New Roman"/>
          <w:b/>
          <w:color w:val="000000"/>
          <w:sz w:val="24"/>
        </w:rPr>
        <w:t>Report on the audit of the financial statements</w:t>
      </w:r>
    </w:p>
    <w:p>
      <w:pPr>
        <w:pStyle w:val="TextBody"/>
        <w:bidi w:val="0"/>
        <w:spacing w:before="340" w:after="200"/>
        <w:jc w:val="left"/>
        <w:rPr>
          <w:rFonts w:ascii="Times New Roman" w:hAnsi="Times New Roman"/>
          <w:b/>
          <w:color w:val="000000"/>
          <w:sz w:val="20"/>
        </w:rPr>
      </w:pPr>
      <w:r>
        <w:rPr>
          <w:rFonts w:ascii="Times New Roman" w:hAnsi="Times New Roman"/>
          <w:b/>
          <w:color w:val="000000"/>
          <w:sz w:val="20"/>
        </w:rPr>
        <w:t>Opinion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have audited the financial statements of Oculis Holding AG (the Company), which comprise the balance sheet as at December 31, 2025, and the profit and loss statement for the year then ended, and notes to the financial statements, including a summary of significant accounting policies.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our opinion, the accompanying financial statements comply with Swiss law and the Company’s articles of incorporation.</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conducted our audit in accordance with Swiss law and Swiss Standards on Auditing (SA-CH). Our responsibilities under those provisions and standards are further described in the 'Auditor’s responsibilities for the audit of the financial statements' section of our report. We are independent of the Company in accordance with the provisions of Swiss law and the requirements of the Swiss audit profession that are relevant to audits of the financial statements of public interest entities. We have also fulfilled our other ethical responsibilities in accordance with these requirements.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believe that the audit evidence we have obtained is sufficient and appropriate to provide a basis for our opinion.</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Our audit approach</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Materiality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scope of our audit was influenced by our application of materiality. Our audit opinion aims to provide reasonable assurance that the financial statements are free from material misstatement. Misstatements may arise due to fraud or error. They are considered material if, individually or in aggregate, they could reasonably be expected to influence the economic decisions of users taken on the basis of the financial statements.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Based on our professional judgement, we determined certain quantitative thresholds for materiality, including the overall materiality for the financial statements as a whole as set out in the table below. These, together with qualitative considerations, helped us to determine the scope of our audit and the nature, timing and extent of our audit procedures and to evaluate the effect of misstatements, both individually and in aggregate, on the financial statements as a whole.</w:t>
      </w:r>
    </w:p>
    <w:tbl>
      <w:tblPr>
        <w:tblW w:w="9347" w:type="dxa"/>
        <w:jc w:val="left"/>
        <w:tblInd w:w="0" w:type="dxa"/>
        <w:tblLayout w:type="fixed"/>
        <w:tblCellMar>
          <w:top w:w="28" w:type="dxa"/>
          <w:left w:w="28" w:type="dxa"/>
          <w:bottom w:w="28" w:type="dxa"/>
          <w:right w:w="28" w:type="dxa"/>
        </w:tblCellMar>
      </w:tblPr>
      <w:tblGrid>
        <w:gridCol w:w="1381"/>
        <w:gridCol w:w="7966"/>
      </w:tblGrid>
      <w:tr>
        <w:trPr/>
        <w:tc>
          <w:tcPr>
            <w:tcW w:w="1381" w:type="dxa"/>
            <w:tcBorders/>
            <w:vAlign w:val="center"/>
          </w:tcPr>
          <w:p>
            <w:pPr>
              <w:pStyle w:val="TableContents"/>
              <w:bidi w:val="0"/>
              <w:spacing w:before="0" w:after="283"/>
              <w:jc w:val="left"/>
              <w:rPr>
                <w:sz w:val="4"/>
                <w:szCs w:val="4"/>
              </w:rPr>
            </w:pPr>
            <w:r>
              <w:rPr>
                <w:sz w:val="4"/>
                <w:szCs w:val="4"/>
              </w:rPr>
            </w:r>
          </w:p>
        </w:tc>
        <w:tc>
          <w:tcPr>
            <w:tcW w:w="7966" w:type="dxa"/>
            <w:tcBorders/>
            <w:vAlign w:val="center"/>
          </w:tcPr>
          <w:p>
            <w:pPr>
              <w:pStyle w:val="TableContents"/>
              <w:bidi w:val="0"/>
              <w:spacing w:before="0" w:after="283"/>
              <w:ind w:left="0" w:right="0" w:hanging="113"/>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283"/>
              <w:ind w:left="0" w:right="0" w:hanging="113"/>
              <w:jc w:val="left"/>
              <w:rPr>
                <w:sz w:val="4"/>
                <w:szCs w:val="4"/>
              </w:rPr>
            </w:pPr>
            <w:r>
              <w:rPr>
                <w:sz w:val="4"/>
                <w:szCs w:val="4"/>
              </w:rPr>
            </w:r>
          </w:p>
        </w:tc>
        <w:tc>
          <w:tcPr>
            <w:tcW w:w="7966" w:type="dxa"/>
            <w:tcBorders/>
            <w:tcMar>
              <w:top w:w="0" w:type="dxa"/>
              <w:left w:w="0" w:type="dxa"/>
              <w:bottom w:w="0" w:type="dxa"/>
              <w:right w:w="0" w:type="dxa"/>
            </w:tcMar>
            <w:vAlign w:val="center"/>
          </w:tcPr>
          <w:p>
            <w:pPr>
              <w:pStyle w:val="TableContents"/>
              <w:bidi w:val="0"/>
              <w:spacing w:before="0" w:after="283"/>
              <w:ind w:left="0" w:right="0" w:hanging="113"/>
              <w:jc w:val="left"/>
              <w:rPr>
                <w:rFonts w:ascii="Georgia;serif" w:hAnsi="Georgia;serif"/>
                <w:color w:val="000000"/>
                <w:sz w:val="18"/>
              </w:rPr>
            </w:pPr>
            <w:r>
              <w:rPr>
                <w:rFonts w:ascii="Georgia;serif" w:hAnsi="Georgia;serif"/>
                <w:color w:val="000000"/>
                <w:sz w:val="18"/>
              </w:rPr>
              <w:t>PricewaterhouseCoopers SA, Avenue de la Rasude 5, 1006 Lausanne</w:t>
            </w:r>
          </w:p>
        </w:tc>
      </w:tr>
      <w:tr>
        <w:trPr/>
        <w:tc>
          <w:tcPr>
            <w:tcW w:w="1381" w:type="dxa"/>
            <w:tcBorders/>
            <w:tcMar>
              <w:top w:w="0" w:type="dxa"/>
              <w:left w:w="0" w:type="dxa"/>
              <w:bottom w:w="0" w:type="dxa"/>
              <w:right w:w="0" w:type="dxa"/>
            </w:tcMar>
            <w:vAlign w:val="center"/>
          </w:tcPr>
          <w:p>
            <w:pPr>
              <w:pStyle w:val="TableContents"/>
              <w:bidi w:val="0"/>
              <w:spacing w:before="0" w:after="283"/>
              <w:ind w:left="0" w:right="0" w:hanging="113"/>
              <w:jc w:val="left"/>
              <w:rPr>
                <w:sz w:val="4"/>
                <w:szCs w:val="4"/>
              </w:rPr>
            </w:pPr>
            <w:r>
              <w:rPr>
                <w:sz w:val="4"/>
                <w:szCs w:val="4"/>
              </w:rPr>
            </w:r>
          </w:p>
        </w:tc>
        <w:tc>
          <w:tcPr>
            <w:tcW w:w="7966" w:type="dxa"/>
            <w:tcBorders/>
            <w:tcMar>
              <w:top w:w="0" w:type="dxa"/>
              <w:left w:w="0" w:type="dxa"/>
              <w:bottom w:w="0" w:type="dxa"/>
              <w:right w:w="0" w:type="dxa"/>
            </w:tcMar>
            <w:vAlign w:val="center"/>
          </w:tcPr>
          <w:p>
            <w:pPr>
              <w:pStyle w:val="TableContents"/>
              <w:bidi w:val="0"/>
              <w:spacing w:before="0" w:after="300"/>
              <w:ind w:left="0" w:right="0" w:hanging="113"/>
              <w:jc w:val="left"/>
              <w:rPr>
                <w:rFonts w:ascii="Georgia;serif" w:hAnsi="Georgia;serif"/>
                <w:color w:val="000000"/>
                <w:sz w:val="18"/>
              </w:rPr>
            </w:pPr>
            <w:r>
              <w:rPr>
                <w:rFonts w:ascii="Georgia;serif" w:hAnsi="Georgia;serif"/>
                <w:color w:val="000000"/>
                <w:sz w:val="18"/>
              </w:rPr>
              <w:t>+41 58 792 81 00</w:t>
            </w:r>
          </w:p>
        </w:tc>
      </w:tr>
      <w:tr>
        <w:trPr/>
        <w:tc>
          <w:tcPr>
            <w:tcW w:w="1381" w:type="dxa"/>
            <w:tcBorders/>
            <w:tcMar>
              <w:top w:w="0" w:type="dxa"/>
              <w:left w:w="0" w:type="dxa"/>
              <w:bottom w:w="0" w:type="dxa"/>
              <w:right w:w="0" w:type="dxa"/>
            </w:tcMar>
            <w:vAlign w:val="center"/>
          </w:tcPr>
          <w:p>
            <w:pPr>
              <w:pStyle w:val="TableContents"/>
              <w:bidi w:val="0"/>
              <w:spacing w:before="0" w:after="283"/>
              <w:ind w:left="0" w:right="0" w:hanging="113"/>
              <w:jc w:val="left"/>
              <w:rPr>
                <w:rFonts w:ascii="Georgia;serif" w:hAnsi="Georgia;serif"/>
                <w:color w:val="000000"/>
                <w:sz w:val="22"/>
              </w:rPr>
            </w:pPr>
            <w:r>
              <w:rPr>
                <w:rFonts w:ascii="Georgia;serif" w:hAnsi="Georgia;serif"/>
                <w:color w:val="000000"/>
                <w:sz w:val="22"/>
              </w:rPr>
              <w:t>www.pwc.ch</w:t>
            </w:r>
          </w:p>
        </w:tc>
        <w:tc>
          <w:tcPr>
            <w:tcW w:w="7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PricewaterhouseCoopers SA is a member of the global PricewaterhouseCoopers network of firms, each of which is a separate and independent legal entity.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0"/>
        <w:gridCol w:w="8305"/>
      </w:tblGrid>
      <w:tr>
        <w:trPr/>
        <w:tc>
          <w:tcPr>
            <w:tcW w:w="1900" w:type="dxa"/>
            <w:tcBorders/>
            <w:vAlign w:val="center"/>
          </w:tcPr>
          <w:p>
            <w:pPr>
              <w:pStyle w:val="TableContents"/>
              <w:bidi w:val="0"/>
              <w:spacing w:before="0" w:after="283"/>
              <w:jc w:val="left"/>
              <w:rPr>
                <w:sz w:val="4"/>
                <w:szCs w:val="4"/>
              </w:rPr>
            </w:pPr>
            <w:r>
              <w:rPr>
                <w:sz w:val="4"/>
                <w:szCs w:val="4"/>
              </w:rPr>
            </w:r>
          </w:p>
        </w:tc>
        <w:tc>
          <w:tcPr>
            <w:tcW w:w="8305" w:type="dxa"/>
            <w:tcBorders/>
            <w:vAlign w:val="center"/>
          </w:tcPr>
          <w:p>
            <w:pPr>
              <w:pStyle w:val="TableContents"/>
              <w:bidi w:val="0"/>
              <w:spacing w:before="0" w:after="283"/>
              <w:ind w:left="0" w:right="0" w:hanging="11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hanging="113"/>
              <w:jc w:val="left"/>
              <w:rPr>
                <w:sz w:val="4"/>
                <w:szCs w:val="4"/>
              </w:rPr>
            </w:pPr>
            <w:r>
              <w:rPr>
                <w:sz w:val="4"/>
                <w:szCs w:val="4"/>
              </w:rPr>
            </w:r>
          </w:p>
        </w:tc>
      </w:tr>
      <w:tr>
        <w:trPr/>
        <w:tc>
          <w:tcPr>
            <w:tcW w:w="1900" w:type="dxa"/>
            <w:tcBorders/>
            <w:tcMar>
              <w:top w:w="0" w:type="dxa"/>
              <w:left w:w="0" w:type="dxa"/>
              <w:bottom w:w="0" w:type="dxa"/>
              <w:right w:w="0" w:type="dxa"/>
            </w:tcMar>
            <w:vAlign w:val="center"/>
          </w:tcPr>
          <w:p>
            <w:pPr>
              <w:pStyle w:val="TableContents"/>
              <w:bidi w:val="0"/>
              <w:spacing w:before="80" w:after="56"/>
              <w:ind w:left="0" w:right="0" w:hanging="113"/>
              <w:jc w:val="left"/>
              <w:rPr>
                <w:rFonts w:ascii="Times New Roman" w:hAnsi="Times New Roman"/>
                <w:b/>
                <w:color w:val="000000"/>
                <w:sz w:val="20"/>
              </w:rPr>
            </w:pPr>
            <w:r>
              <w:rPr>
                <w:rFonts w:ascii="Times New Roman" w:hAnsi="Times New Roman"/>
                <w:b/>
                <w:color w:val="000000"/>
                <w:sz w:val="20"/>
              </w:rPr>
              <w:t>Overall materiality</w:t>
            </w:r>
          </w:p>
        </w:tc>
        <w:tc>
          <w:tcPr>
            <w:tcW w:w="8305" w:type="dxa"/>
            <w:tcBorders/>
            <w:tcMar>
              <w:top w:w="0" w:type="dxa"/>
              <w:left w:w="0" w:type="dxa"/>
              <w:bottom w:w="0" w:type="dxa"/>
              <w:right w:w="0" w:type="dxa"/>
            </w:tcMar>
            <w:vAlign w:val="center"/>
          </w:tcPr>
          <w:p>
            <w:pPr>
              <w:pStyle w:val="TableContents"/>
              <w:bidi w:val="0"/>
              <w:spacing w:before="80" w:after="56"/>
              <w:ind w:left="0" w:right="0" w:hanging="113"/>
              <w:jc w:val="left"/>
              <w:rPr>
                <w:rFonts w:ascii="Times New Roman" w:hAnsi="Times New Roman"/>
                <w:color w:val="000000"/>
                <w:sz w:val="20"/>
              </w:rPr>
            </w:pPr>
            <w:r>
              <w:rPr>
                <w:rFonts w:ascii="Times New Roman" w:hAnsi="Times New Roman"/>
                <w:color w:val="000000"/>
                <w:sz w:val="20"/>
              </w:rPr>
              <w:t>CHF 5,200 thousand</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hanging="113"/>
              <w:jc w:val="left"/>
              <w:rPr>
                <w:sz w:val="4"/>
                <w:szCs w:val="4"/>
              </w:rPr>
            </w:pPr>
            <w:r>
              <w:rPr>
                <w:sz w:val="4"/>
                <w:szCs w:val="4"/>
              </w:rPr>
            </w:r>
          </w:p>
        </w:tc>
      </w:tr>
      <w:tr>
        <w:trPr/>
        <w:tc>
          <w:tcPr>
            <w:tcW w:w="1900" w:type="dxa"/>
            <w:tcBorders/>
            <w:tcMar>
              <w:top w:w="0" w:type="dxa"/>
              <w:left w:w="0" w:type="dxa"/>
              <w:bottom w:w="0" w:type="dxa"/>
              <w:right w:w="0" w:type="dxa"/>
            </w:tcMar>
            <w:vAlign w:val="center"/>
          </w:tcPr>
          <w:p>
            <w:pPr>
              <w:pStyle w:val="TableContents"/>
              <w:bidi w:val="0"/>
              <w:spacing w:before="80" w:after="56"/>
              <w:ind w:left="0" w:right="0" w:hanging="113"/>
              <w:jc w:val="left"/>
              <w:rPr>
                <w:rFonts w:ascii="Times New Roman" w:hAnsi="Times New Roman"/>
                <w:b/>
                <w:color w:val="000000"/>
                <w:sz w:val="20"/>
              </w:rPr>
            </w:pPr>
            <w:r>
              <w:rPr>
                <w:rFonts w:ascii="Times New Roman" w:hAnsi="Times New Roman"/>
                <w:b/>
                <w:color w:val="000000"/>
                <w:sz w:val="20"/>
              </w:rPr>
              <w:t>Benchmark applied</w:t>
            </w:r>
          </w:p>
        </w:tc>
        <w:tc>
          <w:tcPr>
            <w:tcW w:w="8305" w:type="dxa"/>
            <w:tcBorders/>
            <w:tcMar>
              <w:top w:w="0" w:type="dxa"/>
              <w:left w:w="0" w:type="dxa"/>
              <w:bottom w:w="0" w:type="dxa"/>
              <w:right w:w="0" w:type="dxa"/>
            </w:tcMar>
            <w:vAlign w:val="center"/>
          </w:tcPr>
          <w:p>
            <w:pPr>
              <w:pStyle w:val="TableContents"/>
              <w:bidi w:val="0"/>
              <w:spacing w:before="80" w:after="56"/>
              <w:ind w:left="0" w:right="0" w:hanging="113"/>
              <w:jc w:val="left"/>
              <w:rPr>
                <w:rFonts w:ascii="Times New Roman" w:hAnsi="Times New Roman"/>
                <w:color w:val="000000"/>
                <w:sz w:val="20"/>
              </w:rPr>
            </w:pPr>
            <w:r>
              <w:rPr>
                <w:rFonts w:ascii="Times New Roman" w:hAnsi="Times New Roman"/>
                <w:color w:val="000000"/>
                <w:sz w:val="20"/>
              </w:rPr>
              <w:t>Total assets</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hanging="113"/>
              <w:jc w:val="left"/>
              <w:rPr>
                <w:sz w:val="4"/>
                <w:szCs w:val="4"/>
              </w:rPr>
            </w:pPr>
            <w:r>
              <w:rPr>
                <w:sz w:val="4"/>
                <w:szCs w:val="4"/>
              </w:rPr>
            </w:r>
          </w:p>
        </w:tc>
      </w:tr>
      <w:tr>
        <w:trPr/>
        <w:tc>
          <w:tcPr>
            <w:tcW w:w="1900" w:type="dxa"/>
            <w:tcBorders/>
            <w:tcMar>
              <w:top w:w="0" w:type="dxa"/>
              <w:left w:w="0" w:type="dxa"/>
              <w:bottom w:w="0" w:type="dxa"/>
              <w:right w:w="0" w:type="dxa"/>
            </w:tcMar>
            <w:vAlign w:val="center"/>
          </w:tcPr>
          <w:p>
            <w:pPr>
              <w:pStyle w:val="TableContents"/>
              <w:bidi w:val="0"/>
              <w:spacing w:before="80" w:after="56"/>
              <w:ind w:left="0" w:right="0" w:hanging="113"/>
              <w:jc w:val="left"/>
              <w:rPr>
                <w:rFonts w:ascii="Times New Roman" w:hAnsi="Times New Roman"/>
                <w:sz w:val="20"/>
              </w:rPr>
            </w:pPr>
            <w:r>
              <w:rPr>
                <w:rFonts w:ascii="Times New Roman" w:hAnsi="Times New Roman"/>
                <w:b/>
                <w:color w:val="000000"/>
                <w:sz w:val="20"/>
              </w:rPr>
              <w:t>Rationale for the materiality benchmark applied</w:t>
            </w:r>
            <w:r>
              <w:rPr>
                <w:rFonts w:ascii="Times New Roman" w:hAnsi="Times New Roman"/>
                <w:color w:val="000000"/>
                <w:sz w:val="20"/>
              </w:rPr>
              <w:t xml:space="preserve"> </w:t>
            </w:r>
          </w:p>
        </w:tc>
        <w:tc>
          <w:tcPr>
            <w:tcW w:w="8305" w:type="dxa"/>
            <w:tcBorders/>
            <w:tcMar>
              <w:top w:w="0" w:type="dxa"/>
              <w:left w:w="0" w:type="dxa"/>
              <w:bottom w:w="0" w:type="dxa"/>
              <w:right w:w="0" w:type="dxa"/>
            </w:tcMar>
            <w:vAlign w:val="center"/>
          </w:tcPr>
          <w:p>
            <w:pPr>
              <w:pStyle w:val="TableContents"/>
              <w:bidi w:val="0"/>
              <w:spacing w:before="80" w:after="56"/>
              <w:ind w:left="0" w:right="0" w:hanging="113"/>
              <w:jc w:val="left"/>
              <w:rPr>
                <w:rFonts w:ascii="Times New Roman" w:hAnsi="Times New Roman"/>
                <w:color w:val="000000"/>
                <w:sz w:val="20"/>
              </w:rPr>
            </w:pPr>
            <w:r>
              <w:rPr>
                <w:rFonts w:ascii="Times New Roman" w:hAnsi="Times New Roman"/>
                <w:color w:val="000000"/>
                <w:sz w:val="20"/>
              </w:rPr>
              <w:t>We chose total assets as the benchmark, because, in our view, it is the benchmark against which the performance of the Company, which has limited operating activities and which mainly holds investments in subsidiaries and intra-group loans, is most commonly measured, and it is a generally accepted benchmark for holding companies.</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hanging="113"/>
              <w:jc w:val="left"/>
              <w:rPr>
                <w:sz w:val="4"/>
                <w:szCs w:val="4"/>
              </w:rPr>
            </w:pPr>
            <w:r>
              <w:rPr>
                <w:sz w:val="4"/>
                <w:szCs w:val="4"/>
              </w:rPr>
            </w:r>
          </w:p>
        </w:tc>
      </w:tr>
    </w:tbl>
    <w:p>
      <w:pPr>
        <w:pStyle w:val="TextBody"/>
        <w:bidi w:val="0"/>
        <w:spacing w:before="0" w:after="200"/>
        <w:jc w:val="left"/>
        <w:rPr>
          <w:rFonts w:ascii="Times New Roman" w:hAnsi="Times New Roman"/>
          <w:color w:val="000000"/>
          <w:sz w:val="20"/>
        </w:rPr>
      </w:pPr>
      <w:r>
        <w:rPr>
          <w:rFonts w:ascii="Times New Roman" w:hAnsi="Times New Roman"/>
          <w:color w:val="000000"/>
          <w:sz w:val="20"/>
        </w:rPr>
        <w:t>We agreed with the Audit Committee that we would report to them misstatements above CHF 520 thousand identified during our audit as well as any misstatements below that amount which, in our view, warranted reporting for qualitative reasons.</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Audit scope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designed our audit by determining materiality and assessing the risks of material misstatement in the financial statements. In particular, we considered where subjective judgements were made; for example, in respect of significant accounting estimates that involved making assumptions and considering future events that are inherently uncertain. As in all of our audits, we also addressed the risk of management override of internal controls, including among other matters consideration of whether there was evidence of bias that represented a risk of material misstatement due to fraud.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tailored the scope of our audit in order to perform sufficient work to enable us to provide an opinion on the financial statements as a whole, taking into account the structure of the Company, the accounting processes and controls, and the industry in which the Company operates.</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Key audit matters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have determined that there are no key audit matters to communicate in our report.</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Board of Directors is responsible for the other information. The other information comprises the information included in the annual report, which has partially been made available to us with the 6-K and 20-F filings, (but does not include the financial statements and the consolidated financial statements and our auditor’s reports thereon), which we obtained prior to the date of this auditor’s report, and the full annual report, which is expected to be made available to us after that date.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opinion on the financial statements does not cover the other information and we do not express any form of assurance conclusion thereon.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connection with our audit of the financial statements, our responsibility is to read the other information and, in doing so, consider whether the other information is materially inconsistent with the financial statements or our knowledge obtained in the audit or otherwise appears to be materially misstated.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2</w:t>
      </w:r>
      <w:r>
        <w:rPr>
          <w:rFonts w:ascii="Times New Roman" w:hAnsi="Times New Roman"/>
          <w:color w:val="000000"/>
          <w:sz w:val="20"/>
        </w:rPr>
        <w:t xml:space="preserve"> </w:t>
      </w:r>
      <w:r>
        <w:rPr>
          <w:rFonts w:ascii="Arial" w:hAnsi="Arial"/>
          <w:color w:val="000000"/>
          <w:sz w:val="16"/>
        </w:rPr>
        <w:t>Report of the statutory auditor to the General Meeting of Oculis Holding AG, Zug</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If, based on the work we have performed, we conclude that there is a material misstatement of this other information, we are required to report that fact. We have nothing to report in this regard.</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Board of Directors’ responsibilities for the financial statements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Board of Directors is responsible for the preparation of financial statements in accordance with the provisions of Swiss law and the Company’s articles of incorporation, and for such internal control as the Board of Directors determines is necessary to enable the preparation of financial statements that are free from material misstatement, whether due to fraud or error.</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preparing the financial statements, the Board of Directors is responsible for assessing the Company’s ability to continue as a going concern, disclosing, as applicable, matters related to going concern and using the going concern basis of accounting unless the Board of Directors either intends to liquidate the Company or to cease operations, or has no realistic alternative but to do so.</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Auditor’s responsibilities for the audit of the financial statements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Swiss law and SA-CH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 part of an audit in accordance with Swiss law and SA-CH, we exercise professional judgement and maintain professional scepticism throughout the audit. We also: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Identify and assess the risks of material misstatement of the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Obtain an understanding of internal control relevant to the audit in order to design audit procedures that are appropriate in the circumstances, but not for the purpose of expressing an opinion on the effectiveness of the Company’s internal control.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Evaluate the appropriateness of accounting policies used and the reasonableness of accounting estimates and related disclosures made.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Conclude on the appropriateness of the Board of Directors’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our auditor’s report to the related disclosures in the financial statements or, if such disclosures are inadequate, to modify our opinion. Our conclusions are based on the audit evidence obtained up to the date of our auditor’s report. However, future events or conditions may cause the Company to cease to continue as a going concern.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3</w:t>
      </w:r>
      <w:r>
        <w:rPr>
          <w:rFonts w:ascii="Times New Roman" w:hAnsi="Times New Roman"/>
          <w:color w:val="000000"/>
          <w:sz w:val="20"/>
        </w:rPr>
        <w:t xml:space="preserve"> </w:t>
      </w:r>
      <w:r>
        <w:rPr>
          <w:rFonts w:ascii="Arial" w:hAnsi="Arial"/>
          <w:color w:val="000000"/>
          <w:sz w:val="16"/>
        </w:rPr>
        <w:t>Report of the statutory auditor to the General Meeting of Oculis Holding AG, Zug</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We communicate with the Board of Directors or its relevant committee regarding, among other matters, the planned scope and timing of the audit and significant audit findings, including any significant deficiencies in internal control that we identify during our audit.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also provide the Board of Directors or its relevant committee with a statement that we have complied with relevant ethical requirements regarding independence, and communicate with them regarding all relationships and other matters that may reasonably be thought to bear on our independence, and where applicable, actions taken to eliminate threats or safeguards applied.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From the matters communicated with the Board of Directors or its relevant committee, we determine those matters that were of most significance in the audit of the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pStyle w:val="TextBody"/>
        <w:bidi w:val="0"/>
        <w:spacing w:before="200" w:after="200"/>
        <w:jc w:val="left"/>
        <w:rPr>
          <w:rFonts w:ascii="Times New Roman" w:hAnsi="Times New Roman"/>
          <w:b/>
          <w:color w:val="000000"/>
          <w:sz w:val="24"/>
        </w:rPr>
      </w:pPr>
      <w:r>
        <w:rPr>
          <w:rFonts w:ascii="Times New Roman" w:hAnsi="Times New Roman"/>
          <w:b/>
          <w:color w:val="000000"/>
          <w:sz w:val="24"/>
        </w:rPr>
        <w:t>Report on other legal and regulatory requirements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accordance with article 728a para. 1 item 3 CO and PS-CH 890, we confirm the existence of an internal control system that has been designed, pursuant to the instructions of the Board of Directors, for the preparation of the financial statements.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Based on our audit according to article 728a para. 1 item 2 CO, we confirm that the Board of Directors' proposal complies with Swiss law and the Company’s articles of incorporation. We recommend that the financial statements submitted to you be approved.</w:t>
      </w:r>
    </w:p>
    <w:p>
      <w:pPr>
        <w:pStyle w:val="TextBody"/>
        <w:bidi w:val="0"/>
        <w:spacing w:before="0" w:after="20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PricewaterhouseCoopers SA</w:t>
      </w:r>
    </w:p>
    <w:tbl>
      <w:tblPr>
        <w:tblW w:w="3692" w:type="dxa"/>
        <w:jc w:val="left"/>
        <w:tblInd w:w="0" w:type="dxa"/>
        <w:tblLayout w:type="fixed"/>
        <w:tblCellMar>
          <w:top w:w="28" w:type="dxa"/>
          <w:left w:w="28" w:type="dxa"/>
          <w:bottom w:w="28" w:type="dxa"/>
          <w:right w:w="28" w:type="dxa"/>
        </w:tblCellMar>
      </w:tblPr>
      <w:tblGrid>
        <w:gridCol w:w="1876"/>
        <w:gridCol w:w="1816"/>
      </w:tblGrid>
      <w:tr>
        <w:trPr/>
        <w:tc>
          <w:tcPr>
            <w:tcW w:w="187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ind w:left="0" w:right="0" w:hanging="11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ind w:left="0" w:right="0" w:hanging="113"/>
              <w:jc w:val="left"/>
              <w:rPr>
                <w:rFonts w:ascii="Times New Roman" w:hAnsi="Times New Roman"/>
                <w:color w:val="000000"/>
                <w:sz w:val="20"/>
              </w:rPr>
            </w:pPr>
            <w:r>
              <w:rPr>
                <w:rFonts w:ascii="Times New Roman" w:hAnsi="Times New Roman"/>
                <w:color w:val="000000"/>
                <w:sz w:val="20"/>
              </w:rPr>
              <w:t>/s/ Alex Fuhrer</w:t>
            </w:r>
          </w:p>
        </w:tc>
        <w:tc>
          <w:tcPr>
            <w:tcW w:w="1816" w:type="dxa"/>
            <w:tcBorders/>
            <w:tcMar>
              <w:top w:w="0" w:type="dxa"/>
              <w:left w:w="0" w:type="dxa"/>
              <w:bottom w:w="0" w:type="dxa"/>
              <w:right w:w="0" w:type="dxa"/>
            </w:tcMar>
            <w:vAlign w:val="center"/>
          </w:tcPr>
          <w:p>
            <w:pPr>
              <w:pStyle w:val="TableContents"/>
              <w:bidi w:val="0"/>
              <w:spacing w:before="0" w:after="283"/>
              <w:ind w:left="0" w:right="0" w:hanging="113"/>
              <w:jc w:val="left"/>
              <w:rPr>
                <w:rFonts w:ascii="Times New Roman" w:hAnsi="Times New Roman"/>
                <w:color w:val="000000"/>
                <w:sz w:val="20"/>
              </w:rPr>
            </w:pPr>
            <w:r>
              <w:rPr>
                <w:rFonts w:ascii="Times New Roman" w:hAnsi="Times New Roman"/>
                <w:color w:val="000000"/>
                <w:sz w:val="20"/>
              </w:rPr>
              <w:t>/s/ Violina Eremciuc</w:t>
            </w:r>
          </w:p>
        </w:tc>
      </w:tr>
      <w:tr>
        <w:trPr/>
        <w:tc>
          <w:tcPr>
            <w:tcW w:w="1876" w:type="dxa"/>
            <w:tcBorders/>
            <w:tcMar>
              <w:top w:w="0" w:type="dxa"/>
              <w:left w:w="0" w:type="dxa"/>
              <w:bottom w:w="0" w:type="dxa"/>
              <w:right w:w="0" w:type="dxa"/>
            </w:tcMar>
            <w:vAlign w:val="center"/>
          </w:tcPr>
          <w:p>
            <w:pPr>
              <w:pStyle w:val="TableContents"/>
              <w:bidi w:val="0"/>
              <w:spacing w:before="0" w:after="283"/>
              <w:ind w:left="0" w:right="0" w:hanging="113"/>
              <w:jc w:val="left"/>
              <w:rPr>
                <w:rFonts w:ascii="Times New Roman" w:hAnsi="Times New Roman"/>
                <w:color w:val="000000"/>
                <w:sz w:val="20"/>
              </w:rPr>
            </w:pPr>
            <w:r>
              <w:rPr>
                <w:rFonts w:ascii="Times New Roman" w:hAnsi="Times New Roman"/>
                <w:color w:val="000000"/>
                <w:sz w:val="20"/>
              </w:rPr>
              <w:t>Licensed audit expert</w:t>
            </w:r>
          </w:p>
        </w:tc>
        <w:tc>
          <w:tcPr>
            <w:tcW w:w="1816" w:type="dxa"/>
            <w:tcBorders/>
            <w:tcMar>
              <w:top w:w="0" w:type="dxa"/>
              <w:left w:w="0" w:type="dxa"/>
              <w:bottom w:w="0" w:type="dxa"/>
              <w:right w:w="0" w:type="dxa"/>
            </w:tcMar>
            <w:vAlign w:val="center"/>
          </w:tcPr>
          <w:p>
            <w:pPr>
              <w:pStyle w:val="TableContents"/>
              <w:bidi w:val="0"/>
              <w:spacing w:before="0" w:after="283"/>
              <w:ind w:left="0" w:right="0" w:hanging="11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ind w:left="0" w:right="0" w:hanging="113"/>
              <w:jc w:val="left"/>
              <w:rPr>
                <w:rFonts w:ascii="Times New Roman" w:hAnsi="Times New Roman"/>
                <w:color w:val="000000"/>
                <w:sz w:val="20"/>
              </w:rPr>
            </w:pPr>
            <w:r>
              <w:rPr>
                <w:rFonts w:ascii="Times New Roman" w:hAnsi="Times New Roman"/>
                <w:color w:val="000000"/>
                <w:sz w:val="20"/>
              </w:rPr>
              <w:t>Auditor in charge</w:t>
            </w:r>
          </w:p>
        </w:tc>
        <w:tc>
          <w:tcPr>
            <w:tcW w:w="1816" w:type="dxa"/>
            <w:tcBorders/>
            <w:tcMar>
              <w:top w:w="0" w:type="dxa"/>
              <w:left w:w="0" w:type="dxa"/>
              <w:bottom w:w="0" w:type="dxa"/>
              <w:right w:w="0" w:type="dxa"/>
            </w:tcMar>
            <w:vAlign w:val="center"/>
          </w:tcPr>
          <w:p>
            <w:pPr>
              <w:pStyle w:val="TableContents"/>
              <w:bidi w:val="0"/>
              <w:spacing w:before="0" w:after="283"/>
              <w:ind w:left="0" w:right="0" w:hanging="113"/>
              <w:jc w:val="left"/>
              <w:rPr/>
            </w:pPr>
            <w:r>
              <w:rPr/>
              <w:t> </w:t>
            </w:r>
          </w:p>
        </w:tc>
      </w:tr>
    </w:tbl>
    <w:p>
      <w:pPr>
        <w:pStyle w:val="TextBody"/>
        <w:bidi w:val="0"/>
        <w:spacing w:before="0" w:after="20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Lausanne, March 4, 2026</w:t>
      </w:r>
    </w:p>
    <w:p>
      <w:pPr>
        <w:pStyle w:val="TextBody"/>
        <w:bidi w:val="0"/>
        <w:jc w:val="left"/>
        <w:rPr/>
      </w:pPr>
      <w:r>
        <w:rPr/>
        <w:t> </w:t>
      </w:r>
    </w:p>
    <w:p>
      <w:pPr>
        <w:pStyle w:val="TextBody"/>
        <w:bidi w:val="0"/>
        <w:spacing w:before="0" w:after="6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4</w:t>
      </w:r>
      <w:r>
        <w:rPr>
          <w:rFonts w:ascii="Times New Roman" w:hAnsi="Times New Roman"/>
          <w:color w:val="000000"/>
          <w:sz w:val="20"/>
        </w:rPr>
        <w:t xml:space="preserve"> </w:t>
      </w:r>
      <w:r>
        <w:rPr>
          <w:rFonts w:ascii="Arial" w:hAnsi="Arial"/>
          <w:color w:val="000000"/>
          <w:sz w:val="16"/>
        </w:rPr>
        <w:t>Report of the statutory auditor to the General Meeting of Oculis Holding AG, Zug</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Oculis Holding AG, Zug</w:t>
      </w:r>
    </w:p>
    <w:p>
      <w:pPr>
        <w:pStyle w:val="TextBody"/>
        <w:bidi w:val="0"/>
        <w:jc w:val="left"/>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p>
      <w:pPr>
        <w:pStyle w:val="TextBody"/>
        <w:bidi w:val="0"/>
        <w:jc w:val="left"/>
        <w:rPr/>
      </w:pPr>
      <w:r>
        <w:rPr/>
        <w:t> </w:t>
      </w:r>
    </w:p>
    <w:tbl>
      <w:tblPr>
        <w:tblW w:w="6227" w:type="dxa"/>
        <w:jc w:val="left"/>
        <w:tblInd w:w="0" w:type="dxa"/>
        <w:tblLayout w:type="fixed"/>
        <w:tblCellMar>
          <w:top w:w="28" w:type="dxa"/>
          <w:left w:w="28" w:type="dxa"/>
          <w:bottom w:w="28" w:type="dxa"/>
          <w:right w:w="28" w:type="dxa"/>
        </w:tblCellMar>
      </w:tblPr>
      <w:tblGrid>
        <w:gridCol w:w="5866"/>
        <w:gridCol w:w="361"/>
      </w:tblGrid>
      <w:tr>
        <w:trPr/>
        <w:tc>
          <w:tcPr>
            <w:tcW w:w="58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tcMar>
              <w:top w:w="0" w:type="dxa"/>
              <w:left w:w="0" w:type="dxa"/>
              <w:bottom w:w="0" w:type="dxa"/>
              <w:right w:w="0" w:type="dxa"/>
            </w:tcMar>
            <w:vAlign w:val="center"/>
          </w:tcPr>
          <w:p>
            <w:pPr>
              <w:pStyle w:val="TableContents"/>
              <w:bidi w:val="0"/>
              <w:spacing w:before="0" w:after="283"/>
              <w:jc w:val="left"/>
              <w:rPr/>
            </w:pPr>
            <w:hyperlink w:anchor="bs">
              <w:r>
                <w:rPr>
                  <w:rStyle w:val="InternetLink"/>
                  <w:rFonts w:ascii="Times New Roman" w:hAnsi="Times New Roman"/>
                  <w:color w:val="0000FF"/>
                  <w:sz w:val="20"/>
                  <w:u w:val="single"/>
                </w:rPr>
                <w:t>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5866" w:type="dxa"/>
            <w:tcBorders/>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FF"/>
                  <w:sz w:val="20"/>
                  <w:u w:val="single"/>
                </w:rPr>
                <w:t>Notes to the statutory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58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APPROPRIATION OF AVAILABLE EARNINGS</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tcMar>
              <w:top w:w="0" w:type="dxa"/>
              <w:left w:w="0" w:type="dxa"/>
              <w:bottom w:w="0" w:type="dxa"/>
              <w:right w:w="0" w:type="dxa"/>
            </w:tcMar>
            <w:vAlign w:val="center"/>
          </w:tcPr>
          <w:p>
            <w:pPr>
              <w:pStyle w:val="TableContents"/>
              <w:bidi w:val="0"/>
              <w:spacing w:before="0" w:after="283"/>
              <w:jc w:val="left"/>
              <w:rPr/>
            </w:pPr>
            <w:hyperlink w:anchor="appropriation_avail_earnings">
              <w:r>
                <w:rPr>
                  <w:rStyle w:val="InternetLink"/>
                  <w:rFonts w:ascii="Times New Roman" w:hAnsi="Times New Roman"/>
                  <w:color w:val="0000FF"/>
                  <w:sz w:val="20"/>
                  <w:u w:val="single"/>
                </w:rPr>
                <w:t>Appropriation of available earnings and reserves of Oculis Holding AG</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7" w:name="range_a1_f65"/>
      <w:bookmarkEnd w:id="17"/>
      <w:r>
        <w:rPr>
          <w:rFonts w:ascii="Times New Roman" w:hAnsi="Times New Roman"/>
          <w:b/>
          <w:color w:val="000000"/>
          <w:sz w:val="20"/>
        </w:rPr>
        <w:t>Oculis Holding AG, Zug</w:t>
      </w:r>
    </w:p>
    <w:p>
      <w:pPr>
        <w:pStyle w:val="TextBody"/>
        <w:bidi w:val="0"/>
        <w:jc w:val="left"/>
        <w:rPr/>
      </w:pPr>
      <w:r>
        <w:rPr/>
        <w:t> </w:t>
      </w:r>
    </w:p>
    <w:p>
      <w:pPr>
        <w:pStyle w:val="TextBody"/>
        <w:bidi w:val="0"/>
        <w:jc w:val="left"/>
        <w:rPr>
          <w:rFonts w:ascii="Times New Roman" w:hAnsi="Times New Roman"/>
          <w:b/>
          <w:color w:val="000000"/>
          <w:sz w:val="20"/>
        </w:rPr>
      </w:pPr>
      <w:bookmarkStart w:id="18" w:name="bs"/>
      <w:bookmarkEnd w:id="18"/>
      <w:r>
        <w:rPr>
          <w:rFonts w:ascii="Times New Roman" w:hAnsi="Times New Roman"/>
          <w:b/>
          <w:color w:val="000000"/>
          <w:sz w:val="20"/>
        </w:rPr>
        <w:t>Balance Sheet</w:t>
      </w:r>
    </w:p>
    <w:p>
      <w:pPr>
        <w:pStyle w:val="TextBody"/>
        <w:bidi w:val="0"/>
        <w:jc w:val="left"/>
        <w:rPr>
          <w:rFonts w:ascii="Times New Roman" w:hAnsi="Times New Roman"/>
          <w:b/>
          <w:color w:val="000000"/>
          <w:sz w:val="20"/>
        </w:rPr>
      </w:pPr>
      <w:r>
        <w:rPr>
          <w:rFonts w:ascii="Times New Roman" w:hAnsi="Times New Roman"/>
          <w:b/>
          <w:color w:val="000000"/>
          <w:sz w:val="20"/>
        </w:rPr>
        <w:t>(in CHF thousands)</w:t>
      </w:r>
    </w:p>
    <w:tbl>
      <w:tblPr>
        <w:tblW w:w="7650" w:type="dxa"/>
        <w:jc w:val="left"/>
        <w:tblInd w:w="0" w:type="dxa"/>
        <w:tblLayout w:type="fixed"/>
        <w:tblCellMar>
          <w:top w:w="28" w:type="dxa"/>
          <w:left w:w="28" w:type="dxa"/>
          <w:bottom w:w="28" w:type="dxa"/>
          <w:right w:w="28" w:type="dxa"/>
        </w:tblCellMar>
      </w:tblPr>
      <w:tblGrid>
        <w:gridCol w:w="4471"/>
        <w:gridCol w:w="496"/>
        <w:gridCol w:w="146"/>
        <w:gridCol w:w="146"/>
        <w:gridCol w:w="781"/>
        <w:gridCol w:w="146"/>
        <w:gridCol w:w="146"/>
        <w:gridCol w:w="146"/>
        <w:gridCol w:w="781"/>
        <w:gridCol w:w="391"/>
      </w:tblGrid>
      <w:tr>
        <w:trPr/>
        <w:tc>
          <w:tcPr>
            <w:tcW w:w="447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49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receivables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From third parties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From group subsidiaries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2,483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to group subsidiaries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receivables - From group subsidiaries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514,174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355,768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528,550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362,811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830" w:type="dxa"/>
        <w:jc w:val="left"/>
        <w:tblInd w:w="0" w:type="dxa"/>
        <w:tblLayout w:type="fixed"/>
        <w:tblCellMar>
          <w:top w:w="28" w:type="dxa"/>
          <w:left w:w="28" w:type="dxa"/>
          <w:bottom w:w="28" w:type="dxa"/>
          <w:right w:w="28" w:type="dxa"/>
        </w:tblCellMar>
      </w:tblPr>
      <w:tblGrid>
        <w:gridCol w:w="3631"/>
        <w:gridCol w:w="496"/>
        <w:gridCol w:w="146"/>
        <w:gridCol w:w="146"/>
        <w:gridCol w:w="781"/>
        <w:gridCol w:w="166"/>
        <w:gridCol w:w="146"/>
        <w:gridCol w:w="146"/>
        <w:gridCol w:w="781"/>
        <w:gridCol w:w="391"/>
      </w:tblGrid>
      <w:tr>
        <w:trPr/>
        <w:tc>
          <w:tcPr>
            <w:tcW w:w="36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49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To third parties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To group subsidiaries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4,307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short-term liabilities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capital reserves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Reserves from capital contribution</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492,464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293,879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Other statutory capital reserves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110,303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110,237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shares held by Oculis Holding AG</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of the period</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523,109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357,999</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528,550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362,811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The accompanying notes form an integral part of the financial statements.</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Oculis Holding AG, Zug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Profit and loss statement</w:t>
      </w:r>
    </w:p>
    <w:p>
      <w:pPr>
        <w:pStyle w:val="TextBody"/>
        <w:bidi w:val="0"/>
        <w:jc w:val="left"/>
        <w:rPr>
          <w:rFonts w:ascii="Times New Roman" w:hAnsi="Times New Roman"/>
          <w:b/>
          <w:color w:val="000000"/>
          <w:sz w:val="20"/>
        </w:rPr>
      </w:pPr>
      <w:r>
        <w:rPr>
          <w:rFonts w:ascii="Times New Roman" w:hAnsi="Times New Roman"/>
          <w:b/>
          <w:color w:val="000000"/>
          <w:sz w:val="20"/>
        </w:rPr>
        <w:t>(in CHF thousands)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5789" w:type="dxa"/>
        <w:jc w:val="left"/>
        <w:tblInd w:w="0" w:type="dxa"/>
        <w:tblLayout w:type="fixed"/>
        <w:tblCellMar>
          <w:top w:w="28" w:type="dxa"/>
          <w:left w:w="28" w:type="dxa"/>
          <w:bottom w:w="28" w:type="dxa"/>
          <w:right w:w="28" w:type="dxa"/>
        </w:tblCellMar>
      </w:tblPr>
      <w:tblGrid>
        <w:gridCol w:w="2176"/>
        <w:gridCol w:w="556"/>
        <w:gridCol w:w="146"/>
        <w:gridCol w:w="204"/>
        <w:gridCol w:w="1030"/>
        <w:gridCol w:w="232"/>
        <w:gridCol w:w="204"/>
        <w:gridCol w:w="1030"/>
        <w:gridCol w:w="211"/>
      </w:tblGrid>
      <w:tr>
        <w:trPr/>
        <w:tc>
          <w:tcPr>
            <w:tcW w:w="217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w:t>
            </w:r>
          </w:p>
        </w:tc>
        <w:tc>
          <w:tcPr>
            <w:tcW w:w="146" w:type="dxa"/>
            <w:tcBorders>
              <w:bottom w:val="single" w:sz="4" w:space="0" w:color="000000"/>
              <w:right w:val="single" w:sz="4" w:space="0" w:color="FFFFFF"/>
            </w:tcBorders>
            <w:shd w:fill="FFFFFF" w:val="clear"/>
            <w:tcMar>
              <w:top w:w="0" w:type="dxa"/>
              <w:lef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4" w:type="dxa"/>
            <w:gridSpan w:val="2"/>
            <w:tcBorders>
              <w:left w:val="single" w:sz="4" w:space="0" w:color="FFFFFF"/>
              <w:bottom w:val="single" w:sz="4" w:space="0" w:color="000000"/>
            </w:tcBorders>
            <w:shd w:fill="FFFFFF" w:val="clear"/>
            <w:tcMar>
              <w:top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expenses</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(20,488</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(23,212</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(22,074</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income</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expense</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taxes</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(33,670</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taxes</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of the period</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(33,670</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form an integral part of the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Oculis Holding AG, Zug</w:t>
      </w:r>
    </w:p>
    <w:p>
      <w:pPr>
        <w:pStyle w:val="TextBody"/>
        <w:bidi w:val="0"/>
        <w:jc w:val="left"/>
        <w:rPr/>
      </w:pPr>
      <w:r>
        <w:rPr/>
        <w:t> </w:t>
      </w:r>
    </w:p>
    <w:p>
      <w:pPr>
        <w:pStyle w:val="TextBody"/>
        <w:bidi w:val="0"/>
        <w:jc w:val="left"/>
        <w:rPr>
          <w:rFonts w:ascii="Times New Roman" w:hAnsi="Times New Roman"/>
          <w:b/>
          <w:color w:val="000000"/>
          <w:sz w:val="20"/>
        </w:rPr>
      </w:pPr>
      <w:bookmarkStart w:id="19" w:name="notes"/>
      <w:bookmarkEnd w:id="19"/>
      <w:r>
        <w:rPr>
          <w:rFonts w:ascii="Times New Roman" w:hAnsi="Times New Roman"/>
          <w:b/>
          <w:color w:val="000000"/>
          <w:sz w:val="20"/>
        </w:rPr>
        <w:t>NOTES TO THE STATUTORY FINANCIAL STATEMENTS</w:t>
      </w:r>
    </w:p>
    <w:p>
      <w:pPr>
        <w:pStyle w:val="TextBody"/>
        <w:bidi w:val="0"/>
        <w:jc w:val="left"/>
        <w:rPr>
          <w:rFonts w:ascii="Times New Roman" w:hAnsi="Times New Roman"/>
          <w:i/>
          <w:color w:val="000000"/>
          <w:sz w:val="20"/>
        </w:rPr>
      </w:pPr>
      <w:r>
        <w:rPr>
          <w:rFonts w:ascii="Times New Roman" w:hAnsi="Times New Roman"/>
          <w:i/>
          <w:color w:val="000000"/>
          <w:sz w:val="20"/>
        </w:rPr>
        <w:t>(All amounts presented in CHF thousands, except share numbers, unless otherwise noted)</w:t>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1. GENERAL INFORMATION</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Oculis Holding AG (the “</w:t>
      </w:r>
      <w:r>
        <w:rPr>
          <w:rFonts w:ascii="Times New Roman" w:hAnsi="Times New Roman"/>
          <w:i/>
          <w:color w:val="000000"/>
          <w:sz w:val="20"/>
        </w:rPr>
        <w:t>Company”</w:t>
      </w:r>
      <w:r>
        <w:rPr>
          <w:rFonts w:ascii="Times New Roman" w:hAnsi="Times New Roman"/>
          <w:color w:val="000000"/>
          <w:sz w:val="20"/>
        </w:rPr>
        <w:t xml:space="preserve"> or “</w:t>
      </w:r>
      <w:r>
        <w:rPr>
          <w:rFonts w:ascii="Times New Roman" w:hAnsi="Times New Roman"/>
          <w:i/>
          <w:color w:val="000000"/>
          <w:sz w:val="20"/>
        </w:rPr>
        <w:t>Oculis”</w:t>
      </w:r>
      <w:r>
        <w:rPr>
          <w:rFonts w:ascii="Times New Roman" w:hAnsi="Times New Roman"/>
          <w:color w:val="000000"/>
          <w:sz w:val="20"/>
        </w:rPr>
        <w:t>) is a stock corporation (Aktiengesellschaft) with its registered office at Bahnhofstrasse 20, CH-6300, Zug, Switzerland. It was incorporated under the laws of Switzerland in accordance with article 620 et seq. of the Swiss Code of Obligations (“</w:t>
      </w:r>
      <w:r>
        <w:rPr>
          <w:rFonts w:ascii="Times New Roman" w:hAnsi="Times New Roman"/>
          <w:i/>
          <w:color w:val="000000"/>
          <w:sz w:val="20"/>
        </w:rPr>
        <w:t>CO”</w:t>
      </w:r>
      <w:r>
        <w:rPr>
          <w:rFonts w:ascii="Times New Roman" w:hAnsi="Times New Roman"/>
          <w:color w:val="000000"/>
          <w:sz w:val="20"/>
        </w:rPr>
        <w:t>) and registered as of October 31, 2022.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As of December 31, 2025, the Company controls a wholly-owned subsidiary Oculis Operations Sàrl (“</w:t>
      </w:r>
      <w:r>
        <w:rPr>
          <w:rFonts w:ascii="Times New Roman" w:hAnsi="Times New Roman"/>
          <w:i/>
          <w:color w:val="000000"/>
          <w:sz w:val="20"/>
        </w:rPr>
        <w:t>Oculis Operations”</w:t>
      </w:r>
      <w:r>
        <w:rPr>
          <w:rFonts w:ascii="Times New Roman" w:hAnsi="Times New Roman"/>
          <w:color w:val="000000"/>
          <w:sz w:val="20"/>
        </w:rPr>
        <w:t>). Oculis Operations has a registered office in Lausanne, Switzerland, which was incorporated in Zug, Switzerland on December 27, 2022, and has six wholly-owned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color w:val="000000"/>
          <w:sz w:val="20"/>
        </w:rPr>
        <w:t>Oculis ehf (</w:t>
      </w:r>
      <w:r>
        <w:rPr>
          <w:color w:val="000000"/>
        </w:rPr>
        <w:t>“</w:t>
      </w:r>
      <w:r>
        <w:rPr>
          <w:rFonts w:ascii="Times New Roman" w:hAnsi="Times New Roman"/>
          <w:i/>
          <w:color w:val="000000"/>
          <w:sz w:val="20"/>
        </w:rPr>
        <w:t>Oculis Iceland”</w:t>
      </w:r>
      <w:r>
        <w:rPr>
          <w:rFonts w:ascii="Times New Roman" w:hAnsi="Times New Roman"/>
          <w:color w:val="000000"/>
          <w:sz w:val="20"/>
        </w:rPr>
        <w:t xml:space="preserve">), which was incorporated in Reykjavik, Iceland on October 28, 2003,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color w:val="000000"/>
          <w:sz w:val="20"/>
        </w:rPr>
        <w:t>Oculis France Sàrl (</w:t>
      </w:r>
      <w:r>
        <w:rPr>
          <w:color w:val="000000"/>
        </w:rPr>
        <w:t>“</w:t>
      </w:r>
      <w:r>
        <w:rPr>
          <w:rFonts w:ascii="Times New Roman" w:hAnsi="Times New Roman"/>
          <w:i/>
          <w:color w:val="000000"/>
          <w:sz w:val="20"/>
        </w:rPr>
        <w:t>Oculis France”</w:t>
      </w:r>
      <w:r>
        <w:rPr>
          <w:rFonts w:ascii="Times New Roman" w:hAnsi="Times New Roman"/>
          <w:color w:val="000000"/>
          <w:sz w:val="20"/>
        </w:rPr>
        <w:t xml:space="preserve">) which was incorporated in Paris, France on March 27, 2020,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color w:val="000000"/>
          <w:sz w:val="20"/>
        </w:rPr>
        <w:t>Oculis US, Inc. (</w:t>
      </w:r>
      <w:r>
        <w:rPr>
          <w:color w:val="000000"/>
        </w:rPr>
        <w:t>“</w:t>
      </w:r>
      <w:r>
        <w:rPr>
          <w:rFonts w:ascii="Times New Roman" w:hAnsi="Times New Roman"/>
          <w:i/>
          <w:color w:val="000000"/>
          <w:sz w:val="20"/>
        </w:rPr>
        <w:t>Oculis US”</w:t>
      </w:r>
      <w:r>
        <w:rPr>
          <w:rFonts w:ascii="Times New Roman" w:hAnsi="Times New Roman"/>
          <w:color w:val="000000"/>
          <w:sz w:val="20"/>
        </w:rPr>
        <w:t xml:space="preserve">), which was incorporated in Delaware, USA, on May 26, 2020,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color w:val="000000"/>
          <w:sz w:val="20"/>
        </w:rPr>
        <w:t>Oculis HK, Limited (</w:t>
      </w:r>
      <w:r>
        <w:rPr>
          <w:color w:val="000000"/>
        </w:rPr>
        <w:t>“</w:t>
      </w:r>
      <w:r>
        <w:rPr>
          <w:rFonts w:ascii="Times New Roman" w:hAnsi="Times New Roman"/>
          <w:i/>
          <w:color w:val="000000"/>
          <w:sz w:val="20"/>
        </w:rPr>
        <w:t>Oculis HK”</w:t>
      </w:r>
      <w:r>
        <w:rPr>
          <w:rFonts w:ascii="Times New Roman" w:hAnsi="Times New Roman"/>
          <w:color w:val="000000"/>
          <w:sz w:val="20"/>
        </w:rPr>
        <w:t>), which was incorporated in Hong Kong, China on June 1,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color w:val="000000"/>
          <w:sz w:val="20"/>
        </w:rPr>
        <w:t>Neurocol IP Sàrl (</w:t>
      </w:r>
      <w:r>
        <w:rPr>
          <w:color w:val="000000"/>
        </w:rPr>
        <w:t>“</w:t>
      </w:r>
      <w:r>
        <w:rPr>
          <w:rFonts w:ascii="Times New Roman" w:hAnsi="Times New Roman"/>
          <w:i/>
          <w:color w:val="000000"/>
          <w:sz w:val="20"/>
        </w:rPr>
        <w:t>Neurocol IP”</w:t>
      </w:r>
      <w:r>
        <w:rPr>
          <w:rFonts w:ascii="Times New Roman" w:hAnsi="Times New Roman"/>
          <w:color w:val="000000"/>
          <w:sz w:val="20"/>
        </w:rPr>
        <w:t xml:space="preserve">), which was incorporated in Lausanne, Switzerland on December 4, 2025,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color w:val="000000"/>
          <w:sz w:val="20"/>
        </w:rPr>
        <w:t>Neurocol Operations Sàrl (</w:t>
      </w:r>
      <w:r>
        <w:rPr>
          <w:color w:val="000000"/>
        </w:rPr>
        <w:t>“</w:t>
      </w:r>
      <w:r>
        <w:rPr>
          <w:rFonts w:ascii="Times New Roman" w:hAnsi="Times New Roman"/>
          <w:i/>
          <w:color w:val="000000"/>
          <w:sz w:val="20"/>
        </w:rPr>
        <w:t>Neurocol Operations”</w:t>
      </w:r>
      <w:r>
        <w:rPr>
          <w:rFonts w:ascii="Times New Roman" w:hAnsi="Times New Roman"/>
          <w:color w:val="000000"/>
          <w:sz w:val="20"/>
        </w:rPr>
        <w:t>), which was incorporated in Lausanne, Switzerland on December 4, 2025.</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Oculis is a global late clinical-stage biopharmaceutical company with substantial expertise in therapeutics for the treatment of ophthalmic and neuro-ophthalmic diseases. Oculis is engaged in developing innovative drug candidates with the potential to address significant unmet medical needs for many eye-related and neuro-ophthalmic conditions. The Company's mission is to save sight and improve eye care for patients worldwide and it intends to become a global leader in ophthalmic and neuro-ophthalmic therapeutics to realize this mission. The purpose of the Company is the research, study, development, manufacture, promotion, sale and marketing of biopharmaceutical products and substances as well as the purchase, sale and exploitation of intellectual property rights, such as patents and licenses, in the field of ophthalmology. Oculis’ pipeline product candidates in clinical development include: OCS-01, a topical eye drop candidate for diabetic macular edema (“</w:t>
      </w:r>
      <w:r>
        <w:rPr>
          <w:rFonts w:ascii="Times New Roman" w:hAnsi="Times New Roman"/>
          <w:i/>
          <w:color w:val="000000"/>
          <w:sz w:val="20"/>
        </w:rPr>
        <w:t>DME”</w:t>
      </w:r>
      <w:r>
        <w:rPr>
          <w:rFonts w:ascii="Times New Roman" w:hAnsi="Times New Roman"/>
          <w:color w:val="000000"/>
          <w:sz w:val="20"/>
        </w:rPr>
        <w:t>); Licaminlimab (OCS-02), a topical biologic anti-TNFα eye drop candidate for dry eye disease (“</w:t>
      </w:r>
      <w:r>
        <w:rPr>
          <w:rFonts w:ascii="Times New Roman" w:hAnsi="Times New Roman"/>
          <w:i/>
          <w:color w:val="000000"/>
          <w:sz w:val="20"/>
        </w:rPr>
        <w:t>DED”</w:t>
      </w:r>
      <w:r>
        <w:rPr>
          <w:rFonts w:ascii="Times New Roman" w:hAnsi="Times New Roman"/>
          <w:color w:val="000000"/>
          <w:sz w:val="20"/>
        </w:rPr>
        <w:t>); and Privosegtor (OCS-05), a neuroprotective candidate for optic neuritis (“</w:t>
      </w:r>
      <w:r>
        <w:rPr>
          <w:rFonts w:ascii="Times New Roman" w:hAnsi="Times New Roman"/>
          <w:i/>
          <w:color w:val="000000"/>
          <w:sz w:val="20"/>
        </w:rPr>
        <w:t>ON”</w:t>
      </w:r>
      <w:r>
        <w:rPr>
          <w:rFonts w:ascii="Times New Roman" w:hAnsi="Times New Roman"/>
          <w:color w:val="000000"/>
          <w:sz w:val="20"/>
        </w:rPr>
        <w:t>), non-arteritic anterior ischemic optic neuropathy (“</w:t>
      </w:r>
      <w:r>
        <w:rPr>
          <w:rFonts w:ascii="Times New Roman" w:hAnsi="Times New Roman"/>
          <w:i/>
          <w:color w:val="000000"/>
          <w:sz w:val="20"/>
        </w:rPr>
        <w:t>NAION”</w:t>
      </w:r>
      <w:r>
        <w:rPr>
          <w:rFonts w:ascii="Times New Roman" w:hAnsi="Times New Roman"/>
          <w:color w:val="000000"/>
          <w:sz w:val="20"/>
        </w:rPr>
        <w:t>) with broad potential for other neuro-ophthalmic diseases.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 SIGNIFICANT EVENTS IN THE CURRENT REPORTING PERIOD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Public Offerings of Ordinary Shares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February 2025 Offering</w:t>
      </w:r>
    </w:p>
    <w:p>
      <w:pPr>
        <w:pStyle w:val="TextBody"/>
        <w:bidi w:val="0"/>
        <w:jc w:val="both"/>
        <w:rPr>
          <w:rFonts w:ascii="Times New Roman" w:hAnsi="Times New Roman"/>
          <w:color w:val="000000"/>
          <w:sz w:val="20"/>
        </w:rPr>
      </w:pPr>
      <w:r>
        <w:rPr>
          <w:rFonts w:ascii="Times New Roman" w:hAnsi="Times New Roman"/>
          <w:color w:val="000000"/>
          <w:sz w:val="20"/>
        </w:rPr>
        <w:t xml:space="preserve">In February 2025, the Company closed an underwritten follow-on offering of 5,000,000 ordinary shares, CHF 0.01 nominal value per share, at a price of $20.00 (CHF 18.05) per share, for total gross proceeds of $100.0 million (CHF 90.2 million). New shares were issued out of the Company’s existing capital band.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November 2025 Offerings</w:t>
      </w:r>
    </w:p>
    <w:p>
      <w:pPr>
        <w:pStyle w:val="TextBody"/>
        <w:bidi w:val="0"/>
        <w:jc w:val="both"/>
        <w:rPr>
          <w:rFonts w:ascii="Times New Roman" w:hAnsi="Times New Roman"/>
          <w:color w:val="000000"/>
          <w:sz w:val="20"/>
        </w:rPr>
      </w:pPr>
      <w:r>
        <w:rPr>
          <w:rFonts w:ascii="Times New Roman" w:hAnsi="Times New Roman"/>
          <w:color w:val="000000"/>
          <w:sz w:val="20"/>
        </w:rPr>
        <w:t>On November 3, 2025, the Company closed offerings of an aggregate of 5,432,098 ordinary shares, CHF 0.01 nominal value per share, at a price of $20.25 (CHF 16.33) per share for total gross proceeds of $110.0 million (CHF 88.7 million), before deducting underwriting discounts and commissions and offering expenses. The Company issued 2,635,801 shares out of the Company’s existing capital band and transferred to offering participants 2,796,297 shares previously held in treasury by the Company.</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Loan Facility</w:t>
      </w:r>
    </w:p>
    <w:p>
      <w:pPr>
        <w:pStyle w:val="TextBody"/>
        <w:bidi w:val="0"/>
        <w:spacing w:before="180" w:after="160"/>
        <w:jc w:val="both"/>
        <w:rPr>
          <w:rFonts w:ascii="Times New Roman" w:hAnsi="Times New Roman"/>
          <w:sz w:val="20"/>
        </w:rPr>
      </w:pPr>
      <w:r>
        <w:rPr>
          <w:rFonts w:ascii="Times New Roman" w:hAnsi="Times New Roman"/>
          <w:color w:val="000000"/>
          <w:sz w:val="20"/>
        </w:rPr>
        <w:t>On July 31, 2025, the Company entered into an amended and restated agreement for its existing loan facility (the “</w:t>
      </w:r>
      <w:r>
        <w:rPr>
          <w:rFonts w:ascii="Times New Roman" w:hAnsi="Times New Roman"/>
          <w:i/>
          <w:color w:val="000000"/>
          <w:sz w:val="20"/>
        </w:rPr>
        <w:t>Amended Loan Agreement”</w:t>
      </w:r>
      <w:r>
        <w:rPr>
          <w:rFonts w:ascii="Times New Roman" w:hAnsi="Times New Roman"/>
          <w:color w:val="000000"/>
          <w:sz w:val="20"/>
        </w:rPr>
        <w:t>) with Kreos Capital VII (UK) Limited (the “</w:t>
      </w:r>
      <w:r>
        <w:rPr>
          <w:rFonts w:ascii="Times New Roman" w:hAnsi="Times New Roman"/>
          <w:i/>
          <w:color w:val="000000"/>
          <w:sz w:val="20"/>
        </w:rPr>
        <w:t>Lender”</w:t>
      </w:r>
      <w:r>
        <w:rPr>
          <w:rFonts w:ascii="Times New Roman" w:hAnsi="Times New Roman"/>
          <w:color w:val="000000"/>
          <w:sz w:val="20"/>
        </w:rPr>
        <w:t>), which are funds and accounts managed by Blackrock, Inc. The Amended Loan Agreement replaces the prior loan agreement between the Company and the Lender dated May 29, 2024, with an upsized structure to provide the EUR equivalent of up to CHF 75.0 million in borrowing capacity (which may be increased to up to CHF 100.0 million) (the “</w:t>
      </w:r>
      <w:r>
        <w:rPr>
          <w:rFonts w:ascii="Times New Roman" w:hAnsi="Times New Roman"/>
          <w:i/>
          <w:color w:val="000000"/>
          <w:sz w:val="20"/>
        </w:rPr>
        <w:t>Loan”</w:t>
      </w:r>
      <w:r>
        <w:rPr>
          <w:rFonts w:ascii="Times New Roman" w:hAnsi="Times New Roman"/>
          <w:color w:val="000000"/>
          <w:sz w:val="20"/>
        </w:rPr>
        <w:t xml:space="preserve">), comprising tranches 1, 2 and 3, in the amounts of the EUR equivalents of CHF 25.0 million each, as well as an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80" w:after="160"/>
        <w:jc w:val="both"/>
        <w:rPr>
          <w:rFonts w:ascii="Times New Roman" w:hAnsi="Times New Roman"/>
          <w:color w:val="000000"/>
          <w:sz w:val="20"/>
        </w:rPr>
      </w:pPr>
      <w:r>
        <w:rPr>
          <w:rFonts w:ascii="Times New Roman" w:hAnsi="Times New Roman"/>
          <w:color w:val="000000"/>
          <w:sz w:val="20"/>
        </w:rPr>
        <w:t xml:space="preserve">additional loan of the EUR equivalent of up to CHF 25.0 million, which may be made available by the Lender to the Company if mutually agreed in writing by the Lender and the Company. No amounts were drawn under the Amended Loan Agreement during the year ended December 31, 2025. Pursuant to the Amended Loan Agreement, the Company is subject to a non-utilization fee of 0.75% per annum of any undrawn amount under tranches 1 and 2. Additionally, to the extent Loan 1 has not been drawn prior to its expiry date, an additional one-time fee of the EUR equivalent of CHF 2.6 million shall be payable, subject to certain conditions. </w:t>
      </w:r>
    </w:p>
    <w:p>
      <w:pPr>
        <w:pStyle w:val="TextBody"/>
        <w:bidi w:val="0"/>
        <w:spacing w:before="20" w:after="283"/>
        <w:jc w:val="both"/>
        <w:rPr>
          <w:rFonts w:ascii="Times New Roman" w:hAnsi="Times New Roman"/>
          <w:sz w:val="20"/>
        </w:rPr>
      </w:pPr>
      <w:r>
        <w:rPr>
          <w:rFonts w:ascii="Times New Roman" w:hAnsi="Times New Roman"/>
          <w:color w:val="000000"/>
          <w:sz w:val="20"/>
        </w:rPr>
        <w:t>As additional consideration for the Loan, Kreos Capital VII Aggregator SCSp, an affiliate of the Lender (the “</w:t>
      </w:r>
      <w:r>
        <w:rPr>
          <w:rFonts w:ascii="Times New Roman" w:hAnsi="Times New Roman"/>
          <w:i/>
          <w:color w:val="000000"/>
          <w:sz w:val="20"/>
        </w:rPr>
        <w:t>Holder”</w:t>
      </w:r>
      <w:r>
        <w:rPr>
          <w:rFonts w:ascii="Times New Roman" w:hAnsi="Times New Roman"/>
          <w:color w:val="000000"/>
          <w:sz w:val="20"/>
        </w:rPr>
        <w:t>) and the Company entered into an amended warrant (the “</w:t>
      </w:r>
      <w:r>
        <w:rPr>
          <w:rFonts w:ascii="Times New Roman" w:hAnsi="Times New Roman"/>
          <w:i/>
          <w:color w:val="000000"/>
          <w:sz w:val="20"/>
        </w:rPr>
        <w:t>Amended Blackrock Warrant”</w:t>
      </w:r>
      <w:r>
        <w:rPr>
          <w:rFonts w:ascii="Times New Roman" w:hAnsi="Times New Roman"/>
          <w:color w:val="000000"/>
          <w:sz w:val="20"/>
        </w:rPr>
        <w:t>) to purchase up to 494,259 of the Company’s ordinary shares, subject to vesting, at a price per ordinary share equal to $12.17 (CHF 9.65) with respect to 361,011 shares from the prior warrant agreement, and $18.64 (CHF 14.78) with respect to the remaining 133,248 shares reflecting the upsized facility, subject to adjustment. The Amended Blackrock Warrant amends the prior warrant issued to Holder on May 29, 2024. As of the signing date, the Amended Blackrock Warrant is exercisable for 59,310 ordinary shares, of which 43,321 shares were previously granted. Following the drawdown of each of Loans 1, 2 and 3, the Amended Blackrock Warrant will become exercisable for additional amounts of ordinary shares ratably based on the amounts of Loans 1, 2 and 3 that are drawn. Each tranche of the Amended Blackrock Warrant in connection with Loans 1, 2 and 3, will be exercisable for a period of up to seven years from the date of vesting and the Amended Blackrock Warrant will terminate at the earliest of (i) December 31, 2033, (ii) such earlier date on which the Amended Blackrock Warrant is no longer exercisable for any warrant shares in accordance with its terms and (iii) the acceptance by the shareholders of the Company of a third-party bona fide offer for all outstanding shares of the Company (subject to any prior exercise by the Holder, if applicable). The Amended Blackrock Warrant had not been exercised in part or in full as of December 31, 2025. The Blackrock Warrant had not been exercised in part or in full as of December 31,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At-the-Market Offering Program</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On May 8, 2024, the Company entered into a sales agreement with Leerink Partners, LLC (“</w:t>
      </w:r>
      <w:r>
        <w:rPr>
          <w:rFonts w:ascii="Times New Roman" w:hAnsi="Times New Roman"/>
          <w:i/>
          <w:color w:val="000000"/>
          <w:sz w:val="20"/>
        </w:rPr>
        <w:t>Leerink Partners</w:t>
      </w:r>
      <w:r>
        <w:rPr>
          <w:rFonts w:ascii="Times New Roman" w:hAnsi="Times New Roman"/>
          <w:color w:val="000000"/>
          <w:sz w:val="20"/>
        </w:rPr>
        <w:t>”) with respect to an at-the-market offering program (the “</w:t>
      </w:r>
      <w:r>
        <w:rPr>
          <w:rFonts w:ascii="Times New Roman" w:hAnsi="Times New Roman"/>
          <w:i/>
          <w:color w:val="000000"/>
          <w:sz w:val="20"/>
        </w:rPr>
        <w:t>ATM Offering Program</w:t>
      </w:r>
      <w:r>
        <w:rPr>
          <w:rFonts w:ascii="Times New Roman" w:hAnsi="Times New Roman"/>
          <w:color w:val="000000"/>
          <w:sz w:val="20"/>
        </w:rPr>
        <w:t xml:space="preserve">”) under which the Company may offer and sell, from time to time at its sole discretion, ordinary shares of the Company having an aggregate offering price of up to $100.0 million (CHF 79.3 million) through Leerink Partners as its sales agent. Any such sales, made through the sales agent, can be made by any method that is deemed an “at-the-market offering” as defined in Rule 415 promulgated under the Securities Act of 1933, as amended, or in other transactions pursuant to an effective shelf registration statement on Form F-3. The Company agreed to pay Leerink Partners a commission of up to 3.0% of the gross proceeds of any sales of ordinary shares sold pursuant to the sales agreement. Following the execution of the agreement, the Company issued 1,000,000 ordinary shares during the year ended December 31, 2024 and 2,500,000 ordinary shares during the year ended December 31, 2025 out of its existing capital band, each with a nominal value of CHF 0.01 to be held as treasury shares.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29, 2025, in conjunction with the November 2025 Underwritten Offering, the Company suspended the ATM Offering Program. The sales agreement with Leerink Partners remains in full force and effect. As of October 29, 2025, we had not sold any ordinary shares under the ATM Offering Program. Of the ordinary shares held as treasury shares, 2,796,297 were issued in connection with the November 2025 Offerings discussed below.</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Registered Direct Offering and Nasdaq Iceland Main Market Listing</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On April 22, 2024, the Company closed its registered direct offering with gross proceeds of CHF 53.5 million or $58.8 million through the issuance and sale of 5,000,000 of its ordinary shares, nominal value CHF 0.01 per share, at a purchase price of CHF 10.70 or $11.75 per share to investors (the “</w:t>
      </w:r>
      <w:r>
        <w:rPr>
          <w:rFonts w:ascii="Times New Roman" w:hAnsi="Times New Roman"/>
          <w:i/>
          <w:color w:val="000000"/>
          <w:sz w:val="20"/>
        </w:rPr>
        <w:t>Registered Direct Offering</w:t>
      </w:r>
      <w:r>
        <w:rPr>
          <w:rFonts w:ascii="Times New Roman" w:hAnsi="Times New Roman"/>
          <w:color w:val="000000"/>
          <w:sz w:val="20"/>
        </w:rPr>
        <w:t xml:space="preserve">”), and commenced trading of its ordinary shares on the Nasdaq Iceland Main Market under the ticker symbol “OCS” on April 23, 2024.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Business Combination with European Biotech Acquisition Corp (</w:t>
      </w:r>
      <w:r>
        <w:rPr>
          <w:rFonts w:ascii="Times New Roman" w:hAnsi="Times New Roman"/>
          <w:color w:val="000000"/>
          <w:sz w:val="20"/>
        </w:rPr>
        <w:t>“</w:t>
      </w:r>
      <w:r>
        <w:rPr>
          <w:rFonts w:ascii="Times New Roman" w:hAnsi="Times New Roman"/>
          <w:b/>
          <w:i/>
          <w:color w:val="000000"/>
          <w:sz w:val="20"/>
        </w:rPr>
        <w:t>EBAC”</w:t>
      </w:r>
      <w:r>
        <w:rPr>
          <w:rFonts w:ascii="Times New Roman" w:hAnsi="Times New Roman"/>
          <w:b/>
          <w:color w:val="000000"/>
          <w:sz w:val="20"/>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On March 2, 2023, the Company consummated a business combination with EBAC (the “</w:t>
      </w:r>
      <w:r>
        <w:rPr>
          <w:rFonts w:ascii="Times New Roman" w:hAnsi="Times New Roman"/>
          <w:i/>
          <w:color w:val="000000"/>
          <w:sz w:val="20"/>
        </w:rPr>
        <w:t>Business Combination</w:t>
      </w:r>
      <w:r>
        <w:rPr>
          <w:rFonts w:ascii="Times New Roman" w:hAnsi="Times New Roman"/>
          <w:color w:val="000000"/>
          <w:sz w:val="20"/>
        </w:rPr>
        <w:t>”) pursuant to the Business Combination Agreement (“</w:t>
      </w:r>
      <w:r>
        <w:rPr>
          <w:rFonts w:ascii="Times New Roman" w:hAnsi="Times New Roman"/>
          <w:i/>
          <w:color w:val="000000"/>
          <w:sz w:val="20"/>
        </w:rPr>
        <w:t>BCA”</w:t>
      </w:r>
      <w:r>
        <w:rPr>
          <w:rFonts w:ascii="Times New Roman" w:hAnsi="Times New Roman"/>
          <w:color w:val="000000"/>
          <w:sz w:val="20"/>
        </w:rPr>
        <w:t>) between Oculis SA (“</w:t>
      </w:r>
      <w:r>
        <w:rPr>
          <w:rFonts w:ascii="Times New Roman" w:hAnsi="Times New Roman"/>
          <w:i/>
          <w:color w:val="000000"/>
          <w:sz w:val="20"/>
        </w:rPr>
        <w:t>Legacy Oculis</w:t>
      </w:r>
      <w:r>
        <w:rPr>
          <w:rFonts w:ascii="Times New Roman" w:hAnsi="Times New Roman"/>
          <w:color w:val="000000"/>
          <w:sz w:val="20"/>
        </w:rPr>
        <w:t>”) and EBAC dated as of October 17, 2022. The Company received gross proceeds of CHF 97.6 million or $103.7 million comprising CHF 12.0 million or $12.8 million of cash held in EBAC’s trust account and CHF 85.6 million or $90.9 million from private placement (“</w:t>
      </w:r>
      <w:r>
        <w:rPr>
          <w:rFonts w:ascii="Times New Roman" w:hAnsi="Times New Roman"/>
          <w:i/>
          <w:color w:val="000000"/>
          <w:sz w:val="20"/>
        </w:rPr>
        <w:t>PIPE</w:t>
      </w:r>
      <w:r>
        <w:rPr>
          <w:rFonts w:ascii="Times New Roman" w:hAnsi="Times New Roman"/>
          <w:color w:val="000000"/>
          <w:sz w:val="20"/>
        </w:rPr>
        <w:t>”) investments and conversion of notes issued under Convertible Loan Agreements (“</w:t>
      </w:r>
      <w:r>
        <w:rPr>
          <w:rFonts w:ascii="Times New Roman" w:hAnsi="Times New Roman"/>
          <w:i/>
          <w:color w:val="000000"/>
          <w:sz w:val="20"/>
        </w:rPr>
        <w:t>CLA</w:t>
      </w:r>
      <w:r>
        <w:rPr>
          <w:rFonts w:ascii="Times New Roman" w:hAnsi="Times New Roman"/>
          <w:color w:val="000000"/>
          <w:sz w:val="20"/>
        </w:rPr>
        <w:t xml:space="preserve">”) into Oculis' ordinary shares. In connection with the Business Combination, Oculis was listed on the Nasdaq Global Market with the ticker symbol “OCS” for its ordinary shares and “OCSAW” for its public warrants.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BASIS OF PREPARATION AND ACCOUNTING POLICIES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Basis of preparation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statutory Financial Statements of Oculis, with registered office in Zug, Switzerland, were prepared according to the principles of the Swiss Law on Accounting and Financial Reporting (32nd title of the Swiss Code of Obligations). Where not prescribed by law, the significant accounting and valuation principles applied are described below.</w:t>
      </w:r>
    </w:p>
    <w:p>
      <w:pPr>
        <w:pStyle w:val="TextBody"/>
        <w:bidi w:val="0"/>
        <w:spacing w:before="200" w:after="283"/>
        <w:jc w:val="both"/>
        <w:rPr>
          <w:rFonts w:ascii="Times New Roman" w:hAnsi="Times New Roman"/>
          <w:sz w:val="20"/>
        </w:rPr>
      </w:pPr>
      <w:r>
        <w:rPr>
          <w:rFonts w:ascii="Times New Roman" w:hAnsi="Times New Roman"/>
          <w:color w:val="000000"/>
          <w:sz w:val="20"/>
        </w:rPr>
        <w:t>Oculis is presenting its Consolidated Financial Statements according to IFRS (“</w:t>
      </w:r>
      <w:r>
        <w:rPr>
          <w:rFonts w:ascii="Times New Roman" w:hAnsi="Times New Roman"/>
          <w:i/>
          <w:color w:val="000000"/>
          <w:sz w:val="20"/>
        </w:rPr>
        <w:t>IFRS Accounting Standards”</w:t>
      </w:r>
      <w:r>
        <w:rPr>
          <w:rFonts w:ascii="Times New Roman" w:hAnsi="Times New Roman"/>
          <w:color w:val="000000"/>
          <w:sz w:val="20"/>
        </w:rPr>
        <w:t xml:space="preserve">). As a result, Oculis has applied the exemption included in art. 961d of the Swiss Code of Obligations and has not included additional disclosures and a cash flow statement in its Statutory Financial Statements.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Oculis accounts are prepared on a going concern basis. To date, the Group has financed its cash requirements primarily from share issuances, as well as government research and development grants. The recent Registered Direct Offering and listing on the NASDAQ Iceland Main Market in April 2024, as well as the February and November 2025 follow-on offerings discussed in Note 2 raised funding to secure business continuity. The Board of Directors believes that cash, cash equivalents and short-term investments as of December 31, 2025, will be sufficient to fund the Group’s operations and capital expenditure requirements for at least the next 12 months.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and cash equivalents are valued at nominal value.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Investments are initially recognized at cost, assessed annually for impairment triggers, and adjusted to their recoverable amount as needed.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Loans to group subsidiaries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Short and long term loans to Oculis Group subsidiaries are valued at nominal value under consideration of any impairment if needed.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Foreign currency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books are expressed in Swiss Francs (CHF). During the year, transactions denominated in foreign currencies are converted into Swiss Francs at the rate in effect at the transaction date. At year-end, assets and liabilities denominated in foreign currencies are converted into Swiss Francs using the year-end exchange rates. Realized and unrealized exchange gains and losses are recorded net as financial income or financial expenses.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Liabilities related to warrants are recorded at nominal value. Given warrants have no nominal or intrinsic value, these are not recognized in the statutory Financial Statements. The exercise of warrants by their holders does not lead to any cash outflows from the Company.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Earnout consideration</w:t>
      </w:r>
    </w:p>
    <w:p>
      <w:pPr>
        <w:pStyle w:val="TextBody"/>
        <w:bidi w:val="0"/>
        <w:jc w:val="both"/>
        <w:rPr>
          <w:rFonts w:ascii="Times New Roman" w:hAnsi="Times New Roman"/>
          <w:sz w:val="20"/>
        </w:rPr>
      </w:pPr>
      <w:r>
        <w:rPr>
          <w:rFonts w:ascii="Times New Roman" w:hAnsi="Times New Roman"/>
          <w:color w:val="000000"/>
          <w:sz w:val="20"/>
        </w:rPr>
        <w:t>In accordance with the BCA (note 2), Legacy Oculis preferred, ordinary and option holders (collectively “equity holders”) received consideration in the form of 3,793,995 earnout shares and 369,737 earnout options with an exercise price of CHF 0.01. The earnout consideration is subject to forfeiture in the event of a failure to achieve the price targets during the earnout period defined as follows: (i) 1,500,000, (ii) 1,500,000 and (iii) 1,000,000 earned based on the achievement of post-acquisition volume weighted average share price targets (“</w:t>
      </w:r>
      <w:r>
        <w:rPr>
          <w:rFonts w:ascii="Times New Roman" w:hAnsi="Times New Roman"/>
          <w:i/>
          <w:color w:val="000000"/>
          <w:sz w:val="20"/>
        </w:rPr>
        <w:t>VWAP</w:t>
      </w:r>
      <w:r>
        <w:rPr>
          <w:rFonts w:ascii="Times New Roman" w:hAnsi="Times New Roman"/>
          <w:color w:val="000000"/>
          <w:sz w:val="20"/>
        </w:rPr>
        <w:t xml:space="preserve">”) of Oculis of CHF 11.89 or $15.00, CHF 15.86 or $20.00 and CHF 19.82 or $25.00, respectively, in each case, for any 20 trading days within any consecutive 30 trading day period commencing after the acquisition closing date and ending on or prior to March 2, 2028. A given share price target described above will also be deemed to be achieved if there is a change of control transaction, as defined in the BCA.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earnout shares have been registered in the Registry of Commerce of the Canton of Zug and are included in the number of outstanding shares as of December 31, 2025. The earnout shares are recorded at nominal value. Upon meeting the criteria, Oculis would not further increase its reserve from capital contribution. The price targets of $15.00 or CHF 11.89, $20.00 or CHF 15.86 and $25.00 or CHF 19.82 were met in November 2024, February 2025 and February 2026, respectively, resulting in an aggregate of 2,845,446 earnout shares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vested and 159,453 earnout options outstanding and exercisable as of December 31, 2025, and an additional 948,549 earnout shares vested and 55,487 earnout options becoming exercisable in February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INCOME AND EXPENSES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 OTHER OPERATING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2025, the Company recorded CHF 20.5 million of other operating expenses, as compared to CHF 11.3 million for the year ended December 31, 2024. The increase is primarily related to professional fees incurred related to the February 2025 and November 2025 Offerings.</w:t>
      </w:r>
    </w:p>
    <w:p>
      <w:pPr>
        <w:pStyle w:val="TextBody"/>
        <w:bidi w:val="0"/>
        <w:spacing w:before="20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FINANCIAL INCOME AND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Foreign exchange gain / (losses) reported into financial income and expenses are presented net per currency.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80"/>
        <w:gridCol w:w="146"/>
        <w:gridCol w:w="261"/>
        <w:gridCol w:w="1020"/>
        <w:gridCol w:w="260"/>
        <w:gridCol w:w="260"/>
        <w:gridCol w:w="260"/>
        <w:gridCol w:w="1315"/>
        <w:gridCol w:w="166"/>
        <w:gridCol w:w="146"/>
        <w:gridCol w:w="321"/>
        <w:gridCol w:w="1255"/>
        <w:gridCol w:w="320"/>
        <w:gridCol w:w="320"/>
        <w:gridCol w:w="327"/>
        <w:gridCol w:w="832"/>
        <w:gridCol w:w="216"/>
      </w:tblGrid>
      <w:tr>
        <w:trPr/>
        <w:tc>
          <w:tcPr>
            <w:tcW w:w="2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 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Income</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Expenses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Income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Expenses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foreign exchange gain /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7,584</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6,113</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years ended December 31, 2025 and 2024, the Company had approximately CHF 7.4 million and CHF 4.0 million, respectively, of interest income from the intercompany loan, as described in Notes 6 and 7. For the year ended December 31, 2025, the foreign currency exchange loss of CHF 19.0 million is primarily related to overall weakening of the U.S. dollar against the Swiss Franc on intra-group loans denominated in U.S. dollars.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LOAN TO GROUP SUBSIDIARIES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intra-group loan between Oculis and its subsidiary Oculis Operations:</w:t>
      </w:r>
    </w:p>
    <w:p>
      <w:pPr>
        <w:pStyle w:val="TextBody"/>
        <w:bidi w:val="0"/>
        <w:jc w:val="left"/>
        <w:rPr/>
      </w:pPr>
      <w:r>
        <w:rPr/>
        <w:t> </w:t>
      </w:r>
    </w:p>
    <w:tbl>
      <w:tblPr>
        <w:tblW w:w="9269" w:type="dxa"/>
        <w:jc w:val="left"/>
        <w:tblInd w:w="0" w:type="dxa"/>
        <w:tblLayout w:type="fixed"/>
        <w:tblCellMar>
          <w:top w:w="28" w:type="dxa"/>
          <w:left w:w="28" w:type="dxa"/>
          <w:bottom w:w="28" w:type="dxa"/>
          <w:right w:w="28" w:type="dxa"/>
        </w:tblCellMar>
      </w:tblPr>
      <w:tblGrid>
        <w:gridCol w:w="2206"/>
        <w:gridCol w:w="146"/>
        <w:gridCol w:w="1021"/>
        <w:gridCol w:w="146"/>
        <w:gridCol w:w="1276"/>
        <w:gridCol w:w="146"/>
        <w:gridCol w:w="146"/>
        <w:gridCol w:w="691"/>
        <w:gridCol w:w="146"/>
        <w:gridCol w:w="146"/>
        <w:gridCol w:w="146"/>
        <w:gridCol w:w="511"/>
        <w:gridCol w:w="146"/>
        <w:gridCol w:w="146"/>
        <w:gridCol w:w="146"/>
        <w:gridCol w:w="691"/>
        <w:gridCol w:w="146"/>
        <w:gridCol w:w="146"/>
        <w:gridCol w:w="162"/>
        <w:gridCol w:w="768"/>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Original Borrower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Start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Repayment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EUR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CHF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Oculis Operations Sàrl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323,107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Oculis Operations Sàrl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163,161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loans were made to support the Group's clinical and business development activities and bear interest using the rate published by the Swiss federal Tax Administration for CHF, USD and Euro denominated loans to shareholders and intercompany entities.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OTHER RECEIVABLES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Company had other current receivables of CHF 10.7 million, compared to CHF 2.9 million as of December 31, 2024. The increase is primarily related to higher loan interest on both USD and CHF loans due to higher loan balances, refer to Note 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of December 31, 2024, the Company had recognized accrued income from the intercompany loan interest (as described in Note 5). The interest had not been billed to the Oculis Operations subsidiary as it related to the CHF 146.0 million subordinated portion of the intercompany loan at December 31, 2024, as per the subordination agreement then in effect signed between both entities. </w:t>
      </w:r>
      <w:r>
        <w:rPr>
          <w:rFonts w:ascii="Times New Roman" w:hAnsi="Times New Roman"/>
          <w:color w:val="2B333D"/>
          <w:sz w:val="20"/>
        </w:rPr>
        <w:t>As of December 31, 2025 no subordination was in effect, and accordingly no interest income was accrued on the intercompany loan.</w:t>
      </w:r>
    </w:p>
    <w:p>
      <w:pPr>
        <w:pStyle w:val="TextBody"/>
        <w:bidi w:val="0"/>
        <w:jc w:val="both"/>
        <w:rPr/>
      </w:pPr>
      <w:r>
        <w:rPr/>
        <w:t> </w:t>
      </w:r>
    </w:p>
    <w:tbl>
      <w:tblPr>
        <w:tblW w:w="7860" w:type="dxa"/>
        <w:jc w:val="left"/>
        <w:tblInd w:w="0" w:type="dxa"/>
        <w:tblLayout w:type="fixed"/>
        <w:tblCellMar>
          <w:top w:w="28" w:type="dxa"/>
          <w:left w:w="28" w:type="dxa"/>
          <w:bottom w:w="28" w:type="dxa"/>
          <w:right w:w="28" w:type="dxa"/>
        </w:tblCellMar>
      </w:tblPr>
      <w:tblGrid>
        <w:gridCol w:w="2851"/>
        <w:gridCol w:w="146"/>
        <w:gridCol w:w="649"/>
        <w:gridCol w:w="1541"/>
        <w:gridCol w:w="146"/>
        <w:gridCol w:w="146"/>
        <w:gridCol w:w="485"/>
        <w:gridCol w:w="1705"/>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interest on intercompany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INVESTMENTS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the Company had seven direct and indirect subsidiaries. As of December 31, 2024, the Company had five direct and indirect subsidiaries as Neurocol IP Sàrl and Neurocol Operations Sàrl were incorporated in December 2025. The following table describes the principal subsidiaries, the countries of incorporation and the percentage of ownership and voting interest held by the Company.</w:t>
      </w:r>
    </w:p>
    <w:p>
      <w:pPr>
        <w:pStyle w:val="TextBody"/>
        <w:bidi w:val="0"/>
        <w:jc w:val="left"/>
        <w:rPr/>
      </w:pPr>
      <w:r>
        <w:rPr/>
        <w:t> </w:t>
      </w:r>
    </w:p>
    <w:tbl>
      <w:tblPr>
        <w:tblW w:w="9709" w:type="dxa"/>
        <w:jc w:val="left"/>
        <w:tblInd w:w="0" w:type="dxa"/>
        <w:tblLayout w:type="fixed"/>
        <w:tblCellMar>
          <w:top w:w="28" w:type="dxa"/>
          <w:left w:w="28" w:type="dxa"/>
          <w:bottom w:w="28" w:type="dxa"/>
          <w:right w:w="28" w:type="dxa"/>
        </w:tblCellMar>
      </w:tblPr>
      <w:tblGrid>
        <w:gridCol w:w="1936"/>
        <w:gridCol w:w="146"/>
        <w:gridCol w:w="961"/>
        <w:gridCol w:w="146"/>
        <w:gridCol w:w="1741"/>
        <w:gridCol w:w="146"/>
        <w:gridCol w:w="1201"/>
        <w:gridCol w:w="146"/>
        <w:gridCol w:w="3286"/>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Domicile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capital and vote</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Direct/indirect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Main activities</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Oculis Operations Sàrl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Switzerland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business and clinical development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Oculis ehf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Iceland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Indirect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business and clinical development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Oculis France Sàrl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Indirect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business and clinical development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Oculis US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Indirect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Business and clinical development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Oculis HK,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Hong Kong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Indirect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Business and clinical development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Neurocol IP Sàrl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Switzerland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Indirect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Holding of intellectual property rights</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Neurocol Operations Sàrl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Switzerland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Indirect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business and clinical development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SHARE CAPITAL AND TREASURY SHARES</w:t>
      </w:r>
    </w:p>
    <w:p>
      <w:pPr>
        <w:pStyle w:val="TextBody"/>
        <w:bidi w:val="0"/>
        <w:spacing w:before="200" w:after="283"/>
        <w:jc w:val="left"/>
        <w:rPr>
          <w:rFonts w:ascii="Times New Roman" w:hAnsi="Times New Roman"/>
          <w:i/>
          <w:color w:val="000000"/>
          <w:sz w:val="20"/>
          <w:u w:val="single"/>
        </w:rPr>
      </w:pPr>
      <w:r>
        <w:rPr>
          <w:rFonts w:ascii="Times New Roman" w:hAnsi="Times New Roman"/>
          <w:i/>
          <w:color w:val="000000"/>
          <w:sz w:val="20"/>
          <w:u w:val="single"/>
        </w:rPr>
        <w:t>Share capital and treasury shares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Company had a share capital of CHF 0.6 million. The Company's share capital consists of 59,636,690 shares with a nominal value of CHF 0.01.</w:t>
      </w:r>
    </w:p>
    <w:tbl>
      <w:tblPr>
        <w:tblW w:w="10205" w:type="dxa"/>
        <w:jc w:val="left"/>
        <w:tblInd w:w="0" w:type="dxa"/>
        <w:tblLayout w:type="fixed"/>
        <w:tblCellMar>
          <w:top w:w="28" w:type="dxa"/>
          <w:left w:w="28" w:type="dxa"/>
          <w:bottom w:w="28" w:type="dxa"/>
          <w:right w:w="28" w:type="dxa"/>
        </w:tblCellMar>
      </w:tblPr>
      <w:tblGrid>
        <w:gridCol w:w="3663"/>
        <w:gridCol w:w="146"/>
        <w:gridCol w:w="146"/>
        <w:gridCol w:w="916"/>
        <w:gridCol w:w="146"/>
        <w:gridCol w:w="146"/>
        <w:gridCol w:w="303"/>
        <w:gridCol w:w="782"/>
        <w:gridCol w:w="146"/>
        <w:gridCol w:w="146"/>
        <w:gridCol w:w="192"/>
        <w:gridCol w:w="1169"/>
        <w:gridCol w:w="166"/>
        <w:gridCol w:w="146"/>
        <w:gridCol w:w="525"/>
        <w:gridCol w:w="1252"/>
        <w:gridCol w:w="215"/>
      </w:tblGrid>
      <w:tr>
        <w:trPr/>
        <w:tc>
          <w:tcPr>
            <w:tcW w:w="3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share capital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40,443,700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Direct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to treasury under the ATM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for vesting of Restricted Shares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for 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for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47,033,674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(1,000,000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Direct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7,635,801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2,796,297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to treasury under the ATM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for vesting of Restricted Shares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for 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for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59,636,690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(703,703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February 2025 Offering</w:t>
      </w:r>
    </w:p>
    <w:p>
      <w:pPr>
        <w:pStyle w:val="TextBody"/>
        <w:bidi w:val="0"/>
        <w:jc w:val="both"/>
        <w:rPr>
          <w:rFonts w:ascii="Times New Roman" w:hAnsi="Times New Roman"/>
          <w:color w:val="000000"/>
          <w:sz w:val="20"/>
        </w:rPr>
      </w:pPr>
      <w:r>
        <w:rPr>
          <w:rFonts w:ascii="Times New Roman" w:hAnsi="Times New Roman"/>
          <w:color w:val="000000"/>
          <w:sz w:val="20"/>
        </w:rPr>
        <w:t xml:space="preserve">In February 2025, the Company closed an underwritten follow-on offering of 5,000,000 ordinary shares, CHF 0.01 nominal value per share, at a price of $20.00 (CHF 18.05) per share, for total gross proceeds of $100.0 million (CHF 90.2 million). New shares were issued out of the Company’s existing capital band.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November 2025 Offerings</w:t>
      </w:r>
    </w:p>
    <w:p>
      <w:pPr>
        <w:pStyle w:val="TextBody"/>
        <w:bidi w:val="0"/>
        <w:jc w:val="both"/>
        <w:rPr>
          <w:rFonts w:ascii="Times New Roman" w:hAnsi="Times New Roman"/>
          <w:color w:val="000000"/>
          <w:sz w:val="20"/>
        </w:rPr>
      </w:pPr>
      <w:r>
        <w:rPr>
          <w:rFonts w:ascii="Times New Roman" w:hAnsi="Times New Roman"/>
          <w:color w:val="000000"/>
          <w:sz w:val="20"/>
        </w:rPr>
        <w:t>On November 3, 2025, the Company closed offerings of an aggregate of 5,432,098 ordinary shares, CHF 0.01 nominal value per share, at a price of $20.25 (CHF 16.33) per share for total gross proceeds of $110.0 million (CHF 88.7 million), before deducting underwriting discounts and commissions and offering expenses. The Company issued 2,635,801 shares out of the Company’s existing capital band and transferred to offering participants 2,796,297 shares previously held in treasury by the Company.</w:t>
      </w:r>
    </w:p>
    <w:p>
      <w:pPr>
        <w:pStyle w:val="TextBody"/>
        <w:bidi w:val="0"/>
        <w:jc w:val="both"/>
        <w:rPr/>
      </w:pPr>
      <w:r>
        <w:rP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Registered Direct Offering</w:t>
      </w:r>
    </w:p>
    <w:p>
      <w:pPr>
        <w:pStyle w:val="TextBody"/>
        <w:bidi w:val="0"/>
        <w:jc w:val="both"/>
        <w:rPr>
          <w:rFonts w:ascii="Times New Roman" w:hAnsi="Times New Roman"/>
          <w:color w:val="000000"/>
          <w:sz w:val="20"/>
        </w:rPr>
      </w:pPr>
      <w:r>
        <w:rPr>
          <w:rFonts w:ascii="Times New Roman" w:hAnsi="Times New Roman"/>
          <w:color w:val="000000"/>
          <w:sz w:val="20"/>
        </w:rPr>
        <w:t>On April 22, 2024, the Company closed its Registered Direct Offering with gross proceeds of CHF 53.5 million or $58.8 million through the issuance and sale of 5,000,000 of our ordinary shares, at a purchase price of CHF 10.70 or $11.75 per share to investors. This capital increase was made using the capital band.</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ATM program</w:t>
      </w:r>
    </w:p>
    <w:p>
      <w:pPr>
        <w:pStyle w:val="TextBody"/>
        <w:bidi w:val="0"/>
        <w:jc w:val="both"/>
        <w:rPr>
          <w:rFonts w:ascii="Times New Roman" w:hAnsi="Times New Roman"/>
          <w:color w:val="000000"/>
          <w:sz w:val="20"/>
        </w:rPr>
      </w:pPr>
      <w:r>
        <w:rPr>
          <w:rFonts w:ascii="Times New Roman" w:hAnsi="Times New Roman"/>
          <w:color w:val="000000"/>
          <w:sz w:val="20"/>
        </w:rPr>
        <w:t>On May 8, 2024, the Company entered into the ATM Program under which the Company may offer and sell, from time to time at its sole discretion, ordinary shares of the Company having an aggregate offering price of up to $100.0 million (CHF 79.3 million) through Leerink Partners as its sales agent. Following the execution of the agreement, the Company issued 1,000,000 ordinary shares out of its existing capital band, each with a nominal value of CHF 0.01 to be held as treasury shares. On October 29, 2025, in conjunction with the November 2025 Offerings, the Company suspended the ATM Offering Program. The sales agreement with Leerink Partners remains in full force and effect.</w:t>
      </w:r>
    </w:p>
    <w:p>
      <w:pPr>
        <w:pStyle w:val="TextBody"/>
        <w:bidi w:val="0"/>
        <w:jc w:val="both"/>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Earnout shares</w:t>
      </w:r>
    </w:p>
    <w:p>
      <w:pPr>
        <w:pStyle w:val="TextBody"/>
        <w:bidi w:val="0"/>
        <w:jc w:val="left"/>
        <w:rPr>
          <w:rFonts w:ascii="Times New Roman" w:hAnsi="Times New Roman"/>
          <w:color w:val="000000"/>
          <w:sz w:val="20"/>
        </w:rPr>
      </w:pPr>
      <w:r>
        <w:rPr>
          <w:rFonts w:ascii="Times New Roman" w:hAnsi="Times New Roman"/>
          <w:color w:val="000000"/>
          <w:sz w:val="20"/>
        </w:rPr>
        <w:t>As a result of the BCA, Legacy Oculis “equity holders” received consideration in the form of 3,793,995 earnout shares and 369,737 earnout options with an exercise price of CHF 0.01. The price targets of $15.00 or CHF 11.89, $20.00 or CHF 15.86 and $25.00 or CHF 19.82 were met in November 2024, February 2025 and February 2026, respectively, resulting in an aggregate of 2,845,446 earnout shares vested and 159,453 earnout options outstanding and exercisable as of December 31, 2025, and an additional 948,549 earnout shares vested and 55,487 earnout options becoming exercisable in February 2026.</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Reserves from capital contribution</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reserves from capital contribution amounted to CHF 492.5 million. Of this amount, CHF 255.3 million has not yet been confirmed by the Swiss Federal Tax administration for purposes of recognition as reserves from capital contributions in accordance with art. 20 para. 3 of the Federal Act on Direct Federal Taxation.</w:t>
      </w:r>
    </w:p>
    <w:p>
      <w:pPr>
        <w:pStyle w:val="TextBody"/>
        <w:bidi w:val="0"/>
        <w:spacing w:before="200" w:after="283"/>
        <w:jc w:val="left"/>
        <w:rPr>
          <w:rFonts w:ascii="Times New Roman" w:hAnsi="Times New Roman"/>
          <w:i/>
          <w:color w:val="000000"/>
          <w:sz w:val="20"/>
          <w:u w:val="single"/>
        </w:rPr>
      </w:pPr>
      <w:r>
        <w:rPr>
          <w:rFonts w:ascii="Times New Roman" w:hAnsi="Times New Roman"/>
          <w:i/>
          <w:color w:val="000000"/>
          <w:sz w:val="20"/>
          <w:u w:val="single"/>
        </w:rPr>
        <w:t>Capital band</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2025, the Company has a capital band between CHF 545,336.74 (lower limit) and CHF 818,005.11 (upper limit). The Company may effect an increase of the Company’s share capital in a maximum amount of CHF 272,668.37 by issuing up to 27,266,837 ordinary shares with a par value of CHF 0.01 each out of the Company’s capital band, of which 2,635,801 ordinary shares with a par value of CHF 0.01 each have been used in the November 2025 Offerings. The Board of Directors is authorized to increase the share capital up to the upper limit or decrease the share capital up to the lower limit at any time and as often as required until June 4, 2030. </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Conditional share capital</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conditional capital at December 31, 2025 amounts to a maximum of CHF 235,752.08 split into 23,575,208 ordinary shares, in connection with the potential future issuances of:</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Conditional share capital for new bonds and similar debt instruments</w:t>
      </w:r>
      <w:r>
        <w:rPr>
          <w:rFonts w:ascii="Times New Roman" w:hAnsi="Times New Roman"/>
          <w:i/>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CHF 67,500.00 through the issuance of a maximum of 6,750,000 fully paid up registered shares, each with a par value of CHF 0.01 (ordinary shares), in connection with the exercise of convertible rights and/or option rights or warrants, new bonds and similar debt instruments.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Conditional share capital in connection with employee benefit plans</w:t>
      </w:r>
      <w:r>
        <w:rPr>
          <w:rFonts w:ascii="Times New Roman" w:hAnsi="Times New Roman"/>
          <w:i/>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CHF 124,800.00 through the issuance of a maximum of 12,480,000 fully paid up registered shares, each with a par value of CHF 0.01 (ordinary shares), in connection with the exercise of option rights or other equity-linked instruments granted to any employee, consultant or member of the Board of Directors of the Group.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year ended December 31, 2025, 363,093 stock options have been exercised and 174,655 RSUs vested resulting in the associated ordinary shares issued using the conditional share capital for employee benefit plans. These shares have not been registered yet in the commercial register as of December 31, 2025.</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Conditional share capital for BCA public and private warrants</w:t>
      </w:r>
      <w:r>
        <w:rPr>
          <w:rFonts w:ascii="Times New Roman" w:hAnsi="Times New Roman"/>
          <w:i/>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CHF 39,751.05 through the issuance of a maximum of 3,975,105 fully paid up registered shares, each with a par value of CHF 0.01 (ordinary shares), in connection with the exercise of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2025, 1,929,467 warrants were exercised and the associated ordinary shares have been issued using the conditional share capital for BCA public and private warrants. These shares have not been registered yet in the commercial register as of December 31,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 xml:space="preserve">Conditional share capital for earnout options: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CHF 3,701.03 through the issuance of a maximum of 370,103 fully paid up registered shares, each with a par value of CHF 0.01 (ordinary shares), in connection with the exercise of option rights or other equity-linked instruments granted to any employee, consultant or member of the Board of Directors of the Group. As of December 31, 2025, 159,453 earnout options were exercisable.</w:t>
      </w:r>
    </w:p>
    <w:p>
      <w:pPr>
        <w:pStyle w:val="TextBody"/>
        <w:bidi w:val="0"/>
        <w:jc w:val="both"/>
        <w:rPr/>
      </w:pPr>
      <w:r>
        <w:rP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Treasury shares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ATM Offering Program, the Company issued a total of 1,000,000 ordinary shares during the year ended December 31, 2024 and 2,500,000 ordinary shares during the year ended December 31, 2025, each with a nominal value of CHF 0.01 to be held as treasury shares. There were no sales under the ATM Offering Program during the year ended December 31, 2025. In connection with the November 2025 Offerings, the Company transferred to offering participants 2,796,297 of the shares previously issued and held in treasury by the Company.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DECLARATION OF FULL TIME EQUIVALENT EMPLOYEES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had three employees during the year ended December 31, 2025 and no employees during the year ended December 31, 2024.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 WARRANTS</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Public and Private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BCA and the Warrant Assignment and Assumption Agreement executed in connection with the BCA, described in Note 2, the Company has assumed 4,251,595 BCA public warrants and 151,699 BCA private warrants from EBAC, and issued 4,403,294 warrants as of March 2, 2023 with substantially the same terms. Each warrant entitles the registered holder to purchase one ordinary share at a price of CHF 9.55 or $11.50 per share, subject to certain adjustments, exercisable at any time commencing 30 days after the acquisition closing date, provided that the Company has an effective registration statement under the Securities Act covering the issuance of the ordinary shares issuable upon exercise of the warrants. This registration statement was filed with the SEC and declared effective on May 1, 2023. The warrants will expire on March 2, 2028.</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Blackrock Warrants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additional consideration for the Loan, Kreos Capital VII Aggregator SCSp, an affiliate of Kreos Capital VII (UK) Limited, which are funds and accounts managed by Blackrock, Inc. and the Company entered into an amended warrant to purchase up to 494,259 of the Company’s ordinary shares, subject to vesting, at a price per ordinary share equal to $12.17 (CHF 9.65) with respect to 361,011 shares from the prior warrant agreement, and $18.64 (CHF 14.78) with respect to the remaining 133,248 shares reflecting the upsized facility, subject to adjustment. The Amended Blackrock Warrant amends the prior warrant issued to Holder on May 29, 2024. As of the signing date, the Amended Blackrock Warrant is exercisable for 59,310 ordinary shares, of which 43,321 shares were previously granted. Following the drawdown of each of Loans 1, 2 and 3, the Amended Blackrock Warrant will become exercisable for additional amounts of ordinary shares ratably based on the amounts of Loans 1, 2 and 3 that are drawn. Each tranche of the Amended Blackrock Warrant in connection with Loans 1, 2 and 3, will be exercisable for a period of up to seven years from the date of vesting and the Amended Blackrock Warrant will terminate at the earliest of (i) December 31, 2033, (ii) such earlier date on which the Amended Blackrock Warrant is no longer exercisable for any warrant shares in accordance with its terms and (iii) the acceptance by the shareholders of the Company of a third-party bona fide offer for all outstanding shares of the Company (subject to any prior exercise by the Holder, if applicable). The Amended Blackrock Warrant had not been exercised in part or in full as of December 31,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movement of the number of outstanding warrants is illustrated below:</w:t>
      </w:r>
    </w:p>
    <w:p>
      <w:pPr>
        <w:pStyle w:val="TextBody"/>
        <w:bidi w:val="0"/>
        <w:jc w:val="left"/>
        <w:rPr/>
      </w:pPr>
      <w:r>
        <w:rPr/>
        <w:t> </w:t>
      </w:r>
    </w:p>
    <w:tbl>
      <w:tblPr>
        <w:tblW w:w="5907" w:type="dxa"/>
        <w:jc w:val="left"/>
        <w:tblInd w:w="0" w:type="dxa"/>
        <w:tblLayout w:type="fixed"/>
        <w:tblCellMar>
          <w:top w:w="28" w:type="dxa"/>
          <w:left w:w="28" w:type="dxa"/>
          <w:bottom w:w="28" w:type="dxa"/>
          <w:right w:w="28" w:type="dxa"/>
        </w:tblCellMar>
      </w:tblPr>
      <w:tblGrid>
        <w:gridCol w:w="1021"/>
        <w:gridCol w:w="926"/>
        <w:gridCol w:w="933"/>
        <w:gridCol w:w="146"/>
        <w:gridCol w:w="376"/>
        <w:gridCol w:w="2294"/>
        <w:gridCol w:w="211"/>
      </w:tblGrid>
      <w:tr>
        <w:trPr/>
        <w:tc>
          <w:tcPr>
            <w:tcW w:w="10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outstanding warrants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0"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4,254,096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Blackrock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0"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public and private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4,018,384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0"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Blackrock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public and 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(1,929,467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80"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2,104,906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11. SHARES AND OPTIONS ON SHARES GRANTED TO EXECUTIVE OFFICERS, DIRECTORS AND 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information on the allocation of shares and equity awards to executive officers, directors and employees in accordance with Article 959c, paragraph 2, number 11 of the Swiss Code of Obligations (CO) during the periods January 1, 2024 through December 31, 2024 and January 1, 2025 through December 31, 2025.</w:t>
      </w:r>
    </w:p>
    <w:p>
      <w:pPr>
        <w:pStyle w:val="TextBody"/>
        <w:bidi w:val="0"/>
        <w:spacing w:before="200" w:after="283"/>
        <w:jc w:val="both"/>
        <w:rPr>
          <w:rFonts w:ascii="Times New Roman" w:hAnsi="Times New Roman"/>
          <w:sz w:val="20"/>
        </w:rPr>
      </w:pPr>
      <w:r>
        <w:rPr>
          <w:rFonts w:ascii="Times New Roman" w:hAnsi="Times New Roman"/>
          <w:color w:val="000000"/>
          <w:sz w:val="20"/>
        </w:rPr>
        <w:t>Shares and earnout shares values are based on the Company's closing share price of USD 19.97 (CHF 15.83) and USD 17.00 (CHF 15.38) as of December 31, 2025 and December 31, 2024, respectively. Options, restricted stock units (“</w:t>
      </w:r>
      <w:r>
        <w:rPr>
          <w:rFonts w:ascii="Times New Roman" w:hAnsi="Times New Roman"/>
          <w:i/>
          <w:color w:val="000000"/>
          <w:sz w:val="20"/>
        </w:rPr>
        <w:t>RSUs</w:t>
      </w:r>
      <w:r>
        <w:rPr>
          <w:rFonts w:ascii="Times New Roman" w:hAnsi="Times New Roman"/>
          <w:color w:val="000000"/>
          <w:sz w:val="20"/>
        </w:rPr>
        <w:t>”), stock appreciation rights (“</w:t>
      </w:r>
      <w:r>
        <w:rPr>
          <w:rFonts w:ascii="Times New Roman" w:hAnsi="Times New Roman"/>
          <w:i/>
          <w:color w:val="000000"/>
          <w:sz w:val="20"/>
        </w:rPr>
        <w:t>SARs</w:t>
      </w:r>
      <w:r>
        <w:rPr>
          <w:rFonts w:ascii="Times New Roman" w:hAnsi="Times New Roman"/>
          <w:color w:val="000000"/>
          <w:sz w:val="20"/>
        </w:rPr>
        <w:t>”) and earnout options are recognized at fair value at grant date. The fair value of the Company's options, SARs and earnout options is determined using the Black-Scholes Model. The fair value of RSUs is equal to the closing share price on the date of grant.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equity award activity for the year ended December 31, 2025:</w:t>
      </w:r>
    </w:p>
    <w:p>
      <w:pPr>
        <w:pStyle w:val="TextBody"/>
        <w:bidi w:val="0"/>
        <w:spacing w:before="200" w:after="283"/>
        <w:jc w:val="left"/>
        <w:rPr/>
      </w:pPr>
      <w:r>
        <w:rPr/>
        <w:t> </w:t>
      </w:r>
    </w:p>
    <w:tbl>
      <w:tblPr>
        <w:tblW w:w="6201" w:type="dxa"/>
        <w:jc w:val="left"/>
        <w:tblInd w:w="0" w:type="dxa"/>
        <w:tblLayout w:type="fixed"/>
        <w:tblCellMar>
          <w:top w:w="28" w:type="dxa"/>
          <w:left w:w="28" w:type="dxa"/>
          <w:bottom w:w="28" w:type="dxa"/>
          <w:right w:w="28" w:type="dxa"/>
        </w:tblCellMar>
      </w:tblPr>
      <w:tblGrid>
        <w:gridCol w:w="1421"/>
        <w:gridCol w:w="795"/>
        <w:gridCol w:w="799"/>
        <w:gridCol w:w="146"/>
        <w:gridCol w:w="146"/>
        <w:gridCol w:w="826"/>
        <w:gridCol w:w="146"/>
        <w:gridCol w:w="146"/>
        <w:gridCol w:w="290"/>
        <w:gridCol w:w="1195"/>
        <w:gridCol w:w="291"/>
      </w:tblGrid>
      <w:tr>
        <w:trPr/>
        <w:tc>
          <w:tcPr>
            <w:tcW w:w="142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Options / RSUs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in CHF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5"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Issued to executive officers and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Issued to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5"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Issued to consultants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other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1,941,944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25,429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equity award activity for the year ended December 31, 2024:</w:t>
      </w:r>
    </w:p>
    <w:p>
      <w:pPr>
        <w:pStyle w:val="TextBody"/>
        <w:bidi w:val="0"/>
        <w:spacing w:before="200" w:after="283"/>
        <w:jc w:val="both"/>
        <w:rPr/>
      </w:pPr>
      <w:r>
        <w:rPr/>
        <w:t> </w:t>
      </w:r>
    </w:p>
    <w:tbl>
      <w:tblPr>
        <w:tblW w:w="6347" w:type="dxa"/>
        <w:jc w:val="left"/>
        <w:tblInd w:w="0" w:type="dxa"/>
        <w:tblLayout w:type="fixed"/>
        <w:tblCellMar>
          <w:top w:w="28" w:type="dxa"/>
          <w:left w:w="28" w:type="dxa"/>
          <w:bottom w:w="28" w:type="dxa"/>
          <w:right w:w="28" w:type="dxa"/>
        </w:tblCellMar>
      </w:tblPr>
      <w:tblGrid>
        <w:gridCol w:w="1421"/>
        <w:gridCol w:w="795"/>
        <w:gridCol w:w="799"/>
        <w:gridCol w:w="146"/>
        <w:gridCol w:w="146"/>
        <w:gridCol w:w="826"/>
        <w:gridCol w:w="146"/>
        <w:gridCol w:w="146"/>
        <w:gridCol w:w="290"/>
        <w:gridCol w:w="1195"/>
        <w:gridCol w:w="146"/>
        <w:gridCol w:w="291"/>
      </w:tblGrid>
      <w:tr>
        <w:trPr/>
        <w:tc>
          <w:tcPr>
            <w:tcW w:w="142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Options /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in CHF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5"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Issued to executive officers and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Issued to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5"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Issued to consultants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other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2,288,030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CONTINGENT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no contingent liabilities as of December 31, 2025 and 2024.</w:t>
      </w:r>
    </w:p>
    <w:p>
      <w:pPr>
        <w:pStyle w:val="TextBody"/>
        <w:bidi w:val="0"/>
        <w:spacing w:before="20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SUBSEQUENT EVENTS AFTER THE BALANCE SHEET DATE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a result of the BCA, Legacy Oculis equity holders received consideration in the form of 3,793,995 earnout shares and 369,737 earnout options with an exercise price of CHF 0.01. The earnout consideration is subject to forfeiture in the event of a failure to achieve the price targets during the earnout period defined as follows: (i) 1,500,000, (ii) 1,500,000 and (iii) 1,000,000 earned based on the achievement of post acquisition-closing VWAP targets of Oculis of $15.00 or CHF 11.89, $20.00 or CHF 15.86 and $25.00 or CHF 19.82, respectively, in each case, for any 20 trading days within any consecutive 30 trading day period during the earnout period. In February 2026, the third price target of $25.00 or CHF 19.82 was met, resulting in 55,487 earnout options becoming exercisable and the immediate vesting of 948,549 earnout shares.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2"/>
        </w:rPr>
      </w:pPr>
      <w:bookmarkStart w:id="20" w:name="appropriation_avail_earnings"/>
      <w:bookmarkEnd w:id="20"/>
      <w:r>
        <w:rPr>
          <w:rFonts w:ascii="Times New Roman" w:hAnsi="Times New Roman"/>
          <w:b/>
          <w:color w:val="000000"/>
          <w:sz w:val="22"/>
        </w:rPr>
        <w:t>Appropriation of available earnings and reserves of Oculis Holding AG</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80"/>
        <w:gridCol w:w="146"/>
        <w:gridCol w:w="347"/>
        <w:gridCol w:w="1753"/>
        <w:gridCol w:w="166"/>
        <w:gridCol w:w="146"/>
        <w:gridCol w:w="371"/>
        <w:gridCol w:w="1783"/>
        <w:gridCol w:w="213"/>
      </w:tblGrid>
      <w:tr>
        <w:trPr/>
        <w:tc>
          <w:tcPr>
            <w:tcW w:w="5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year ended </w:t>
              <w:b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2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year ended </w:t>
              <w:br/>
              <w:t>December 31, 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losses carried forward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available to the ordinary general meeting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(46,577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Motion of the Board of Directors on the proposed carry forward of the accumulation of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br/>
              <w:t>Motion of the Board of Directors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br/>
              <w:t>Resolution of the general meeting</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losses available to the general meeting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to be carried 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(46,577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gif"/><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55278</Words>
  <Characters>291919</Characters>
  <CharactersWithSpaces>350331</CharactersWithSpaces>
  <Paragraphs>11525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